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108A2" w14:textId="2495CA9A" w:rsidR="00220F94" w:rsidRDefault="00220F94" w:rsidP="00220F94">
      <w:pPr>
        <w:spacing w:line="480" w:lineRule="auto"/>
        <w:jc w:val="both"/>
        <w:rPr>
          <w:bCs/>
        </w:rPr>
      </w:pPr>
      <w:r w:rsidRPr="004A3F1F">
        <w:rPr>
          <w:b/>
          <w:bCs/>
        </w:rPr>
        <w:t>Additional file</w:t>
      </w:r>
      <w:r>
        <w:rPr>
          <w:b/>
          <w:bCs/>
        </w:rPr>
        <w:t xml:space="preserve"> 9</w:t>
      </w:r>
      <w:r w:rsidRPr="0012638E">
        <w:rPr>
          <w:bCs/>
        </w:rPr>
        <w:t>. Rate of death among abusers of one illicit substance. A bar chart showing the rate of deaths (as a percentage) in Kuwait for the 4-year study period (2015</w:t>
      </w:r>
      <w:r w:rsidRPr="0012638E">
        <w:rPr>
          <w:bCs/>
          <w:i/>
          <w:iCs/>
        </w:rPr>
        <w:t>–</w:t>
      </w:r>
      <w:r w:rsidRPr="0012638E">
        <w:rPr>
          <w:bCs/>
        </w:rPr>
        <w:t xml:space="preserve">2018) that are associated with the use or abuse of one illicit drug. MET, methamphetamine; AMP, amphetamine; BEN, benzodiazepine; CAN, cannabis; HER, heroin; TRA, tramadol; COC, cocaine. The </w:t>
      </w:r>
      <w:r w:rsidRPr="0012638E">
        <w:rPr>
          <w:bCs/>
          <w:i/>
          <w:iCs/>
        </w:rPr>
        <w:t>y</w:t>
      </w:r>
      <w:r w:rsidRPr="0012638E">
        <w:rPr>
          <w:bCs/>
        </w:rPr>
        <w:t>-axis is discontinuous at two different points due to the large variations in data.</w:t>
      </w:r>
    </w:p>
    <w:p w14:paraId="00C03375" w14:textId="7BE38454" w:rsidR="00FB7355" w:rsidRDefault="00FB7355" w:rsidP="00220F94">
      <w:pPr>
        <w:spacing w:line="480" w:lineRule="auto"/>
        <w:jc w:val="both"/>
        <w:rPr>
          <w:bCs/>
        </w:rPr>
      </w:pPr>
      <w:bookmarkStart w:id="0" w:name="_GoBack"/>
      <w:r>
        <w:rPr>
          <w:bCs/>
          <w:noProof/>
          <w:lang w:eastAsia="en-US"/>
        </w:rPr>
        <w:drawing>
          <wp:inline distT="0" distB="0" distL="0" distR="0" wp14:anchorId="62587895" wp14:editId="0639195D">
            <wp:extent cx="5958038" cy="3777979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l. File 9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9894" cy="3785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2A43CFC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F94"/>
    <w:rsid w:val="00111B74"/>
    <w:rsid w:val="001D167B"/>
    <w:rsid w:val="00220F94"/>
    <w:rsid w:val="00261134"/>
    <w:rsid w:val="003A7FAA"/>
    <w:rsid w:val="004552C9"/>
    <w:rsid w:val="00464657"/>
    <w:rsid w:val="0049761A"/>
    <w:rsid w:val="005C7F3D"/>
    <w:rsid w:val="00662807"/>
    <w:rsid w:val="00665AE4"/>
    <w:rsid w:val="00703640"/>
    <w:rsid w:val="007E561F"/>
    <w:rsid w:val="008160A7"/>
    <w:rsid w:val="00A324DF"/>
    <w:rsid w:val="00CC0593"/>
    <w:rsid w:val="00DA7983"/>
    <w:rsid w:val="00EA011A"/>
    <w:rsid w:val="00FA6F1D"/>
    <w:rsid w:val="00FB2B42"/>
    <w:rsid w:val="00FB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2F7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F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465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657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F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465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657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Windows User</cp:lastModifiedBy>
  <cp:revision>4</cp:revision>
  <dcterms:created xsi:type="dcterms:W3CDTF">2020-05-24T00:18:00Z</dcterms:created>
  <dcterms:modified xsi:type="dcterms:W3CDTF">2020-05-28T09:27:00Z</dcterms:modified>
</cp:coreProperties>
</file>