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A4CFB" w14:textId="77777777" w:rsidR="008D0247" w:rsidRPr="006A70DD" w:rsidRDefault="008D0247" w:rsidP="008D0247">
      <w:pPr>
        <w:widowControl w:val="0"/>
        <w:autoSpaceDE w:val="0"/>
        <w:autoSpaceDN w:val="0"/>
        <w:adjustRightInd w:val="0"/>
        <w:spacing w:line="480" w:lineRule="auto"/>
        <w:ind w:left="640" w:hanging="640"/>
        <w:jc w:val="both"/>
        <w:rPr>
          <w:b/>
          <w:noProof/>
          <w:sz w:val="24"/>
          <w:szCs w:val="24"/>
          <w:lang w:val="en-US" w:eastAsia="es-ES"/>
        </w:rPr>
      </w:pPr>
      <w:r w:rsidRPr="006A70DD">
        <w:rPr>
          <w:b/>
          <w:noProof/>
          <w:sz w:val="24"/>
          <w:szCs w:val="24"/>
          <w:lang w:val="en-US" w:eastAsia="es-ES"/>
        </w:rPr>
        <w:t>Supplementary material</w:t>
      </w:r>
    </w:p>
    <w:p w14:paraId="01B25798" w14:textId="31D70E0E" w:rsidR="00A373BC" w:rsidRDefault="00A373BC" w:rsidP="008D0247">
      <w:pPr>
        <w:spacing w:line="480" w:lineRule="auto"/>
        <w:jc w:val="both"/>
        <w:rPr>
          <w:i/>
          <w:sz w:val="24"/>
          <w:szCs w:val="24"/>
          <w:lang w:val="en-US"/>
        </w:rPr>
      </w:pPr>
      <w:r>
        <w:rPr>
          <w:i/>
          <w:sz w:val="24"/>
          <w:szCs w:val="24"/>
          <w:lang w:val="en-US"/>
        </w:rPr>
        <w:t>Definitions</w:t>
      </w:r>
    </w:p>
    <w:p w14:paraId="2242EC88" w14:textId="307C0708" w:rsidR="00A373BC" w:rsidRDefault="00A373BC" w:rsidP="008D0247">
      <w:pPr>
        <w:spacing w:line="480" w:lineRule="auto"/>
        <w:jc w:val="both"/>
        <w:rPr>
          <w:sz w:val="24"/>
          <w:szCs w:val="24"/>
          <w:lang w:val="en-US"/>
        </w:rPr>
      </w:pPr>
      <w:r w:rsidRPr="00A373BC">
        <w:rPr>
          <w:rFonts w:asciiTheme="minorHAnsi" w:hAnsiTheme="minorHAnsi" w:cs="Arial"/>
          <w:color w:val="000000"/>
          <w:sz w:val="24"/>
          <w:szCs w:val="24"/>
          <w:lang w:val="en-US"/>
        </w:rPr>
        <w:t>Community</w:t>
      </w:r>
      <w:r>
        <w:rPr>
          <w:rFonts w:asciiTheme="minorHAnsi" w:hAnsiTheme="minorHAnsi" w:cs="Arial"/>
          <w:color w:val="000000"/>
          <w:sz w:val="24"/>
          <w:szCs w:val="24"/>
          <w:lang w:val="en-US"/>
        </w:rPr>
        <w:t xml:space="preserve">-acquired pneumonia (CAP) was defined as </w:t>
      </w:r>
      <w:r w:rsidRPr="00A373BC">
        <w:rPr>
          <w:rFonts w:asciiTheme="minorHAnsi" w:hAnsiTheme="minorHAnsi" w:cs="Arial"/>
          <w:color w:val="000000"/>
          <w:sz w:val="24"/>
          <w:szCs w:val="24"/>
          <w:lang w:val="en-US"/>
        </w:rPr>
        <w:t xml:space="preserve">an acute illness (symptoms lasting for ≤7 days) with the presence of a new infiltrate on a chest radiography associated with two or more of the following signs and symptoms: fever or hypothermia, </w:t>
      </w:r>
      <w:proofErr w:type="spellStart"/>
      <w:r w:rsidRPr="00A373BC">
        <w:rPr>
          <w:rFonts w:asciiTheme="minorHAnsi" w:hAnsiTheme="minorHAnsi" w:cs="Arial"/>
          <w:color w:val="000000"/>
          <w:sz w:val="24"/>
          <w:szCs w:val="24"/>
          <w:lang w:val="en-US"/>
        </w:rPr>
        <w:t>dyspnoea</w:t>
      </w:r>
      <w:proofErr w:type="spellEnd"/>
      <w:r w:rsidRPr="00A373BC">
        <w:rPr>
          <w:rFonts w:asciiTheme="minorHAnsi" w:hAnsiTheme="minorHAnsi" w:cs="Arial"/>
          <w:color w:val="000000"/>
          <w:sz w:val="24"/>
          <w:szCs w:val="24"/>
          <w:lang w:val="en-US"/>
        </w:rPr>
        <w:t>, cough, sputum production, pleuritic chest pain, altered breath sounds on auscultation</w:t>
      </w:r>
      <w:r>
        <w:rPr>
          <w:rFonts w:asciiTheme="minorHAnsi" w:hAnsiTheme="minorHAnsi" w:cs="Arial"/>
          <w:color w:val="000000"/>
          <w:sz w:val="24"/>
          <w:szCs w:val="24"/>
          <w:lang w:val="en-US"/>
        </w:rPr>
        <w:t xml:space="preserve">. </w:t>
      </w:r>
      <w:r w:rsidRPr="00A373BC">
        <w:rPr>
          <w:color w:val="131413"/>
          <w:sz w:val="24"/>
          <w:szCs w:val="24"/>
          <w:lang w:val="en-US"/>
        </w:rPr>
        <w:t xml:space="preserve">The exclusion criteria were: age &lt;18 years, </w:t>
      </w:r>
      <w:r w:rsidRPr="00A373BC">
        <w:rPr>
          <w:sz w:val="24"/>
          <w:szCs w:val="24"/>
          <w:lang w:val="en-US"/>
        </w:rPr>
        <w:t>nosocomial or bronchoaspiratory pneumonia, antibiotic treatment started at the ED &gt;4h before the potential inclusion in the study, hospital admission during the previous 14 days or previous inclusion in the study.</w:t>
      </w:r>
    </w:p>
    <w:p w14:paraId="5E4826B3" w14:textId="42A5F33C" w:rsidR="00A373BC" w:rsidRDefault="00A373BC" w:rsidP="00A373BC">
      <w:pPr>
        <w:spacing w:line="480" w:lineRule="auto"/>
        <w:ind w:firstLine="360"/>
        <w:jc w:val="both"/>
        <w:rPr>
          <w:rFonts w:cs="Calibri"/>
          <w:sz w:val="24"/>
          <w:szCs w:val="24"/>
          <w:lang w:val="en-GB"/>
        </w:rPr>
      </w:pPr>
      <w:r w:rsidRPr="006A70DD">
        <w:rPr>
          <w:rFonts w:cs="Calibri"/>
          <w:sz w:val="24"/>
          <w:szCs w:val="24"/>
          <w:lang w:val="en-GB"/>
        </w:rPr>
        <w:t>Given the lack of a diagnostic gold standard, pneumococcal pneumonia</w:t>
      </w:r>
      <w:r>
        <w:rPr>
          <w:rFonts w:cs="Calibri"/>
          <w:sz w:val="24"/>
          <w:szCs w:val="24"/>
          <w:lang w:val="en-GB"/>
        </w:rPr>
        <w:t xml:space="preserve"> (P-CAP)</w:t>
      </w:r>
      <w:r w:rsidRPr="006A70DD">
        <w:rPr>
          <w:rFonts w:cs="Calibri"/>
          <w:sz w:val="24"/>
          <w:szCs w:val="24"/>
          <w:lang w:val="en-GB"/>
        </w:rPr>
        <w:t xml:space="preserve"> was defined by a composite diagnostic variable: detection of </w:t>
      </w:r>
      <w:r w:rsidRPr="006A70DD">
        <w:rPr>
          <w:rFonts w:cs="Calibri"/>
          <w:i/>
          <w:sz w:val="24"/>
          <w:szCs w:val="24"/>
          <w:lang w:val="en-GB"/>
        </w:rPr>
        <w:t xml:space="preserve">S. pneumoniae </w:t>
      </w:r>
      <w:r w:rsidRPr="006A70DD">
        <w:rPr>
          <w:rFonts w:cs="Calibri"/>
          <w:sz w:val="24"/>
          <w:szCs w:val="24"/>
          <w:lang w:val="en-GB"/>
        </w:rPr>
        <w:t xml:space="preserve">by conventional methods </w:t>
      </w:r>
      <w:r w:rsidRPr="006A70DD">
        <w:rPr>
          <w:rFonts w:cs="Calibri"/>
          <w:bCs/>
          <w:sz w:val="24"/>
          <w:szCs w:val="24"/>
          <w:lang w:val="en-GB"/>
        </w:rPr>
        <w:t>and/</w:t>
      </w:r>
      <w:r w:rsidRPr="006A70DD">
        <w:rPr>
          <w:rFonts w:cs="Calibri"/>
          <w:sz w:val="24"/>
          <w:szCs w:val="24"/>
          <w:lang w:val="en-GB"/>
        </w:rPr>
        <w:t xml:space="preserve">or a positive </w:t>
      </w:r>
      <w:proofErr w:type="spellStart"/>
      <w:r w:rsidRPr="006A70DD">
        <w:rPr>
          <w:rFonts w:cs="Calibri"/>
          <w:sz w:val="24"/>
          <w:szCs w:val="24"/>
          <w:lang w:val="en-GB"/>
        </w:rPr>
        <w:t>rtPCR-</w:t>
      </w:r>
      <w:r w:rsidRPr="006A70DD">
        <w:rPr>
          <w:rFonts w:cs="Calibri"/>
          <w:i/>
          <w:sz w:val="24"/>
          <w:szCs w:val="24"/>
          <w:lang w:val="en-GB"/>
        </w:rPr>
        <w:t>lytA</w:t>
      </w:r>
      <w:proofErr w:type="spellEnd"/>
      <w:r w:rsidRPr="006A70DD">
        <w:rPr>
          <w:rFonts w:cs="Calibri"/>
          <w:sz w:val="24"/>
          <w:szCs w:val="24"/>
          <w:lang w:val="en-GB"/>
        </w:rPr>
        <w:t xml:space="preserve"> in blood, urine or NP swabs (NP cut-off ≥8000 copies/mL)</w:t>
      </w:r>
      <w:r w:rsidRPr="006A70DD">
        <w:rPr>
          <w:rFonts w:cs="Calibri"/>
          <w:sz w:val="24"/>
          <w:szCs w:val="24"/>
          <w:lang w:val="en-US"/>
        </w:rPr>
        <w:t xml:space="preserve"> </w:t>
      </w:r>
      <w:r w:rsidRPr="006A70DD">
        <w:rPr>
          <w:rFonts w:cs="Calibri"/>
          <w:sz w:val="24"/>
          <w:szCs w:val="24"/>
          <w:lang w:val="en-US"/>
        </w:rPr>
        <w:fldChar w:fldCharType="begin" w:fldLock="1"/>
      </w:r>
      <w:r w:rsidRPr="006A70DD">
        <w:rPr>
          <w:rFonts w:cs="Calibri"/>
          <w:sz w:val="24"/>
          <w:szCs w:val="24"/>
          <w:lang w:val="en-US"/>
        </w:rPr>
        <w:instrText>ADDIN CSL_CITATION {"citationItems":[{"id":"ITEM-1","itemData":{"DOI":"10.1093/cid/cir859","ISSN":"1058-4838","author":[{"dropping-particle":"","family":"Sidhu","given":"M.","non-dropping-particle":"","parse-names":false,"suffix":""},{"dropping-particle":"","family":"Wong","given":"M.","non-dropping-particle":"","parse-names":false,"suffix":""},{"dropping-particle":"","family":"Karstaedt","given":"A.","non-dropping-particle":"","parse-names":false,"suffix":""},{"dropping-particle":"","family":"Jansen","given":"K. U.","non-dropping-particle":"","parse-names":false,"suffix":""},{"dropping-particle":"","family":"Albrich","given":"W. C.","non-dropping-particle":"","parse-names":false,"suffix":""},{"dropping-particle":"","family":"Mareletsi","given":"T.","non-dropping-particle":"","parse-names":false,"suffix":""},{"dropping-particle":"","family":"Cutland","given":"C.","non-dropping-particle":"","parse-names":false,"suffix":""},{"dropping-particle":"","family":"Klugman","given":"K. P.","non-dropping-particle":"","parse-names":false,"suffix":""},{"dropping-particle":"","family":"Niekerk","given":"N.","non-dropping-particle":"van","parse-names":false,"suffix":""},{"dropping-particle":"","family":"Zhao","given":"P.","non-dropping-particle":"","parse-names":false,"suffix":""},{"dropping-particle":"","family":"Khoosal","given":"M.","non-dropping-particle":"","parse-names":false,"suffix":""},{"dropping-particle":"","family":"Madhi","given":"S. A.","non-dropping-particle":"","parse-names":false,"suffix":""},{"dropping-particle":"","family":"Deatly","given":"A.","non-dropping-particle":"","parse-names":false,"suffix":""},{"dropping-particle":"V.","family":"Adrian","given":"P.","non-dropping-particle":"","parse-names":false,"suffix":""}],"container-title":"Clinical Infectious Diseases","id":"ITEM-1","issue":"5","issued":{"date-parts":[["2011"]]},"page":"601-609","title":"Use of a Rapid Test of Pneumococcal Colonization Density to Diagnose Pneumococcal Pneumonia","type":"article-journal","volume":"54"},"uris":["http://www.mendeley.com/documents/?uuid=e74ef2af-87cc-4fc6-8daf-a9d24273a0dd"]}],"mendeley":{"formattedCitation":"(1)","plainTextFormattedCitation":"(1)","previouslyFormattedCitation":"(1)"},"properties":{"noteIndex":0},"schema":"https://github.com/citation-style-language/schema/raw/master/csl-citation.json"}</w:instrText>
      </w:r>
      <w:r w:rsidRPr="006A70DD">
        <w:rPr>
          <w:rFonts w:cs="Calibri"/>
          <w:sz w:val="24"/>
          <w:szCs w:val="24"/>
          <w:lang w:val="en-US"/>
        </w:rPr>
        <w:fldChar w:fldCharType="separate"/>
      </w:r>
      <w:r w:rsidRPr="006A70DD">
        <w:rPr>
          <w:rFonts w:cs="Calibri"/>
          <w:noProof/>
          <w:sz w:val="24"/>
          <w:szCs w:val="24"/>
          <w:lang w:val="en-US"/>
        </w:rPr>
        <w:t>(1)</w:t>
      </w:r>
      <w:r w:rsidRPr="006A70DD">
        <w:rPr>
          <w:rFonts w:cs="Calibri"/>
          <w:sz w:val="24"/>
          <w:szCs w:val="24"/>
          <w:lang w:val="en-US"/>
        </w:rPr>
        <w:fldChar w:fldCharType="end"/>
      </w:r>
      <w:r w:rsidRPr="006A70DD">
        <w:rPr>
          <w:rFonts w:cs="Calibri"/>
          <w:sz w:val="24"/>
          <w:szCs w:val="24"/>
          <w:lang w:val="en-GB"/>
        </w:rPr>
        <w:t xml:space="preserve">. Defined CM were blood culture, good-quality sputum Gram stain, sputum culture or an immunochromatographic test for detection of </w:t>
      </w:r>
      <w:r w:rsidRPr="006A70DD">
        <w:rPr>
          <w:rFonts w:cs="Calibri"/>
          <w:i/>
          <w:iCs/>
          <w:sz w:val="24"/>
          <w:szCs w:val="24"/>
          <w:lang w:val="en-GB"/>
        </w:rPr>
        <w:t>S</w:t>
      </w:r>
      <w:r>
        <w:rPr>
          <w:rFonts w:cs="Calibri"/>
          <w:i/>
          <w:iCs/>
          <w:sz w:val="24"/>
          <w:szCs w:val="24"/>
          <w:lang w:val="en-GB"/>
        </w:rPr>
        <w:t>.</w:t>
      </w:r>
      <w:r w:rsidRPr="006A70DD">
        <w:rPr>
          <w:rFonts w:cs="Calibri"/>
          <w:i/>
          <w:iCs/>
          <w:sz w:val="24"/>
          <w:szCs w:val="24"/>
          <w:lang w:val="en-GB"/>
        </w:rPr>
        <w:t xml:space="preserve"> pneumoniae</w:t>
      </w:r>
      <w:r w:rsidRPr="006A70DD">
        <w:rPr>
          <w:rFonts w:cs="Calibri"/>
          <w:sz w:val="24"/>
          <w:szCs w:val="24"/>
          <w:lang w:val="en-GB"/>
        </w:rPr>
        <w:t xml:space="preserve"> antigen in urine.</w:t>
      </w:r>
    </w:p>
    <w:p w14:paraId="503227FC" w14:textId="0E70FADC" w:rsidR="00DC1EDC" w:rsidRDefault="00DC1EDC" w:rsidP="00D67D07">
      <w:pPr>
        <w:spacing w:line="480" w:lineRule="auto"/>
        <w:ind w:firstLine="360"/>
        <w:jc w:val="both"/>
        <w:rPr>
          <w:lang w:val="en-US"/>
        </w:rPr>
      </w:pPr>
      <w:r>
        <w:rPr>
          <w:sz w:val="24"/>
          <w:szCs w:val="24"/>
          <w:lang w:val="en-US"/>
        </w:rPr>
        <w:t xml:space="preserve">Invasive pneumococcal disease (IPD) was defined as the presence of </w:t>
      </w:r>
      <w:r w:rsidRPr="00534DB2">
        <w:rPr>
          <w:i/>
          <w:sz w:val="24"/>
          <w:szCs w:val="24"/>
          <w:lang w:val="en-US"/>
        </w:rPr>
        <w:t>S</w:t>
      </w:r>
      <w:r>
        <w:rPr>
          <w:i/>
          <w:sz w:val="24"/>
          <w:szCs w:val="24"/>
          <w:lang w:val="en-US"/>
        </w:rPr>
        <w:t>.</w:t>
      </w:r>
      <w:r w:rsidRPr="00534DB2">
        <w:rPr>
          <w:i/>
          <w:sz w:val="24"/>
          <w:szCs w:val="24"/>
          <w:lang w:val="en-US"/>
        </w:rPr>
        <w:t xml:space="preserve"> pneumoniae</w:t>
      </w:r>
      <w:r w:rsidRPr="00534DB2">
        <w:rPr>
          <w:sz w:val="24"/>
          <w:szCs w:val="24"/>
          <w:lang w:val="en-US"/>
        </w:rPr>
        <w:t xml:space="preserve"> </w:t>
      </w:r>
      <w:r>
        <w:rPr>
          <w:sz w:val="24"/>
          <w:szCs w:val="24"/>
          <w:lang w:val="en-US"/>
        </w:rPr>
        <w:t xml:space="preserve">in blood cultures, pleural </w:t>
      </w:r>
      <w:proofErr w:type="gramStart"/>
      <w:r>
        <w:rPr>
          <w:sz w:val="24"/>
          <w:szCs w:val="24"/>
          <w:lang w:val="en-US"/>
        </w:rPr>
        <w:t>fluid</w:t>
      </w:r>
      <w:proofErr w:type="gramEnd"/>
      <w:r>
        <w:rPr>
          <w:sz w:val="24"/>
          <w:szCs w:val="24"/>
          <w:lang w:val="en-US"/>
        </w:rPr>
        <w:t xml:space="preserve"> or cerebrospinal fluid. </w:t>
      </w:r>
      <w:r w:rsidRPr="00534DB2">
        <w:rPr>
          <w:lang w:val="en-US"/>
        </w:rPr>
        <w:t xml:space="preserve"> </w:t>
      </w:r>
    </w:p>
    <w:p w14:paraId="082A7A6B" w14:textId="4CF0AA29" w:rsidR="004D3913" w:rsidRDefault="004D3913" w:rsidP="004D3913">
      <w:pPr>
        <w:spacing w:line="480" w:lineRule="auto"/>
        <w:ind w:firstLine="360"/>
        <w:jc w:val="both"/>
        <w:rPr>
          <w:rFonts w:eastAsia="MS Mincho"/>
          <w:color w:val="000000" w:themeColor="text1"/>
          <w:sz w:val="24"/>
          <w:szCs w:val="24"/>
          <w:lang w:val="en-US"/>
        </w:rPr>
      </w:pPr>
      <w:r w:rsidRPr="004D3913">
        <w:rPr>
          <w:color w:val="000000" w:themeColor="text1"/>
          <w:sz w:val="24"/>
          <w:szCs w:val="24"/>
          <w:lang w:val="en-US"/>
        </w:rPr>
        <w:t xml:space="preserve">Risk factors for IPD </w:t>
      </w:r>
      <w:r w:rsidRPr="004D3913">
        <w:rPr>
          <w:rFonts w:eastAsia="MS Mincho"/>
          <w:color w:val="000000" w:themeColor="text1"/>
          <w:sz w:val="24"/>
          <w:szCs w:val="24"/>
          <w:lang w:val="en-US"/>
        </w:rPr>
        <w:t>included smoking, COPD or asthma, liver cirrhosis, splenectomy</w:t>
      </w:r>
      <w:r w:rsidRPr="004D3913">
        <w:rPr>
          <w:color w:val="000000" w:themeColor="text1"/>
          <w:sz w:val="24"/>
          <w:szCs w:val="24"/>
          <w:lang w:val="en-US"/>
        </w:rPr>
        <w:t xml:space="preserve"> </w:t>
      </w:r>
      <w:r w:rsidRPr="004D3913">
        <w:rPr>
          <w:rFonts w:eastAsia="MS Mincho"/>
          <w:color w:val="000000" w:themeColor="text1"/>
          <w:sz w:val="24"/>
          <w:szCs w:val="24"/>
          <w:lang w:val="en-US"/>
        </w:rPr>
        <w:t>or asplenia, autoimmune disease, hypogammaglobulinemia or hypocomplementemia,</w:t>
      </w:r>
      <w:r w:rsidRPr="004D3913">
        <w:rPr>
          <w:color w:val="000000" w:themeColor="text1"/>
          <w:sz w:val="24"/>
          <w:szCs w:val="24"/>
          <w:lang w:val="en-US"/>
        </w:rPr>
        <w:t xml:space="preserve"> </w:t>
      </w:r>
      <w:r w:rsidRPr="004D3913">
        <w:rPr>
          <w:rFonts w:eastAsia="MS Mincho"/>
          <w:color w:val="000000" w:themeColor="text1"/>
          <w:sz w:val="24"/>
          <w:szCs w:val="24"/>
          <w:lang w:val="en-US"/>
        </w:rPr>
        <w:t xml:space="preserve">active solid or hematologic tumors, immunosuppressive or biological therapies, chronic systemic steroid use (&gt; 20 mg prednisone/day&gt;15 days), neutropenia, and HIV infection. </w:t>
      </w:r>
    </w:p>
    <w:p w14:paraId="2F3D9DD7" w14:textId="77777777" w:rsidR="004D3913" w:rsidRPr="00D428A8" w:rsidRDefault="004D3913" w:rsidP="004D3913">
      <w:pPr>
        <w:pStyle w:val="Ttulo1"/>
        <w:shd w:val="clear" w:color="auto" w:fill="FFFFFF"/>
        <w:spacing w:before="120" w:beforeAutospacing="0" w:after="120" w:afterAutospacing="0" w:line="480" w:lineRule="auto"/>
        <w:jc w:val="both"/>
        <w:rPr>
          <w:rFonts w:asciiTheme="minorHAnsi" w:eastAsia="MS Mincho" w:hAnsiTheme="minorHAnsi"/>
          <w:b w:val="0"/>
          <w:bCs w:val="0"/>
          <w:kern w:val="0"/>
          <w:sz w:val="24"/>
          <w:szCs w:val="24"/>
          <w:lang w:val="en-GB"/>
        </w:rPr>
      </w:pPr>
      <w:r>
        <w:rPr>
          <w:rFonts w:ascii="Cambria" w:eastAsia="MS Mincho" w:hAnsi="Cambria"/>
          <w:b w:val="0"/>
          <w:bCs w:val="0"/>
          <w:kern w:val="0"/>
          <w:sz w:val="24"/>
          <w:szCs w:val="24"/>
          <w:lang w:val="en-GB"/>
        </w:rPr>
        <w:lastRenderedPageBreak/>
        <w:t xml:space="preserve">- </w:t>
      </w:r>
      <w:r w:rsidRPr="00D428A8">
        <w:rPr>
          <w:rFonts w:asciiTheme="minorHAnsi" w:eastAsia="MS Mincho" w:hAnsiTheme="minorHAnsi"/>
          <w:b w:val="0"/>
          <w:bCs w:val="0"/>
          <w:kern w:val="0"/>
          <w:sz w:val="24"/>
          <w:szCs w:val="24"/>
          <w:u w:val="single"/>
          <w:lang w:val="en-GB"/>
        </w:rPr>
        <w:t>Co</w:t>
      </w:r>
      <w:r>
        <w:rPr>
          <w:rFonts w:asciiTheme="minorHAnsi" w:eastAsia="MS Mincho" w:hAnsiTheme="minorHAnsi"/>
          <w:b w:val="0"/>
          <w:bCs w:val="0"/>
          <w:kern w:val="0"/>
          <w:sz w:val="24"/>
          <w:szCs w:val="24"/>
          <w:u w:val="single"/>
          <w:lang w:val="en-GB"/>
        </w:rPr>
        <w:t>-</w:t>
      </w:r>
      <w:r w:rsidRPr="00D428A8">
        <w:rPr>
          <w:rFonts w:asciiTheme="minorHAnsi" w:eastAsia="MS Mincho" w:hAnsiTheme="minorHAnsi"/>
          <w:b w:val="0"/>
          <w:bCs w:val="0"/>
          <w:kern w:val="0"/>
          <w:sz w:val="24"/>
          <w:szCs w:val="24"/>
          <w:u w:val="single"/>
          <w:lang w:val="en-GB"/>
        </w:rPr>
        <w:t>infection</w:t>
      </w:r>
      <w:r w:rsidRPr="00D428A8">
        <w:rPr>
          <w:rFonts w:asciiTheme="minorHAnsi" w:eastAsia="MS Mincho" w:hAnsiTheme="minorHAnsi"/>
          <w:b w:val="0"/>
          <w:bCs w:val="0"/>
          <w:kern w:val="0"/>
          <w:sz w:val="24"/>
          <w:szCs w:val="24"/>
          <w:lang w:val="en-GB"/>
        </w:rPr>
        <w:t>: cases in which two different microorganisms were simultaneously identified.</w:t>
      </w:r>
    </w:p>
    <w:p w14:paraId="69DD165F" w14:textId="77777777" w:rsidR="004D3913" w:rsidRPr="00515076" w:rsidRDefault="004D3913" w:rsidP="004D3913">
      <w:pPr>
        <w:pStyle w:val="Ttulo1"/>
        <w:shd w:val="clear" w:color="auto" w:fill="FFFFFF"/>
        <w:spacing w:before="120" w:beforeAutospacing="0" w:after="120" w:afterAutospacing="0" w:line="480" w:lineRule="auto"/>
        <w:jc w:val="both"/>
        <w:rPr>
          <w:rFonts w:asciiTheme="minorHAnsi" w:hAnsiTheme="minorHAnsi"/>
          <w:b w:val="0"/>
          <w:sz w:val="24"/>
          <w:szCs w:val="24"/>
          <w:lang w:val="en-US"/>
        </w:rPr>
      </w:pPr>
      <w:r w:rsidRPr="00D428A8">
        <w:rPr>
          <w:rFonts w:asciiTheme="minorHAnsi" w:eastAsia="MS Mincho" w:hAnsiTheme="minorHAnsi"/>
          <w:b w:val="0"/>
          <w:bCs w:val="0"/>
          <w:kern w:val="0"/>
          <w:sz w:val="24"/>
          <w:szCs w:val="24"/>
          <w:lang w:val="en-GB"/>
        </w:rPr>
        <w:t xml:space="preserve">- </w:t>
      </w:r>
      <w:r w:rsidRPr="00515076">
        <w:rPr>
          <w:rFonts w:asciiTheme="minorHAnsi" w:hAnsiTheme="minorHAnsi"/>
          <w:b w:val="0"/>
          <w:sz w:val="24"/>
          <w:szCs w:val="24"/>
          <w:u w:val="single"/>
          <w:lang w:val="en-US"/>
        </w:rPr>
        <w:t>Vaccination status</w:t>
      </w:r>
      <w:r w:rsidRPr="00515076">
        <w:rPr>
          <w:rFonts w:asciiTheme="minorHAnsi" w:hAnsiTheme="minorHAnsi"/>
          <w:b w:val="0"/>
          <w:sz w:val="24"/>
          <w:szCs w:val="24"/>
          <w:lang w:val="en-US"/>
        </w:rPr>
        <w:t>: it was assessed from interviews with the patients or their relatives and from reviews of electronic medical records. Patients were considered to be pneumococcal-vaccinated if the 23-valent polysaccharide pneumococcal vaccine had been administered in the five years before admission or the 13-</w:t>
      </w:r>
      <w:proofErr w:type="gramStart"/>
      <w:r w:rsidRPr="00515076">
        <w:rPr>
          <w:rFonts w:asciiTheme="minorHAnsi" w:hAnsiTheme="minorHAnsi"/>
          <w:b w:val="0"/>
          <w:sz w:val="24"/>
          <w:szCs w:val="24"/>
          <w:lang w:val="en-US"/>
        </w:rPr>
        <w:t>valent  conjugate</w:t>
      </w:r>
      <w:proofErr w:type="gramEnd"/>
      <w:r w:rsidRPr="00515076">
        <w:rPr>
          <w:rFonts w:asciiTheme="minorHAnsi" w:hAnsiTheme="minorHAnsi"/>
          <w:b w:val="0"/>
          <w:sz w:val="24"/>
          <w:szCs w:val="24"/>
          <w:lang w:val="en-US"/>
        </w:rPr>
        <w:t xml:space="preserve"> vaccine had been administered previously, and influenza-vaccinated if seasonal influenza vaccine had been administered during the year prior to admission.  </w:t>
      </w:r>
    </w:p>
    <w:p w14:paraId="61B02F79" w14:textId="77777777" w:rsidR="004D3913" w:rsidRPr="004D3913" w:rsidRDefault="004D3913" w:rsidP="004D3913">
      <w:pPr>
        <w:spacing w:line="480" w:lineRule="auto"/>
        <w:jc w:val="both"/>
        <w:rPr>
          <w:rFonts w:asciiTheme="minorHAnsi" w:hAnsiTheme="minorHAnsi" w:cs="Arial"/>
          <w:lang w:val="en-US"/>
        </w:rPr>
      </w:pPr>
      <w:r w:rsidRPr="00515076">
        <w:rPr>
          <w:rFonts w:asciiTheme="minorHAnsi" w:hAnsiTheme="minorHAnsi"/>
          <w:lang w:val="en-US"/>
        </w:rPr>
        <w:t xml:space="preserve">- </w:t>
      </w:r>
      <w:r w:rsidRPr="00515076">
        <w:rPr>
          <w:rFonts w:asciiTheme="minorHAnsi" w:hAnsiTheme="minorHAnsi"/>
          <w:u w:val="single"/>
          <w:lang w:val="en-US"/>
        </w:rPr>
        <w:t>Smoking</w:t>
      </w:r>
      <w:r w:rsidRPr="00515076">
        <w:rPr>
          <w:rFonts w:asciiTheme="minorHAnsi" w:hAnsiTheme="minorHAnsi"/>
          <w:lang w:val="en-US"/>
        </w:rPr>
        <w:t>: patients who had smoked at least 100 cigarettes in their lifetime and still smoked or had quit smoking within the preceding year were classified as current smokers. The rest were classified as former smokers (ever exposed) or not smoker</w:t>
      </w:r>
      <w:r w:rsidRPr="00486F52">
        <w:rPr>
          <w:rFonts w:asciiTheme="minorHAnsi" w:hAnsiTheme="minorHAnsi"/>
          <w:lang w:val="en-US"/>
        </w:rPr>
        <w:t xml:space="preserve">s </w:t>
      </w:r>
      <w:r w:rsidRPr="00486F52">
        <w:rPr>
          <w:rFonts w:asciiTheme="minorHAnsi" w:hAnsiTheme="minorHAnsi" w:cs="Arial"/>
        </w:rPr>
        <w:fldChar w:fldCharType="begin" w:fldLock="1"/>
      </w:r>
      <w:r w:rsidRPr="004D3913">
        <w:rPr>
          <w:rFonts w:asciiTheme="minorHAnsi" w:hAnsiTheme="minorHAnsi" w:cs="Arial"/>
          <w:lang w:val="en-US"/>
        </w:rPr>
        <w:instrText>ADDIN CSL_CITATION {"citationItems":[{"id":"ITEM-1","itemData":{"DOI":"10.1080/00325481.2015.1074030","ISSN":"19419260","abstract":"Community-acquired pneumonia is still a significant cause of morbidity and mortality and is often misdiagnosed and inappropriately treated. Although it can be caused by a wide variety of micro-organisms, the pneumococcus, atypicals, such as Mycoplasma pneumoniae and Chlamydophila pneumoniae, Staphylococcus aureus and certain Gram-negative rods are the usual pathogens encountered. The site-of-care decision is critical in determining the site and type of care as well as the extent of diagnostic workup. Antimicrobial therapy should be started as soon as possible particularly in those requiring admission to hospital, but typically the physician does not know with any degree of certainty the identity of the etiologic pathogen. A number of national guidelines have been published to help the physician with this choice. The initial drug(s) can be modified if necessary if the pathogen and its antimicrobial susceptibility pattern becomes known. Adjunctive therapy such as pressors and fluid replacement are of value and macrolides appear to help as well, likely secondary to their immunomodulatory effects. Recent data also suggest a role for steroids.","author":[{"dropping-particle":"","family":"Mandell","given":"Lionel A.","non-dropping-particle":"","parse-names":false,"suffix":""}],"container-title":"Postgraduate Medicine","id":"ITEM-1","issue":"6","issued":{"date-parts":[["2015"]]},"page":"607-615","title":"Community-acquired pneumonia: An overview","type":"article-journal","volume":"127"},"uris":["http://www.mendeley.com/documents/?uuid=f4393930-8116-4b0c-b33e-868218a2e9e0"]}],"mendeley":{"formattedCitation":"[2]","plainTextFormattedCitation":"[2]","previouslyFormattedCitation":"[2]"},"properties":{"noteIndex":0},"schema":"https://github.com/citation-style-language/schema/raw/master/csl-citation.json"}</w:instrText>
      </w:r>
      <w:r w:rsidRPr="00486F52">
        <w:rPr>
          <w:rFonts w:asciiTheme="minorHAnsi" w:hAnsiTheme="minorHAnsi" w:cs="Arial"/>
        </w:rPr>
        <w:fldChar w:fldCharType="separate"/>
      </w:r>
      <w:r w:rsidRPr="004D3913">
        <w:rPr>
          <w:rFonts w:asciiTheme="minorHAnsi" w:hAnsiTheme="minorHAnsi" w:cs="Arial"/>
          <w:noProof/>
          <w:sz w:val="24"/>
          <w:szCs w:val="24"/>
          <w:lang w:val="en-US"/>
        </w:rPr>
        <w:t>[1]</w:t>
      </w:r>
      <w:r w:rsidRPr="00486F52">
        <w:rPr>
          <w:rFonts w:asciiTheme="minorHAnsi" w:hAnsiTheme="minorHAnsi" w:cs="Arial"/>
        </w:rPr>
        <w:fldChar w:fldCharType="end"/>
      </w:r>
      <w:r w:rsidRPr="004D3913">
        <w:rPr>
          <w:rFonts w:asciiTheme="minorHAnsi" w:hAnsiTheme="minorHAnsi" w:cs="Arial"/>
          <w:sz w:val="24"/>
          <w:szCs w:val="24"/>
          <w:lang w:val="en-US"/>
        </w:rPr>
        <w:t>.</w:t>
      </w:r>
    </w:p>
    <w:p w14:paraId="3F1A238D" w14:textId="77777777" w:rsidR="004D3913" w:rsidRPr="004D3913" w:rsidRDefault="004D3913" w:rsidP="004D3913">
      <w:pPr>
        <w:pStyle w:val="Ttulo1"/>
        <w:shd w:val="clear" w:color="auto" w:fill="FFFFFF"/>
        <w:spacing w:before="120" w:beforeAutospacing="0" w:after="120" w:afterAutospacing="0" w:line="480" w:lineRule="auto"/>
        <w:jc w:val="both"/>
        <w:rPr>
          <w:rFonts w:asciiTheme="minorHAnsi" w:hAnsiTheme="minorHAnsi"/>
          <w:b w:val="0"/>
          <w:sz w:val="24"/>
          <w:szCs w:val="24"/>
          <w:lang w:val="en-US"/>
        </w:rPr>
      </w:pPr>
      <w:r w:rsidRPr="004D3913">
        <w:rPr>
          <w:rFonts w:asciiTheme="minorHAnsi" w:hAnsiTheme="minorHAnsi"/>
          <w:b w:val="0"/>
          <w:sz w:val="24"/>
          <w:szCs w:val="24"/>
          <w:lang w:val="en-US"/>
        </w:rPr>
        <w:t xml:space="preserve">- </w:t>
      </w:r>
      <w:r w:rsidRPr="004D3913">
        <w:rPr>
          <w:rFonts w:asciiTheme="minorHAnsi" w:hAnsiTheme="minorHAnsi"/>
          <w:b w:val="0"/>
          <w:sz w:val="24"/>
          <w:szCs w:val="24"/>
          <w:u w:val="single"/>
          <w:lang w:val="en-US"/>
        </w:rPr>
        <w:t>Alcohol abuse</w:t>
      </w:r>
      <w:r w:rsidRPr="004D3913">
        <w:rPr>
          <w:rFonts w:asciiTheme="minorHAnsi" w:hAnsiTheme="minorHAnsi"/>
          <w:b w:val="0"/>
          <w:sz w:val="24"/>
          <w:szCs w:val="24"/>
          <w:lang w:val="en-US"/>
        </w:rPr>
        <w:t xml:space="preserve">: it was considered if alcohol intake was ≥ 3 standard drinks per day. </w:t>
      </w:r>
    </w:p>
    <w:p w14:paraId="68D2B5F5" w14:textId="77777777" w:rsidR="004D3913" w:rsidRPr="004D3913" w:rsidRDefault="004D3913" w:rsidP="004D3913">
      <w:pPr>
        <w:spacing w:line="480" w:lineRule="auto"/>
        <w:jc w:val="both"/>
        <w:rPr>
          <w:rFonts w:asciiTheme="minorHAnsi" w:hAnsiTheme="minorHAnsi" w:cs="Arial"/>
          <w:lang w:val="en-US"/>
        </w:rPr>
      </w:pPr>
      <w:r w:rsidRPr="004D3913">
        <w:rPr>
          <w:rFonts w:asciiTheme="minorHAnsi" w:hAnsiTheme="minorHAnsi"/>
          <w:sz w:val="24"/>
          <w:szCs w:val="24"/>
          <w:lang w:val="en-US"/>
        </w:rPr>
        <w:t xml:space="preserve">- </w:t>
      </w:r>
      <w:r w:rsidRPr="004D3913">
        <w:rPr>
          <w:rFonts w:asciiTheme="minorHAnsi" w:hAnsiTheme="minorHAnsi"/>
          <w:sz w:val="24"/>
          <w:szCs w:val="24"/>
          <w:u w:val="single"/>
          <w:lang w:val="en-US"/>
        </w:rPr>
        <w:t>Comorbidities</w:t>
      </w:r>
      <w:r w:rsidRPr="004D3913">
        <w:rPr>
          <w:rFonts w:asciiTheme="minorHAnsi" w:hAnsiTheme="minorHAnsi"/>
          <w:sz w:val="24"/>
          <w:szCs w:val="24"/>
          <w:lang w:val="en-US"/>
        </w:rPr>
        <w:t xml:space="preserve">: were based on </w:t>
      </w:r>
      <w:proofErr w:type="spellStart"/>
      <w:r w:rsidRPr="004D3913">
        <w:rPr>
          <w:rFonts w:asciiTheme="minorHAnsi" w:hAnsiTheme="minorHAnsi"/>
          <w:sz w:val="24"/>
          <w:szCs w:val="24"/>
          <w:lang w:val="en-US"/>
        </w:rPr>
        <w:t>Charlson</w:t>
      </w:r>
      <w:proofErr w:type="spellEnd"/>
      <w:r w:rsidRPr="004D3913">
        <w:rPr>
          <w:rFonts w:asciiTheme="minorHAnsi" w:hAnsiTheme="minorHAnsi"/>
          <w:sz w:val="24"/>
          <w:szCs w:val="24"/>
          <w:lang w:val="en-US"/>
        </w:rPr>
        <w:t xml:space="preserve"> index</w:t>
      </w:r>
      <w:r w:rsidRPr="004D3913">
        <w:rPr>
          <w:rFonts w:asciiTheme="minorHAnsi" w:hAnsiTheme="minorHAnsi"/>
          <w:b/>
          <w:sz w:val="24"/>
          <w:szCs w:val="24"/>
          <w:lang w:val="en-US"/>
        </w:rPr>
        <w:t xml:space="preserve"> </w:t>
      </w:r>
      <w:r w:rsidRPr="004D3913">
        <w:rPr>
          <w:rFonts w:asciiTheme="minorHAnsi" w:hAnsiTheme="minorHAnsi" w:cs="Arial"/>
          <w:sz w:val="24"/>
          <w:szCs w:val="24"/>
        </w:rPr>
        <w:fldChar w:fldCharType="begin" w:fldLock="1"/>
      </w:r>
      <w:r w:rsidRPr="004D3913">
        <w:rPr>
          <w:rFonts w:asciiTheme="minorHAnsi" w:hAnsiTheme="minorHAnsi" w:cs="Arial"/>
          <w:sz w:val="24"/>
          <w:szCs w:val="24"/>
          <w:lang w:val="en-US"/>
        </w:rPr>
        <w:instrText>ADDIN CSL_CITATION {"citationItems":[{"id":"ITEM-1","itemData":{"DOI":"10.1080/00325481.2015.1074030","ISSN":"19419260","abstract":"Community-acquired pneumonia is still a significant cause of morbidity and mortality and is often misdiagnosed and inappropriately treated. Although it can be caused by a wide variety of micro-organisms, the pneumococcus, atypicals, such as Mycoplasma pneumoniae and Chlamydophila pneumoniae, Staphylococcus aureus and certain Gram-negative rods are the usual pathogens encountered. The site-of-care decision is critical in determining the site and type of care as well as the extent of diagnostic workup. Antimicrobial therapy should be started as soon as possible particularly in those requiring admission to hospital, but typically the physician does not know with any degree of certainty the identity of the etiologic pathogen. A number of national guidelines have been published to help the physician with this choice. The initial drug(s) can be modified if necessary if the pathogen and its antimicrobial susceptibility pattern becomes known. Adjunctive therapy such as pressors and fluid replacement are of value and macrolides appear to help as well, likely secondary to their immunomodulatory effects. Recent data also suggest a role for steroids.","author":[{"dropping-particle":"","family":"Mandell","given":"Lionel A.","non-dropping-particle":"","parse-names":false,"suffix":""}],"container-title":"Postgraduate Medicine","id":"ITEM-1","issue":"6","issued":{"date-parts":[["2015"]]},"page":"607-615","title":"Community-acquired pneumonia: An overview","type":"article-journal","volume":"127"},"uris":["http://www.mendeley.com/documents/?uuid=f4393930-8116-4b0c-b33e-868218a2e9e0"]}],"mendeley":{"formattedCitation":"[2]","plainTextFormattedCitation":"[2]","previouslyFormattedCitation":"[2]"},"properties":{"noteIndex":0},"schema":"https://github.com/citation-style-language/schema/raw/master/csl-citation.json"}</w:instrText>
      </w:r>
      <w:r w:rsidRPr="004D3913">
        <w:rPr>
          <w:rFonts w:asciiTheme="minorHAnsi" w:hAnsiTheme="minorHAnsi" w:cs="Arial"/>
          <w:sz w:val="24"/>
          <w:szCs w:val="24"/>
        </w:rPr>
        <w:fldChar w:fldCharType="separate"/>
      </w:r>
      <w:r w:rsidRPr="004D3913">
        <w:rPr>
          <w:rFonts w:asciiTheme="minorHAnsi" w:hAnsiTheme="minorHAnsi" w:cs="Arial"/>
          <w:noProof/>
          <w:sz w:val="24"/>
          <w:szCs w:val="24"/>
          <w:lang w:val="en-US"/>
        </w:rPr>
        <w:t>[2]</w:t>
      </w:r>
      <w:r w:rsidRPr="004D3913">
        <w:rPr>
          <w:rFonts w:asciiTheme="minorHAnsi" w:hAnsiTheme="minorHAnsi" w:cs="Arial"/>
          <w:sz w:val="24"/>
          <w:szCs w:val="24"/>
        </w:rPr>
        <w:fldChar w:fldCharType="end"/>
      </w:r>
      <w:r w:rsidRPr="004D3913">
        <w:rPr>
          <w:rFonts w:asciiTheme="minorHAnsi" w:hAnsiTheme="minorHAnsi" w:cs="Arial"/>
          <w:sz w:val="24"/>
          <w:szCs w:val="24"/>
          <w:lang w:val="en-US"/>
        </w:rPr>
        <w:t>.</w:t>
      </w:r>
    </w:p>
    <w:p w14:paraId="769B5AC2" w14:textId="77777777" w:rsidR="004D3913" w:rsidRPr="00515076" w:rsidRDefault="004D3913" w:rsidP="004D3913">
      <w:pPr>
        <w:pStyle w:val="Ttulo1"/>
        <w:shd w:val="clear" w:color="auto" w:fill="FFFFFF"/>
        <w:spacing w:before="120" w:beforeAutospacing="0" w:after="120" w:afterAutospacing="0" w:line="480" w:lineRule="auto"/>
        <w:jc w:val="both"/>
        <w:rPr>
          <w:rFonts w:asciiTheme="minorHAnsi" w:hAnsiTheme="minorHAnsi"/>
          <w:b w:val="0"/>
          <w:sz w:val="24"/>
          <w:szCs w:val="24"/>
          <w:lang w:val="en-US"/>
        </w:rPr>
      </w:pPr>
      <w:r w:rsidRPr="00515076">
        <w:rPr>
          <w:rFonts w:asciiTheme="minorHAnsi" w:hAnsiTheme="minorHAnsi"/>
          <w:b w:val="0"/>
          <w:sz w:val="24"/>
          <w:szCs w:val="24"/>
          <w:lang w:val="en-US"/>
        </w:rPr>
        <w:t>-</w:t>
      </w:r>
      <w:r w:rsidRPr="00515076">
        <w:rPr>
          <w:rFonts w:asciiTheme="minorHAnsi" w:hAnsiTheme="minorHAnsi"/>
          <w:b w:val="0"/>
          <w:sz w:val="24"/>
          <w:szCs w:val="24"/>
          <w:u w:val="single"/>
          <w:lang w:val="en-US"/>
        </w:rPr>
        <w:t xml:space="preserve"> Immunosuppression</w:t>
      </w:r>
      <w:r w:rsidRPr="00515076">
        <w:rPr>
          <w:rFonts w:asciiTheme="minorHAnsi" w:hAnsiTheme="minorHAnsi"/>
          <w:b w:val="0"/>
          <w:sz w:val="24"/>
          <w:szCs w:val="24"/>
          <w:lang w:val="en-US"/>
        </w:rPr>
        <w:t xml:space="preserve">: was defined by the presence of at least one of the following: acquired immunodeficiency syndrome (AIDS), chronic corticosteroid therapy, severe neutropenia, solid or hematopoietic organ transplantation and use of chemotherapy, immunosuppressive </w:t>
      </w:r>
      <w:proofErr w:type="gramStart"/>
      <w:r w:rsidRPr="00515076">
        <w:rPr>
          <w:rFonts w:asciiTheme="minorHAnsi" w:hAnsiTheme="minorHAnsi"/>
          <w:b w:val="0"/>
          <w:sz w:val="24"/>
          <w:szCs w:val="24"/>
          <w:lang w:val="en-US"/>
        </w:rPr>
        <w:t>agents</w:t>
      </w:r>
      <w:proofErr w:type="gramEnd"/>
      <w:r w:rsidRPr="00515076">
        <w:rPr>
          <w:rFonts w:asciiTheme="minorHAnsi" w:hAnsiTheme="minorHAnsi"/>
          <w:b w:val="0"/>
          <w:sz w:val="24"/>
          <w:szCs w:val="24"/>
          <w:lang w:val="en-US"/>
        </w:rPr>
        <w:t xml:space="preserve"> or biological drugs. Corticosteroid therapy was defined as ≥ 5 mg/day of prednisone or equivalent for at least two previous months. </w:t>
      </w:r>
    </w:p>
    <w:p w14:paraId="1DFF66C1" w14:textId="77777777" w:rsidR="004D3913" w:rsidRDefault="004D3913" w:rsidP="004D3913">
      <w:pPr>
        <w:pStyle w:val="Ttulo1"/>
        <w:shd w:val="clear" w:color="auto" w:fill="FFFFFF"/>
        <w:spacing w:before="120" w:beforeAutospacing="0" w:after="120" w:afterAutospacing="0" w:line="480" w:lineRule="auto"/>
        <w:jc w:val="both"/>
        <w:rPr>
          <w:rFonts w:asciiTheme="minorHAnsi" w:hAnsiTheme="minorHAnsi"/>
          <w:b w:val="0"/>
          <w:sz w:val="24"/>
          <w:szCs w:val="24"/>
          <w:lang w:val="en-US"/>
        </w:rPr>
      </w:pPr>
      <w:r w:rsidRPr="00515076">
        <w:rPr>
          <w:rFonts w:asciiTheme="minorHAnsi" w:hAnsiTheme="minorHAnsi"/>
          <w:b w:val="0"/>
          <w:sz w:val="24"/>
          <w:szCs w:val="24"/>
          <w:lang w:val="en-US"/>
        </w:rPr>
        <w:t xml:space="preserve">- </w:t>
      </w:r>
      <w:r w:rsidRPr="00515076">
        <w:rPr>
          <w:rFonts w:asciiTheme="minorHAnsi" w:hAnsiTheme="minorHAnsi"/>
          <w:b w:val="0"/>
          <w:sz w:val="24"/>
          <w:szCs w:val="24"/>
          <w:u w:val="single"/>
          <w:lang w:val="en-US"/>
        </w:rPr>
        <w:t>Prior antibiotic treatment</w:t>
      </w:r>
      <w:r w:rsidRPr="00515076">
        <w:rPr>
          <w:rFonts w:asciiTheme="minorHAnsi" w:hAnsiTheme="minorHAnsi"/>
          <w:b w:val="0"/>
          <w:sz w:val="24"/>
          <w:szCs w:val="24"/>
          <w:lang w:val="en-US"/>
        </w:rPr>
        <w:t xml:space="preserve">: was defined as the intake of antibiotic 3 months </w:t>
      </w:r>
      <w:proofErr w:type="gramStart"/>
      <w:r w:rsidRPr="00515076">
        <w:rPr>
          <w:rFonts w:asciiTheme="minorHAnsi" w:hAnsiTheme="minorHAnsi"/>
          <w:b w:val="0"/>
          <w:sz w:val="24"/>
          <w:szCs w:val="24"/>
          <w:lang w:val="en-US"/>
        </w:rPr>
        <w:t>before  hospitalization</w:t>
      </w:r>
      <w:proofErr w:type="gramEnd"/>
      <w:r w:rsidRPr="00515076">
        <w:rPr>
          <w:rFonts w:asciiTheme="minorHAnsi" w:hAnsiTheme="minorHAnsi"/>
          <w:b w:val="0"/>
          <w:sz w:val="24"/>
          <w:szCs w:val="24"/>
          <w:lang w:val="en-US"/>
        </w:rPr>
        <w:t xml:space="preserve">. </w:t>
      </w:r>
    </w:p>
    <w:p w14:paraId="40F5ADC0" w14:textId="5E82F693" w:rsidR="004D3913" w:rsidRPr="00515076" w:rsidRDefault="004D3913" w:rsidP="004D3913">
      <w:pPr>
        <w:pStyle w:val="Ttulo1"/>
        <w:shd w:val="clear" w:color="auto" w:fill="FFFFFF"/>
        <w:spacing w:before="120" w:beforeAutospacing="0" w:after="120" w:afterAutospacing="0" w:line="480" w:lineRule="auto"/>
        <w:jc w:val="both"/>
        <w:rPr>
          <w:rFonts w:asciiTheme="minorHAnsi" w:hAnsiTheme="minorHAnsi"/>
          <w:b w:val="0"/>
          <w:sz w:val="24"/>
          <w:szCs w:val="24"/>
          <w:lang w:val="en-US"/>
        </w:rPr>
      </w:pPr>
      <w:r>
        <w:rPr>
          <w:rFonts w:asciiTheme="minorHAnsi" w:hAnsiTheme="minorHAnsi"/>
          <w:b w:val="0"/>
          <w:sz w:val="24"/>
          <w:szCs w:val="24"/>
          <w:lang w:val="en-US"/>
        </w:rPr>
        <w:t xml:space="preserve">- </w:t>
      </w:r>
      <w:r w:rsidRPr="00515076">
        <w:rPr>
          <w:rFonts w:asciiTheme="minorHAnsi" w:hAnsiTheme="minorHAnsi"/>
          <w:b w:val="0"/>
          <w:sz w:val="24"/>
          <w:szCs w:val="24"/>
          <w:u w:val="single"/>
          <w:lang w:val="en-US"/>
        </w:rPr>
        <w:t xml:space="preserve">Pre-hospital antibiotic </w:t>
      </w:r>
      <w:proofErr w:type="gramStart"/>
      <w:r w:rsidRPr="00515076">
        <w:rPr>
          <w:rFonts w:asciiTheme="minorHAnsi" w:hAnsiTheme="minorHAnsi"/>
          <w:b w:val="0"/>
          <w:sz w:val="24"/>
          <w:szCs w:val="24"/>
          <w:u w:val="single"/>
          <w:lang w:val="en-US"/>
        </w:rPr>
        <w:t>treatment</w:t>
      </w:r>
      <w:r w:rsidRPr="00515076">
        <w:rPr>
          <w:rFonts w:asciiTheme="minorHAnsi" w:hAnsiTheme="minorHAnsi"/>
          <w:b w:val="0"/>
          <w:sz w:val="24"/>
          <w:szCs w:val="24"/>
          <w:lang w:val="en-US"/>
        </w:rPr>
        <w:t>:</w:t>
      </w:r>
      <w:proofErr w:type="gramEnd"/>
      <w:r w:rsidRPr="00515076">
        <w:rPr>
          <w:rFonts w:asciiTheme="minorHAnsi" w:hAnsiTheme="minorHAnsi"/>
          <w:b w:val="0"/>
          <w:sz w:val="24"/>
          <w:szCs w:val="24"/>
          <w:lang w:val="en-US"/>
        </w:rPr>
        <w:t xml:space="preserve">  was defined as the oral intake of antibiotic &gt; 24 hours prior to hospitalization for the same episode of acute disease. Patients were </w:t>
      </w:r>
      <w:r w:rsidRPr="00515076">
        <w:rPr>
          <w:rFonts w:asciiTheme="minorHAnsi" w:hAnsiTheme="minorHAnsi"/>
          <w:b w:val="0"/>
          <w:sz w:val="24"/>
          <w:szCs w:val="24"/>
          <w:lang w:val="en-US"/>
        </w:rPr>
        <w:lastRenderedPageBreak/>
        <w:t xml:space="preserve">classified as receiving antibiotics if they self-reported prescription or by reviewing the prescriptions from their Primary Care Centre. </w:t>
      </w:r>
    </w:p>
    <w:p w14:paraId="5EE6C40B" w14:textId="77777777" w:rsidR="004D3913" w:rsidRPr="004D3913" w:rsidRDefault="004D3913" w:rsidP="004D3913">
      <w:pPr>
        <w:spacing w:line="480" w:lineRule="auto"/>
        <w:jc w:val="both"/>
        <w:rPr>
          <w:rFonts w:asciiTheme="minorHAnsi" w:hAnsiTheme="minorHAnsi" w:cs="Arial"/>
          <w:sz w:val="24"/>
          <w:szCs w:val="24"/>
          <w:lang w:val="en-US"/>
        </w:rPr>
      </w:pPr>
      <w:r w:rsidRPr="004D3913">
        <w:rPr>
          <w:rFonts w:asciiTheme="minorHAnsi" w:hAnsiTheme="minorHAnsi"/>
          <w:sz w:val="24"/>
          <w:szCs w:val="24"/>
          <w:lang w:val="en-US"/>
        </w:rPr>
        <w:t xml:space="preserve">- </w:t>
      </w:r>
      <w:r w:rsidRPr="004D3913">
        <w:rPr>
          <w:rFonts w:asciiTheme="minorHAnsi" w:hAnsiTheme="minorHAnsi"/>
          <w:sz w:val="24"/>
          <w:szCs w:val="24"/>
          <w:u w:val="single"/>
          <w:lang w:val="en-US"/>
        </w:rPr>
        <w:t>Septic shock</w:t>
      </w:r>
      <w:r w:rsidRPr="004D3913">
        <w:rPr>
          <w:rFonts w:asciiTheme="minorHAnsi" w:hAnsiTheme="minorHAnsi"/>
          <w:sz w:val="24"/>
          <w:szCs w:val="24"/>
          <w:lang w:val="en-US"/>
        </w:rPr>
        <w:t>: systolic blood pressure of less than 90 mmHg, a MAP &lt; 60, or a reduction in systolic blood pressure of &gt; 40 mm Hg from baseline, despite adequate volume resuscitation, in the absence of other causes for hypotension</w:t>
      </w:r>
      <w:r w:rsidRPr="004D3913">
        <w:rPr>
          <w:rFonts w:asciiTheme="minorHAnsi" w:hAnsiTheme="minorHAnsi"/>
          <w:b/>
          <w:sz w:val="24"/>
          <w:szCs w:val="24"/>
          <w:lang w:val="en-US"/>
        </w:rPr>
        <w:t xml:space="preserve"> </w:t>
      </w:r>
      <w:r w:rsidRPr="004D3913">
        <w:rPr>
          <w:rFonts w:asciiTheme="minorHAnsi" w:hAnsiTheme="minorHAnsi" w:cs="Arial"/>
          <w:sz w:val="24"/>
          <w:szCs w:val="24"/>
        </w:rPr>
        <w:fldChar w:fldCharType="begin" w:fldLock="1"/>
      </w:r>
      <w:r w:rsidRPr="004D3913">
        <w:rPr>
          <w:rFonts w:asciiTheme="minorHAnsi" w:hAnsiTheme="minorHAnsi" w:cs="Arial"/>
          <w:sz w:val="24"/>
          <w:szCs w:val="24"/>
          <w:lang w:val="en-US"/>
        </w:rPr>
        <w:instrText>ADDIN CSL_CITATION {"citationItems":[{"id":"ITEM-1","itemData":{"DOI":"10.1080/00325481.2015.1074030","ISSN":"19419260","abstract":"Community-acquired pneumonia is still a significant cause of morbidity and mortality and is often misdiagnosed and inappropriately treated. Although it can be caused by a wide variety of micro-organisms, the pneumococcus, atypicals, such as Mycoplasma pneumoniae and Chlamydophila pneumoniae, Staphylococcus aureus and certain Gram-negative rods are the usual pathogens encountered. The site-of-care decision is critical in determining the site and type of care as well as the extent of diagnostic workup. Antimicrobial therapy should be started as soon as possible particularly in those requiring admission to hospital, but typically the physician does not know with any degree of certainty the identity of the etiologic pathogen. A number of national guidelines have been published to help the physician with this choice. The initial drug(s) can be modified if necessary if the pathogen and its antimicrobial susceptibility pattern becomes known. Adjunctive therapy such as pressors and fluid replacement are of value and macrolides appear to help as well, likely secondary to their immunomodulatory effects. Recent data also suggest a role for steroids.","author":[{"dropping-particle":"","family":"Mandell","given":"Lionel A.","non-dropping-particle":"","parse-names":false,"suffix":""}],"container-title":"Postgraduate Medicine","id":"ITEM-1","issue":"6","issued":{"date-parts":[["2015"]]},"page":"607-615","title":"Community-acquired pneumonia: An overview","type":"article-journal","volume":"127"},"uris":["http://www.mendeley.com/documents/?uuid=f4393930-8116-4b0c-b33e-868218a2e9e0"]}],"mendeley":{"formattedCitation":"[2]","plainTextFormattedCitation":"[2]","previouslyFormattedCitation":"[2]"},"properties":{"noteIndex":0},"schema":"https://github.com/citation-style-language/schema/raw/master/csl-citation.json"}</w:instrText>
      </w:r>
      <w:r w:rsidRPr="004D3913">
        <w:rPr>
          <w:rFonts w:asciiTheme="minorHAnsi" w:hAnsiTheme="minorHAnsi" w:cs="Arial"/>
          <w:sz w:val="24"/>
          <w:szCs w:val="24"/>
        </w:rPr>
        <w:fldChar w:fldCharType="separate"/>
      </w:r>
      <w:r w:rsidRPr="004D3913">
        <w:rPr>
          <w:rFonts w:asciiTheme="minorHAnsi" w:hAnsiTheme="minorHAnsi" w:cs="Arial"/>
          <w:noProof/>
          <w:sz w:val="24"/>
          <w:szCs w:val="24"/>
          <w:lang w:val="en-US"/>
        </w:rPr>
        <w:t>[4]</w:t>
      </w:r>
      <w:r w:rsidRPr="004D3913">
        <w:rPr>
          <w:rFonts w:asciiTheme="minorHAnsi" w:hAnsiTheme="minorHAnsi" w:cs="Arial"/>
          <w:sz w:val="24"/>
          <w:szCs w:val="24"/>
        </w:rPr>
        <w:fldChar w:fldCharType="end"/>
      </w:r>
      <w:r w:rsidRPr="004D3913">
        <w:rPr>
          <w:rFonts w:asciiTheme="minorHAnsi" w:hAnsiTheme="minorHAnsi" w:cs="Arial"/>
          <w:sz w:val="24"/>
          <w:szCs w:val="24"/>
          <w:lang w:val="en-US"/>
        </w:rPr>
        <w:t>.</w:t>
      </w:r>
    </w:p>
    <w:p w14:paraId="339F30E2" w14:textId="77777777" w:rsidR="004D3913" w:rsidRPr="004D3913" w:rsidRDefault="004D3913" w:rsidP="004D3913">
      <w:pPr>
        <w:spacing w:line="480" w:lineRule="auto"/>
        <w:jc w:val="both"/>
        <w:rPr>
          <w:rFonts w:asciiTheme="minorHAnsi" w:hAnsiTheme="minorHAnsi" w:cs="Arial"/>
          <w:sz w:val="24"/>
          <w:szCs w:val="24"/>
          <w:lang w:val="en-US"/>
        </w:rPr>
      </w:pPr>
      <w:r w:rsidRPr="004D3913">
        <w:rPr>
          <w:rFonts w:asciiTheme="minorHAnsi" w:hAnsiTheme="minorHAnsi"/>
          <w:sz w:val="24"/>
          <w:szCs w:val="24"/>
          <w:lang w:val="en-US"/>
        </w:rPr>
        <w:t xml:space="preserve">- </w:t>
      </w:r>
      <w:r w:rsidRPr="004D3913">
        <w:rPr>
          <w:rFonts w:asciiTheme="minorHAnsi" w:hAnsiTheme="minorHAnsi"/>
          <w:sz w:val="24"/>
          <w:szCs w:val="24"/>
          <w:u w:val="single"/>
          <w:lang w:val="en-US"/>
        </w:rPr>
        <w:t>Clinical stability</w:t>
      </w:r>
      <w:r w:rsidRPr="004D3913">
        <w:rPr>
          <w:rFonts w:asciiTheme="minorHAnsi" w:hAnsiTheme="minorHAnsi"/>
          <w:sz w:val="24"/>
          <w:szCs w:val="24"/>
          <w:lang w:val="en-US"/>
        </w:rPr>
        <w:t xml:space="preserve"> was defined as previously described by Halm et al</w:t>
      </w:r>
      <w:r w:rsidRPr="004D3913">
        <w:rPr>
          <w:rFonts w:asciiTheme="minorHAnsi" w:hAnsiTheme="minorHAnsi"/>
          <w:b/>
          <w:sz w:val="24"/>
          <w:szCs w:val="24"/>
          <w:lang w:val="en-US"/>
        </w:rPr>
        <w:t xml:space="preserve"> </w:t>
      </w:r>
      <w:r w:rsidRPr="004D3913">
        <w:rPr>
          <w:rFonts w:asciiTheme="minorHAnsi" w:hAnsiTheme="minorHAnsi" w:cs="Arial"/>
          <w:sz w:val="24"/>
          <w:szCs w:val="24"/>
        </w:rPr>
        <w:fldChar w:fldCharType="begin" w:fldLock="1"/>
      </w:r>
      <w:r w:rsidRPr="004D3913">
        <w:rPr>
          <w:rFonts w:asciiTheme="minorHAnsi" w:hAnsiTheme="minorHAnsi" w:cs="Arial"/>
          <w:sz w:val="24"/>
          <w:szCs w:val="24"/>
          <w:lang w:val="en-US"/>
        </w:rPr>
        <w:instrText>ADDIN CSL_CITATION {"citationItems":[{"id":"ITEM-1","itemData":{"DOI":"10.1080/00325481.2015.1074030","ISSN":"19419260","abstract":"Community-acquired pneumonia is still a significant cause of morbidity and mortality and is often misdiagnosed and inappropriately treated. Although it can be caused by a wide variety of micro-organisms, the pneumococcus, atypicals, such as Mycoplasma pneumoniae and Chlamydophila pneumoniae, Staphylococcus aureus and certain Gram-negative rods are the usual pathogens encountered. The site-of-care decision is critical in determining the site and type of care as well as the extent of diagnostic workup. Antimicrobial therapy should be started as soon as possible particularly in those requiring admission to hospital, but typically the physician does not know with any degree of certainty the identity of the etiologic pathogen. A number of national guidelines have been published to help the physician with this choice. The initial drug(s) can be modified if necessary if the pathogen and its antimicrobial susceptibility pattern becomes known. Adjunctive therapy such as pressors and fluid replacement are of value and macrolides appear to help as well, likely secondary to their immunomodulatory effects. Recent data also suggest a role for steroids.","author":[{"dropping-particle":"","family":"Mandell","given":"Lionel A.","non-dropping-particle":"","parse-names":false,"suffix":""}],"container-title":"Postgraduate Medicine","id":"ITEM-1","issue":"6","issued":{"date-parts":[["2015"]]},"page":"607-615","title":"Community-acquired pneumonia: An overview","type":"article-journal","volume":"127"},"uris":["http://www.mendeley.com/documents/?uuid=f4393930-8116-4b0c-b33e-868218a2e9e0"]}],"mendeley":{"formattedCitation":"[2]","plainTextFormattedCitation":"[2]","previouslyFormattedCitation":"[2]"},"properties":{"noteIndex":0},"schema":"https://github.com/citation-style-language/schema/raw/master/csl-citation.json"}</w:instrText>
      </w:r>
      <w:r w:rsidRPr="004D3913">
        <w:rPr>
          <w:rFonts w:asciiTheme="minorHAnsi" w:hAnsiTheme="minorHAnsi" w:cs="Arial"/>
          <w:sz w:val="24"/>
          <w:szCs w:val="24"/>
        </w:rPr>
        <w:fldChar w:fldCharType="separate"/>
      </w:r>
      <w:r w:rsidRPr="004D3913">
        <w:rPr>
          <w:rFonts w:asciiTheme="minorHAnsi" w:hAnsiTheme="minorHAnsi" w:cs="Arial"/>
          <w:noProof/>
          <w:sz w:val="24"/>
          <w:szCs w:val="24"/>
          <w:lang w:val="en-US"/>
        </w:rPr>
        <w:t>[5]</w:t>
      </w:r>
      <w:r w:rsidRPr="004D3913">
        <w:rPr>
          <w:rFonts w:asciiTheme="minorHAnsi" w:hAnsiTheme="minorHAnsi" w:cs="Arial"/>
          <w:sz w:val="24"/>
          <w:szCs w:val="24"/>
        </w:rPr>
        <w:fldChar w:fldCharType="end"/>
      </w:r>
      <w:r w:rsidRPr="004D3913">
        <w:rPr>
          <w:rFonts w:asciiTheme="minorHAnsi" w:hAnsiTheme="minorHAnsi" w:cs="Arial"/>
          <w:sz w:val="24"/>
          <w:szCs w:val="24"/>
          <w:lang w:val="en-US"/>
        </w:rPr>
        <w:t>.</w:t>
      </w:r>
    </w:p>
    <w:p w14:paraId="1F5482CB" w14:textId="702496C6" w:rsidR="004D3913" w:rsidRDefault="004D3913" w:rsidP="004D3913">
      <w:pPr>
        <w:pStyle w:val="Ttulo1"/>
        <w:shd w:val="clear" w:color="auto" w:fill="FFFFFF"/>
        <w:spacing w:before="120" w:beforeAutospacing="0" w:after="120" w:afterAutospacing="0" w:line="480" w:lineRule="auto"/>
        <w:jc w:val="both"/>
        <w:rPr>
          <w:rFonts w:asciiTheme="minorHAnsi" w:hAnsiTheme="minorHAnsi"/>
          <w:b w:val="0"/>
          <w:sz w:val="24"/>
          <w:szCs w:val="24"/>
          <w:lang w:val="en-US"/>
        </w:rPr>
      </w:pPr>
      <w:r>
        <w:rPr>
          <w:rFonts w:asciiTheme="minorHAnsi" w:hAnsiTheme="minorHAnsi"/>
          <w:b w:val="0"/>
          <w:sz w:val="24"/>
          <w:szCs w:val="24"/>
          <w:lang w:val="en-US"/>
        </w:rPr>
        <w:t xml:space="preserve">- </w:t>
      </w:r>
      <w:r w:rsidRPr="001A27A3">
        <w:rPr>
          <w:rFonts w:asciiTheme="minorHAnsi" w:hAnsiTheme="minorHAnsi"/>
          <w:b w:val="0"/>
          <w:sz w:val="24"/>
          <w:szCs w:val="24"/>
          <w:u w:val="single"/>
          <w:lang w:val="en-US"/>
        </w:rPr>
        <w:t>In-hospital mortality</w:t>
      </w:r>
      <w:r>
        <w:rPr>
          <w:rFonts w:asciiTheme="minorHAnsi" w:hAnsiTheme="minorHAnsi"/>
          <w:b w:val="0"/>
          <w:sz w:val="24"/>
          <w:szCs w:val="24"/>
          <w:lang w:val="en-US"/>
        </w:rPr>
        <w:t>: death to any cause during admission.</w:t>
      </w:r>
    </w:p>
    <w:p w14:paraId="46B90FD5" w14:textId="77777777" w:rsidR="004D3913" w:rsidRPr="004D3913" w:rsidRDefault="004D3913" w:rsidP="004D3913">
      <w:pPr>
        <w:pStyle w:val="Ttulo1"/>
        <w:shd w:val="clear" w:color="auto" w:fill="FFFFFF"/>
        <w:spacing w:before="120" w:beforeAutospacing="0" w:after="120" w:afterAutospacing="0" w:line="480" w:lineRule="auto"/>
        <w:jc w:val="both"/>
        <w:rPr>
          <w:rFonts w:asciiTheme="minorHAnsi" w:hAnsiTheme="minorHAnsi"/>
          <w:b w:val="0"/>
          <w:sz w:val="24"/>
          <w:szCs w:val="24"/>
          <w:lang w:val="en-US"/>
        </w:rPr>
      </w:pPr>
    </w:p>
    <w:p w14:paraId="05A7FF78" w14:textId="55D5AF49" w:rsidR="008D0247" w:rsidRPr="00CC207E" w:rsidRDefault="008D0247" w:rsidP="008D0247">
      <w:pPr>
        <w:spacing w:line="480" w:lineRule="auto"/>
        <w:jc w:val="both"/>
        <w:rPr>
          <w:i/>
          <w:sz w:val="24"/>
          <w:szCs w:val="24"/>
          <w:lang w:val="en-US"/>
        </w:rPr>
      </w:pPr>
      <w:r w:rsidRPr="00CC207E">
        <w:rPr>
          <w:i/>
          <w:sz w:val="24"/>
          <w:szCs w:val="24"/>
          <w:lang w:val="en-US"/>
        </w:rPr>
        <w:t>Clinical evaluation and follow up</w:t>
      </w:r>
    </w:p>
    <w:p w14:paraId="1900609C" w14:textId="77777777" w:rsidR="008D0247" w:rsidRPr="006A70DD" w:rsidRDefault="008D0247" w:rsidP="008D0247">
      <w:pPr>
        <w:spacing w:line="480" w:lineRule="auto"/>
        <w:ind w:firstLine="360"/>
        <w:jc w:val="both"/>
        <w:rPr>
          <w:rFonts w:cs="Calibri"/>
          <w:sz w:val="24"/>
          <w:szCs w:val="24"/>
          <w:lang w:val="en-GB"/>
        </w:rPr>
      </w:pPr>
      <w:r w:rsidRPr="006A70DD">
        <w:rPr>
          <w:rFonts w:cs="Calibri"/>
          <w:sz w:val="24"/>
          <w:szCs w:val="24"/>
          <w:lang w:val="en-GB"/>
        </w:rPr>
        <w:t>All CAP episodes were evaluated by an infectious diseases’ consultant before inclusion. All chest radiographs were reviewed by a radiologist confirming the presence of a new infiltrate.</w:t>
      </w:r>
    </w:p>
    <w:p w14:paraId="3E86F51F" w14:textId="77777777" w:rsidR="008D0247" w:rsidRDefault="008D0247" w:rsidP="008D0247">
      <w:pPr>
        <w:spacing w:line="480" w:lineRule="auto"/>
        <w:ind w:firstLine="360"/>
        <w:jc w:val="both"/>
        <w:rPr>
          <w:sz w:val="24"/>
          <w:szCs w:val="24"/>
          <w:lang w:val="en-US"/>
        </w:rPr>
      </w:pPr>
      <w:r w:rsidRPr="002F750C">
        <w:rPr>
          <w:sz w:val="24"/>
          <w:szCs w:val="24"/>
          <w:lang w:val="en-US"/>
        </w:rPr>
        <w:t>The following variables were prospectively collected: age, gender, race, vaccination status, immunosuppression</w:t>
      </w:r>
      <w:r>
        <w:rPr>
          <w:sz w:val="24"/>
          <w:szCs w:val="24"/>
          <w:lang w:val="en-US"/>
        </w:rPr>
        <w:t xml:space="preserve"> (</w:t>
      </w:r>
      <w:r w:rsidRPr="00515076">
        <w:rPr>
          <w:sz w:val="24"/>
          <w:szCs w:val="24"/>
          <w:lang w:val="en-US"/>
        </w:rPr>
        <w:t>acquired immunodeficiency syndrome, chronic corticosteroid therapy, severe neutropenia, solid or hematopoietic organ transplantation and use of chemotherapy, immunosuppressive agents or biological drugs</w:t>
      </w:r>
      <w:r>
        <w:rPr>
          <w:sz w:val="24"/>
          <w:szCs w:val="24"/>
          <w:lang w:val="en-US"/>
        </w:rPr>
        <w:t>)</w:t>
      </w:r>
      <w:r w:rsidRPr="002F750C">
        <w:rPr>
          <w:sz w:val="24"/>
          <w:szCs w:val="24"/>
          <w:lang w:val="en-US"/>
        </w:rPr>
        <w:t xml:space="preserve">, clinical, microbiological and laboratory </w:t>
      </w:r>
      <w:r>
        <w:rPr>
          <w:sz w:val="24"/>
          <w:szCs w:val="24"/>
          <w:lang w:val="en-US"/>
        </w:rPr>
        <w:t>data</w:t>
      </w:r>
      <w:r w:rsidRPr="002F750C">
        <w:rPr>
          <w:sz w:val="24"/>
          <w:szCs w:val="24"/>
          <w:lang w:val="en-US"/>
        </w:rPr>
        <w:t xml:space="preserve"> at admission, evolution, length of stay and outcomes. Variables related to comorbidities (based on </w:t>
      </w:r>
      <w:proofErr w:type="spellStart"/>
      <w:r w:rsidRPr="002F750C">
        <w:rPr>
          <w:sz w:val="24"/>
          <w:szCs w:val="24"/>
          <w:lang w:val="en-US"/>
        </w:rPr>
        <w:t>Charlson</w:t>
      </w:r>
      <w:proofErr w:type="spellEnd"/>
      <w:r w:rsidRPr="002F750C">
        <w:rPr>
          <w:sz w:val="24"/>
          <w:szCs w:val="24"/>
          <w:lang w:val="en-US"/>
        </w:rPr>
        <w:t xml:space="preserve"> severity index), smoking habit and alcohol abuse were also recorded. Prior antibiotic exposure (in the last 3 months), or acute exposure (last 24 hours before admission) were recorded. </w:t>
      </w:r>
    </w:p>
    <w:p w14:paraId="5A7685CB" w14:textId="77777777" w:rsidR="008D0247" w:rsidRPr="00955D9E" w:rsidRDefault="008D0247" w:rsidP="008D0247">
      <w:pPr>
        <w:spacing w:line="480" w:lineRule="auto"/>
        <w:jc w:val="both"/>
        <w:rPr>
          <w:i/>
          <w:sz w:val="24"/>
          <w:szCs w:val="24"/>
          <w:lang w:val="en-US"/>
        </w:rPr>
      </w:pPr>
      <w:r w:rsidRPr="00955D9E">
        <w:rPr>
          <w:i/>
          <w:sz w:val="24"/>
          <w:szCs w:val="24"/>
          <w:lang w:val="en-US"/>
        </w:rPr>
        <w:t>Microbiological tests</w:t>
      </w:r>
    </w:p>
    <w:p w14:paraId="0FF7AD4B" w14:textId="77777777" w:rsidR="008D0247" w:rsidRPr="002C1D15" w:rsidRDefault="008D0247" w:rsidP="008D0247">
      <w:pPr>
        <w:widowControl w:val="0"/>
        <w:autoSpaceDE w:val="0"/>
        <w:autoSpaceDN w:val="0"/>
        <w:adjustRightInd w:val="0"/>
        <w:spacing w:line="480" w:lineRule="auto"/>
        <w:ind w:firstLine="360"/>
        <w:jc w:val="both"/>
        <w:rPr>
          <w:rFonts w:cs="Arial"/>
          <w:sz w:val="24"/>
          <w:szCs w:val="24"/>
          <w:lang w:val="en-US"/>
        </w:rPr>
      </w:pPr>
      <w:r w:rsidRPr="002C1D15">
        <w:rPr>
          <w:sz w:val="24"/>
          <w:szCs w:val="24"/>
          <w:lang w:val="en-US"/>
        </w:rPr>
        <w:lastRenderedPageBreak/>
        <w:t xml:space="preserve">Conventional methods included </w:t>
      </w:r>
      <w:r w:rsidRPr="002C1D15">
        <w:rPr>
          <w:rFonts w:cs="Arial"/>
          <w:sz w:val="24"/>
          <w:szCs w:val="24"/>
          <w:lang w:val="en-US"/>
        </w:rPr>
        <w:t>sputum, nasopharyngeal (NP) swab (</w:t>
      </w:r>
      <w:proofErr w:type="spellStart"/>
      <w:r w:rsidRPr="002C1D15">
        <w:rPr>
          <w:rFonts w:cs="Arial"/>
          <w:sz w:val="24"/>
          <w:szCs w:val="24"/>
          <w:lang w:val="en-US"/>
        </w:rPr>
        <w:t>Deltaswab</w:t>
      </w:r>
      <w:proofErr w:type="spellEnd"/>
      <w:r w:rsidRPr="002C1D15">
        <w:rPr>
          <w:rFonts w:cs="Arial"/>
          <w:sz w:val="24"/>
          <w:szCs w:val="24"/>
          <w:lang w:val="en-US"/>
        </w:rPr>
        <w:t xml:space="preserve"> amies, </w:t>
      </w:r>
      <w:proofErr w:type="spellStart"/>
      <w:r w:rsidRPr="002C1D15">
        <w:rPr>
          <w:rFonts w:cs="Arial"/>
          <w:sz w:val="24"/>
          <w:szCs w:val="24"/>
          <w:lang w:val="en-US"/>
        </w:rPr>
        <w:t>Deltalab</w:t>
      </w:r>
      <w:proofErr w:type="spellEnd"/>
      <w:r w:rsidRPr="002C1D15">
        <w:rPr>
          <w:rFonts w:cs="Arial"/>
          <w:sz w:val="24"/>
          <w:szCs w:val="24"/>
          <w:lang w:val="en-US"/>
        </w:rPr>
        <w:t xml:space="preserve">, </w:t>
      </w:r>
      <w:proofErr w:type="spellStart"/>
      <w:r w:rsidRPr="002C1D15">
        <w:rPr>
          <w:rFonts w:cs="Arial"/>
          <w:sz w:val="24"/>
          <w:szCs w:val="24"/>
          <w:lang w:val="en-US"/>
        </w:rPr>
        <w:t>Rubí</w:t>
      </w:r>
      <w:proofErr w:type="spellEnd"/>
      <w:r w:rsidRPr="002C1D15">
        <w:rPr>
          <w:rFonts w:cs="Arial"/>
          <w:sz w:val="24"/>
          <w:szCs w:val="24"/>
          <w:lang w:val="en-US"/>
        </w:rPr>
        <w:t xml:space="preserve">, Spain) and blood culture. </w:t>
      </w:r>
      <w:r w:rsidRPr="002C1D15">
        <w:rPr>
          <w:color w:val="131413"/>
          <w:sz w:val="24"/>
          <w:szCs w:val="24"/>
          <w:lang w:val="en-US"/>
        </w:rPr>
        <w:t xml:space="preserve">Sputum samples were processed for Gram stain. Sputum samples were considered of good-quality if they had </w:t>
      </w:r>
      <w:r w:rsidRPr="002C1D15">
        <w:rPr>
          <w:sz w:val="24"/>
          <w:szCs w:val="24"/>
          <w:lang w:val="en-US"/>
        </w:rPr>
        <w:t xml:space="preserve">&lt;10 squamous cells and &gt;25 leukocytes per low-power field. </w:t>
      </w:r>
      <w:r w:rsidRPr="002C1D15">
        <w:rPr>
          <w:color w:val="131413"/>
          <w:sz w:val="24"/>
          <w:szCs w:val="24"/>
          <w:lang w:val="en-US"/>
        </w:rPr>
        <w:t xml:space="preserve">Blood cultures were processed with the </w:t>
      </w:r>
      <w:proofErr w:type="spellStart"/>
      <w:r w:rsidRPr="002C1D15">
        <w:rPr>
          <w:color w:val="131413"/>
          <w:sz w:val="24"/>
          <w:szCs w:val="24"/>
          <w:lang w:val="en-US"/>
        </w:rPr>
        <w:t>BacT</w:t>
      </w:r>
      <w:proofErr w:type="spellEnd"/>
      <w:r w:rsidRPr="002C1D15">
        <w:rPr>
          <w:color w:val="131413"/>
          <w:sz w:val="24"/>
          <w:szCs w:val="24"/>
          <w:lang w:val="en-US"/>
        </w:rPr>
        <w:t>-Alert® system (</w:t>
      </w:r>
      <w:proofErr w:type="spellStart"/>
      <w:r w:rsidRPr="002C1D15">
        <w:rPr>
          <w:color w:val="131413"/>
          <w:sz w:val="24"/>
          <w:szCs w:val="24"/>
          <w:lang w:val="en-US"/>
        </w:rPr>
        <w:t>bioMérieux</w:t>
      </w:r>
      <w:proofErr w:type="spellEnd"/>
      <w:r w:rsidRPr="002C1D15">
        <w:rPr>
          <w:color w:val="131413"/>
          <w:sz w:val="24"/>
          <w:szCs w:val="24"/>
          <w:lang w:val="en-US"/>
        </w:rPr>
        <w:t>, Marcy-Etoile, France).</w:t>
      </w:r>
      <w:r>
        <w:rPr>
          <w:color w:val="131413"/>
          <w:sz w:val="24"/>
          <w:szCs w:val="24"/>
          <w:lang w:val="en-US"/>
        </w:rPr>
        <w:t xml:space="preserve"> </w:t>
      </w:r>
      <w:r w:rsidRPr="00462F99">
        <w:rPr>
          <w:color w:val="131413"/>
          <w:sz w:val="24"/>
          <w:szCs w:val="24"/>
          <w:lang w:val="en-US"/>
        </w:rPr>
        <w:t>Identification of isolates were performed by MALDI-TOF (matrix-assisted laser desorption/ionization time-of-flight</w:t>
      </w:r>
      <w:r>
        <w:rPr>
          <w:color w:val="131413"/>
          <w:sz w:val="24"/>
          <w:szCs w:val="24"/>
          <w:lang w:val="en-US"/>
        </w:rPr>
        <w:t>)</w:t>
      </w:r>
      <w:r w:rsidRPr="00462F99">
        <w:rPr>
          <w:color w:val="131413"/>
          <w:sz w:val="24"/>
          <w:szCs w:val="24"/>
          <w:lang w:val="en-US"/>
        </w:rPr>
        <w:t xml:space="preserve"> mass spectrometry and a</w:t>
      </w:r>
      <w:r w:rsidRPr="00462F99">
        <w:rPr>
          <w:sz w:val="24"/>
          <w:szCs w:val="24"/>
          <w:lang w:val="en-US"/>
        </w:rPr>
        <w:t>ntimicrobial susceptibility was tested by the microdilution method, following the European Committee on Antimicrobial Susceptibility Testing methods and criteria (EUCAST).</w:t>
      </w:r>
      <w:r w:rsidRPr="002C1D15">
        <w:rPr>
          <w:color w:val="131413"/>
          <w:sz w:val="24"/>
          <w:szCs w:val="24"/>
          <w:lang w:val="en-US"/>
        </w:rPr>
        <w:t xml:space="preserve"> </w:t>
      </w:r>
      <w:proofErr w:type="spellStart"/>
      <w:r>
        <w:rPr>
          <w:rFonts w:cs="Arial"/>
          <w:sz w:val="24"/>
          <w:szCs w:val="24"/>
          <w:lang w:val="en-US"/>
        </w:rPr>
        <w:t>Im</w:t>
      </w:r>
      <w:r w:rsidRPr="002C1D15">
        <w:rPr>
          <w:rFonts w:cs="Arial"/>
          <w:sz w:val="24"/>
          <w:szCs w:val="24"/>
          <w:lang w:val="en-US"/>
        </w:rPr>
        <w:t>munocromatopraphic</w:t>
      </w:r>
      <w:proofErr w:type="spellEnd"/>
      <w:r w:rsidRPr="002C1D15">
        <w:rPr>
          <w:rFonts w:cs="Arial"/>
          <w:sz w:val="24"/>
          <w:szCs w:val="24"/>
          <w:lang w:val="en-US"/>
        </w:rPr>
        <w:t xml:space="preserve"> test</w:t>
      </w:r>
      <w:r w:rsidRPr="002C1D15">
        <w:rPr>
          <w:color w:val="131413"/>
          <w:sz w:val="24"/>
          <w:szCs w:val="24"/>
          <w:lang w:val="en-US"/>
        </w:rPr>
        <w:t xml:space="preserve"> for </w:t>
      </w:r>
      <w:r w:rsidRPr="002C1D15">
        <w:rPr>
          <w:rFonts w:cs="Arial"/>
          <w:i/>
          <w:sz w:val="24"/>
          <w:szCs w:val="24"/>
          <w:lang w:val="en-US"/>
        </w:rPr>
        <w:t xml:space="preserve">Streptococcus pneumoniae </w:t>
      </w:r>
      <w:r w:rsidRPr="002C1D15">
        <w:rPr>
          <w:rFonts w:cs="Arial"/>
          <w:sz w:val="24"/>
          <w:szCs w:val="24"/>
          <w:lang w:val="en-US"/>
        </w:rPr>
        <w:t>and</w:t>
      </w:r>
      <w:r w:rsidRPr="002C1D15">
        <w:rPr>
          <w:i/>
          <w:color w:val="131413"/>
          <w:sz w:val="24"/>
          <w:szCs w:val="24"/>
          <w:lang w:val="en-US"/>
        </w:rPr>
        <w:t xml:space="preserve"> L</w:t>
      </w:r>
      <w:r>
        <w:rPr>
          <w:i/>
          <w:color w:val="131413"/>
          <w:sz w:val="24"/>
          <w:szCs w:val="24"/>
          <w:lang w:val="en-US"/>
        </w:rPr>
        <w:t>egionella</w:t>
      </w:r>
      <w:r w:rsidRPr="002C1D15">
        <w:rPr>
          <w:i/>
          <w:color w:val="131413"/>
          <w:sz w:val="24"/>
          <w:szCs w:val="24"/>
          <w:lang w:val="en-US"/>
        </w:rPr>
        <w:t xml:space="preserve"> pneumophila</w:t>
      </w:r>
      <w:r w:rsidRPr="002C1D15">
        <w:rPr>
          <w:color w:val="131413"/>
          <w:sz w:val="24"/>
          <w:szCs w:val="24"/>
          <w:lang w:val="en-US"/>
        </w:rPr>
        <w:t xml:space="preserve"> serogroup I antigen detection in urine was performed (BinaxNOW® assays, Abbott)</w:t>
      </w:r>
      <w:r w:rsidRPr="002C1D15">
        <w:rPr>
          <w:rFonts w:cs="Arial"/>
          <w:sz w:val="24"/>
          <w:szCs w:val="24"/>
          <w:lang w:val="en-US"/>
        </w:rPr>
        <w:t xml:space="preserve">. </w:t>
      </w:r>
    </w:p>
    <w:p w14:paraId="76A7DB84" w14:textId="77777777" w:rsidR="008D0247" w:rsidRPr="002C1D15" w:rsidRDefault="008D0247" w:rsidP="008D0247">
      <w:pPr>
        <w:widowControl w:val="0"/>
        <w:autoSpaceDE w:val="0"/>
        <w:autoSpaceDN w:val="0"/>
        <w:adjustRightInd w:val="0"/>
        <w:spacing w:line="480" w:lineRule="auto"/>
        <w:ind w:firstLine="360"/>
        <w:jc w:val="both"/>
        <w:rPr>
          <w:color w:val="131413"/>
          <w:sz w:val="24"/>
          <w:szCs w:val="24"/>
          <w:lang w:val="en-US"/>
        </w:rPr>
      </w:pPr>
      <w:r w:rsidRPr="006A70DD">
        <w:rPr>
          <w:rFonts w:cs="Arial"/>
          <w:color w:val="000000"/>
          <w:sz w:val="24"/>
          <w:szCs w:val="24"/>
          <w:lang w:val="en-US"/>
        </w:rPr>
        <w:t xml:space="preserve">Multiplex-PCR for respiratory viruses detention was performed in NP swabs </w:t>
      </w:r>
      <w:r w:rsidRPr="006A70DD">
        <w:rPr>
          <w:color w:val="000000"/>
          <w:sz w:val="24"/>
          <w:szCs w:val="24"/>
          <w:lang w:val="en-US"/>
        </w:rPr>
        <w:t>(</w:t>
      </w:r>
      <w:proofErr w:type="spellStart"/>
      <w:r w:rsidRPr="006A70DD">
        <w:rPr>
          <w:color w:val="000000"/>
          <w:sz w:val="24"/>
          <w:szCs w:val="24"/>
          <w:lang w:val="en-US"/>
        </w:rPr>
        <w:t>AllplexTM</w:t>
      </w:r>
      <w:proofErr w:type="spellEnd"/>
      <w:r w:rsidRPr="006A70DD">
        <w:rPr>
          <w:color w:val="000000"/>
          <w:sz w:val="24"/>
          <w:szCs w:val="24"/>
          <w:lang w:val="en-US"/>
        </w:rPr>
        <w:t xml:space="preserve"> Respiratory Panel 1, 2 and 3, </w:t>
      </w:r>
      <w:proofErr w:type="spellStart"/>
      <w:r w:rsidRPr="006A70DD">
        <w:rPr>
          <w:color w:val="000000"/>
          <w:sz w:val="24"/>
          <w:szCs w:val="24"/>
          <w:lang w:val="en-US"/>
        </w:rPr>
        <w:t>Seegene</w:t>
      </w:r>
      <w:proofErr w:type="spellEnd"/>
      <w:r w:rsidRPr="006A70DD">
        <w:rPr>
          <w:color w:val="000000"/>
          <w:sz w:val="24"/>
          <w:szCs w:val="24"/>
          <w:lang w:val="en-US"/>
        </w:rPr>
        <w:t xml:space="preserve">®, Seoul, Korean Republic): influenza A and B virus; </w:t>
      </w:r>
      <w:r w:rsidRPr="006A70DD">
        <w:rPr>
          <w:rFonts w:eastAsia="Malgun Gothic"/>
          <w:color w:val="000000"/>
          <w:sz w:val="24"/>
          <w:szCs w:val="24"/>
          <w:lang w:val="en-US"/>
        </w:rPr>
        <w:t>respiratory syncytial virus</w:t>
      </w:r>
      <w:r w:rsidRPr="006A70DD">
        <w:rPr>
          <w:color w:val="000000"/>
          <w:sz w:val="24"/>
          <w:szCs w:val="24"/>
          <w:lang w:val="en-US"/>
        </w:rPr>
        <w:t xml:space="preserve"> (RSV) A and B; parainfluenza virus (PIV) 1, 2, 3 and 4; coronavirus 229, NL63E and OC43; human rhinovirus (HRV); adenovirus (</w:t>
      </w:r>
      <w:proofErr w:type="spellStart"/>
      <w:r w:rsidRPr="006A70DD">
        <w:rPr>
          <w:color w:val="000000"/>
          <w:sz w:val="24"/>
          <w:szCs w:val="24"/>
          <w:lang w:val="en-US"/>
        </w:rPr>
        <w:t>AdV</w:t>
      </w:r>
      <w:proofErr w:type="spellEnd"/>
      <w:r w:rsidRPr="006A70DD">
        <w:rPr>
          <w:color w:val="000000"/>
          <w:sz w:val="24"/>
          <w:szCs w:val="24"/>
          <w:lang w:val="en-US"/>
        </w:rPr>
        <w:t>); metapneumovirus (MPV); bocavirus (</w:t>
      </w:r>
      <w:proofErr w:type="spellStart"/>
      <w:r w:rsidRPr="006A70DD">
        <w:rPr>
          <w:color w:val="000000"/>
          <w:sz w:val="24"/>
          <w:szCs w:val="24"/>
          <w:lang w:val="en-US"/>
        </w:rPr>
        <w:t>HBoV</w:t>
      </w:r>
      <w:proofErr w:type="spellEnd"/>
      <w:r w:rsidRPr="006A70DD">
        <w:rPr>
          <w:color w:val="000000"/>
          <w:sz w:val="24"/>
          <w:szCs w:val="24"/>
          <w:lang w:val="en-US"/>
        </w:rPr>
        <w:t>) 1/2/3</w:t>
      </w:r>
      <w:r w:rsidRPr="002C1D15">
        <w:rPr>
          <w:color w:val="131413"/>
          <w:sz w:val="24"/>
          <w:szCs w:val="24"/>
          <w:lang w:val="en-US"/>
        </w:rPr>
        <w:t xml:space="preserve">/4; and enterovirus (HEV). </w:t>
      </w:r>
    </w:p>
    <w:p w14:paraId="645DF8FE" w14:textId="499A6342" w:rsidR="00D67D07" w:rsidRDefault="008D0247" w:rsidP="00D67D07">
      <w:pPr>
        <w:widowControl w:val="0"/>
        <w:autoSpaceDE w:val="0"/>
        <w:autoSpaceDN w:val="0"/>
        <w:adjustRightInd w:val="0"/>
        <w:spacing w:line="480" w:lineRule="auto"/>
        <w:ind w:firstLine="360"/>
        <w:jc w:val="both"/>
        <w:rPr>
          <w:color w:val="131413"/>
          <w:sz w:val="24"/>
          <w:szCs w:val="24"/>
          <w:lang w:val="en-US"/>
        </w:rPr>
      </w:pPr>
      <w:r w:rsidRPr="002C1D15">
        <w:rPr>
          <w:sz w:val="24"/>
          <w:szCs w:val="24"/>
          <w:lang w:val="en-US"/>
        </w:rPr>
        <w:t xml:space="preserve">In patients with no pneumococcal-CAP, serologic methods (on admission and 3–4 weeks thereafter) were used to </w:t>
      </w:r>
      <w:r>
        <w:rPr>
          <w:sz w:val="24"/>
          <w:szCs w:val="24"/>
          <w:lang w:val="en-US"/>
        </w:rPr>
        <w:t>detect</w:t>
      </w:r>
      <w:r w:rsidRPr="002C1D15">
        <w:rPr>
          <w:sz w:val="24"/>
          <w:szCs w:val="24"/>
          <w:lang w:val="en-US"/>
        </w:rPr>
        <w:t xml:space="preserve"> antibodies against</w:t>
      </w:r>
      <w:r w:rsidRPr="002C1D15">
        <w:rPr>
          <w:color w:val="131413"/>
          <w:sz w:val="24"/>
          <w:szCs w:val="24"/>
          <w:lang w:val="en-US"/>
        </w:rPr>
        <w:t xml:space="preserve"> </w:t>
      </w:r>
      <w:r w:rsidRPr="002C1D15">
        <w:rPr>
          <w:i/>
          <w:color w:val="131413"/>
          <w:sz w:val="24"/>
          <w:szCs w:val="24"/>
          <w:lang w:val="en-US"/>
        </w:rPr>
        <w:t>L</w:t>
      </w:r>
      <w:r>
        <w:rPr>
          <w:i/>
          <w:color w:val="131413"/>
          <w:sz w:val="24"/>
          <w:szCs w:val="24"/>
          <w:lang w:val="en-US"/>
        </w:rPr>
        <w:t>. pneumophila, Mycoplasma pneumoniae, Chlamydophila</w:t>
      </w:r>
      <w:r w:rsidRPr="002C1D15">
        <w:rPr>
          <w:i/>
          <w:color w:val="131413"/>
          <w:sz w:val="24"/>
          <w:szCs w:val="24"/>
          <w:lang w:val="en-US"/>
        </w:rPr>
        <w:t xml:space="preserve"> pneumoniae</w:t>
      </w:r>
      <w:r w:rsidRPr="002C1D15">
        <w:rPr>
          <w:color w:val="131413"/>
          <w:sz w:val="24"/>
          <w:szCs w:val="24"/>
          <w:lang w:val="en-US"/>
        </w:rPr>
        <w:t xml:space="preserve"> and </w:t>
      </w:r>
      <w:r w:rsidRPr="002C1D15">
        <w:rPr>
          <w:i/>
          <w:color w:val="131413"/>
          <w:sz w:val="24"/>
          <w:szCs w:val="24"/>
          <w:lang w:val="en-US"/>
        </w:rPr>
        <w:t xml:space="preserve">Coxiella </w:t>
      </w:r>
      <w:proofErr w:type="spellStart"/>
      <w:r w:rsidRPr="002C1D15">
        <w:rPr>
          <w:i/>
          <w:color w:val="131413"/>
          <w:sz w:val="24"/>
          <w:szCs w:val="24"/>
          <w:lang w:val="en-US"/>
        </w:rPr>
        <w:t>burnetii</w:t>
      </w:r>
      <w:proofErr w:type="spellEnd"/>
      <w:r w:rsidRPr="002C1D15">
        <w:rPr>
          <w:color w:val="131413"/>
          <w:sz w:val="24"/>
          <w:szCs w:val="24"/>
          <w:lang w:val="en-US"/>
        </w:rPr>
        <w:t xml:space="preserve">. </w:t>
      </w:r>
    </w:p>
    <w:p w14:paraId="45C74534" w14:textId="77777777" w:rsidR="00D67D07" w:rsidRPr="00534DB2" w:rsidRDefault="00D67D07" w:rsidP="00D67D07">
      <w:pPr>
        <w:spacing w:after="0" w:line="480" w:lineRule="auto"/>
        <w:ind w:hanging="2"/>
        <w:jc w:val="both"/>
        <w:rPr>
          <w:sz w:val="24"/>
          <w:szCs w:val="24"/>
          <w:lang w:val="en-US"/>
        </w:rPr>
      </w:pPr>
      <w:r w:rsidRPr="00534DB2">
        <w:rPr>
          <w:i/>
          <w:sz w:val="24"/>
          <w:szCs w:val="24"/>
          <w:lang w:val="en-US"/>
        </w:rPr>
        <w:t xml:space="preserve">Statistical analysis </w:t>
      </w:r>
    </w:p>
    <w:p w14:paraId="6632CBF4" w14:textId="1C3525B7" w:rsidR="00D67D07" w:rsidRPr="002C1D15" w:rsidRDefault="00D67D07" w:rsidP="00D67D07">
      <w:pPr>
        <w:widowControl w:val="0"/>
        <w:autoSpaceDE w:val="0"/>
        <w:autoSpaceDN w:val="0"/>
        <w:adjustRightInd w:val="0"/>
        <w:spacing w:line="480" w:lineRule="auto"/>
        <w:jc w:val="both"/>
        <w:rPr>
          <w:sz w:val="24"/>
          <w:szCs w:val="24"/>
          <w:lang w:val="en-US"/>
        </w:rPr>
      </w:pPr>
      <w:r w:rsidRPr="00D67D07">
        <w:rPr>
          <w:sz w:val="24"/>
          <w:szCs w:val="24"/>
          <w:lang w:val="en-US"/>
        </w:rPr>
        <w:t>The variables chosen for inclusion in the multivariate analys</w:t>
      </w:r>
      <w:r>
        <w:rPr>
          <w:sz w:val="24"/>
          <w:szCs w:val="24"/>
          <w:lang w:val="en-US"/>
        </w:rPr>
        <w:t>e</w:t>
      </w:r>
      <w:r w:rsidRPr="00D67D07">
        <w:rPr>
          <w:sz w:val="24"/>
          <w:szCs w:val="24"/>
          <w:lang w:val="en-US"/>
        </w:rPr>
        <w:t xml:space="preserve">s were selected by clinical criteria and those with a univariate </w:t>
      </w:r>
      <w:r w:rsidRPr="00D67D07">
        <w:rPr>
          <w:i/>
          <w:sz w:val="24"/>
          <w:szCs w:val="24"/>
          <w:lang w:val="en-US"/>
        </w:rPr>
        <w:t>p</w:t>
      </w:r>
      <w:r w:rsidRPr="00D67D07">
        <w:rPr>
          <w:sz w:val="24"/>
          <w:szCs w:val="24"/>
          <w:lang w:val="en-US"/>
        </w:rPr>
        <w:t xml:space="preserve"> value &lt;0.05. A </w:t>
      </w:r>
      <w:r w:rsidRPr="00D67D07">
        <w:rPr>
          <w:color w:val="000000"/>
          <w:sz w:val="24"/>
          <w:szCs w:val="24"/>
          <w:lang w:val="en-US"/>
        </w:rPr>
        <w:t>best subset regression procedure was used to</w:t>
      </w:r>
      <w:r w:rsidRPr="00D67D07">
        <w:rPr>
          <w:sz w:val="24"/>
          <w:szCs w:val="24"/>
          <w:lang w:val="en-US"/>
        </w:rPr>
        <w:t xml:space="preserve"> </w:t>
      </w:r>
      <w:r w:rsidRPr="00D67D07">
        <w:rPr>
          <w:color w:val="000000"/>
          <w:sz w:val="24"/>
          <w:szCs w:val="24"/>
          <w:lang w:val="en-US"/>
        </w:rPr>
        <w:t>identify the most suitable and parsimonious multivariate</w:t>
      </w:r>
      <w:r w:rsidRPr="00D67D07">
        <w:rPr>
          <w:sz w:val="24"/>
          <w:szCs w:val="24"/>
          <w:lang w:val="en-US"/>
        </w:rPr>
        <w:t xml:space="preserve"> </w:t>
      </w:r>
      <w:r w:rsidRPr="00D67D07">
        <w:rPr>
          <w:color w:val="000000"/>
          <w:sz w:val="24"/>
          <w:szCs w:val="24"/>
          <w:lang w:val="en-US"/>
        </w:rPr>
        <w:t xml:space="preserve">model based on </w:t>
      </w:r>
      <w:r w:rsidRPr="00D67D07">
        <w:rPr>
          <w:color w:val="000000"/>
          <w:sz w:val="24"/>
          <w:szCs w:val="24"/>
          <w:lang w:val="en-US"/>
        </w:rPr>
        <w:lastRenderedPageBreak/>
        <w:t xml:space="preserve">the Akaike information criterion </w:t>
      </w:r>
      <w:r w:rsidRPr="00D67D07">
        <w:rPr>
          <w:color w:val="000000"/>
          <w:sz w:val="24"/>
          <w:szCs w:val="24"/>
          <w:lang w:val="en-US"/>
        </w:rPr>
        <w:fldChar w:fldCharType="begin" w:fldLock="1"/>
      </w:r>
      <w:r w:rsidRPr="00D67D07">
        <w:rPr>
          <w:color w:val="000000"/>
          <w:sz w:val="24"/>
          <w:szCs w:val="24"/>
          <w:lang w:val="en-US"/>
        </w:rPr>
        <w:instrText>ADDIN CSL_CITATION {"citationItems":[{"id":"ITEM-1","itemData":{"DOI":"10.1109/TAC.1974.1100705","ISBN":"0018-9286 VO - 19","ISSN":"0018-9286","PMID":"1100705","abstract":"H. Akaike, 'A new look at the statistical model identification', IEEE Transactions\\non Automatic Control, Vol. 19, No. 6, pp. 716-723, 1974","author":[{"dropping-particle":"","family":"Akaike","given":"H","non-dropping-particle":"","parse-names":false,"suffix":""}],"container-title":"IEEE Transactionson Automatic Control","id":"ITEM-1","issue":"6","issued":{"date-parts":[["1974"]]},"page":"716-723","title":"A new look at the statistical model identification","type":"article-journal","volume":"19"},"uris":["http://www.mendeley.com/documents/?uuid=e998fd5b-1484-4f8f-9428-68d4a2c6f642"]}],"mendeley":{"formattedCitation":"[28]","plainTextFormattedCitation":"[28]","previouslyFormattedCitation":"[29]"},"properties":{"noteIndex":0},"schema":"https://github.com/citation-style-language/schema/raw/master/csl-citation.json"}</w:instrText>
      </w:r>
      <w:r w:rsidRPr="00D67D07">
        <w:rPr>
          <w:color w:val="000000"/>
          <w:sz w:val="24"/>
          <w:szCs w:val="24"/>
          <w:lang w:val="en-US"/>
        </w:rPr>
        <w:fldChar w:fldCharType="separate"/>
      </w:r>
      <w:r w:rsidRPr="00D67D07">
        <w:rPr>
          <w:noProof/>
          <w:color w:val="000000"/>
          <w:sz w:val="24"/>
          <w:szCs w:val="24"/>
          <w:lang w:val="en-US"/>
        </w:rPr>
        <w:t>[2]</w:t>
      </w:r>
      <w:r w:rsidRPr="00D67D07">
        <w:rPr>
          <w:color w:val="000000"/>
          <w:sz w:val="24"/>
          <w:szCs w:val="24"/>
          <w:lang w:val="en-US"/>
        </w:rPr>
        <w:fldChar w:fldCharType="end"/>
      </w:r>
      <w:r w:rsidRPr="00E514CE">
        <w:rPr>
          <w:color w:val="000000"/>
          <w:sz w:val="24"/>
          <w:szCs w:val="24"/>
          <w:lang w:val="en-US"/>
        </w:rPr>
        <w:t>.</w:t>
      </w:r>
    </w:p>
    <w:p w14:paraId="4D2B820A" w14:textId="77777777" w:rsidR="008D0247" w:rsidRPr="006A70DD" w:rsidRDefault="008D0247" w:rsidP="008D0247">
      <w:pPr>
        <w:spacing w:line="480" w:lineRule="auto"/>
        <w:jc w:val="both"/>
        <w:rPr>
          <w:rFonts w:cs="Calibri"/>
          <w:i/>
          <w:sz w:val="24"/>
          <w:szCs w:val="24"/>
          <w:lang w:val="en-GB"/>
        </w:rPr>
      </w:pPr>
      <w:r w:rsidRPr="006A70DD">
        <w:rPr>
          <w:rFonts w:cs="Calibri"/>
          <w:i/>
          <w:sz w:val="24"/>
          <w:szCs w:val="24"/>
          <w:lang w:val="en-GB"/>
        </w:rPr>
        <w:t>References</w:t>
      </w:r>
    </w:p>
    <w:p w14:paraId="19289666" w14:textId="30BDE4A1" w:rsidR="008D0247" w:rsidRDefault="008D0247" w:rsidP="008D0247">
      <w:pPr>
        <w:widowControl w:val="0"/>
        <w:autoSpaceDE w:val="0"/>
        <w:autoSpaceDN w:val="0"/>
        <w:adjustRightInd w:val="0"/>
        <w:spacing w:line="480" w:lineRule="auto"/>
        <w:ind w:left="640" w:hanging="640"/>
        <w:rPr>
          <w:noProof/>
          <w:sz w:val="24"/>
          <w:szCs w:val="24"/>
          <w:lang w:val="en-US"/>
        </w:rPr>
      </w:pPr>
      <w:r w:rsidRPr="006A70DD">
        <w:rPr>
          <w:rFonts w:cs="Calibri"/>
          <w:sz w:val="24"/>
          <w:szCs w:val="24"/>
          <w:lang w:val="en-GB"/>
        </w:rPr>
        <w:fldChar w:fldCharType="begin" w:fldLock="1"/>
      </w:r>
      <w:r w:rsidRPr="006A70DD">
        <w:rPr>
          <w:rFonts w:cs="Calibri"/>
          <w:sz w:val="24"/>
          <w:szCs w:val="24"/>
          <w:lang w:val="en-GB"/>
        </w:rPr>
        <w:instrText xml:space="preserve">ADDIN Mendeley Bibliography CSL_BIBLIOGRAPHY </w:instrText>
      </w:r>
      <w:r w:rsidRPr="006A70DD">
        <w:rPr>
          <w:rFonts w:cs="Calibri"/>
          <w:sz w:val="24"/>
          <w:szCs w:val="24"/>
          <w:lang w:val="en-GB"/>
        </w:rPr>
        <w:fldChar w:fldCharType="separate"/>
      </w:r>
      <w:r w:rsidRPr="002C1D15">
        <w:rPr>
          <w:noProof/>
          <w:sz w:val="24"/>
          <w:szCs w:val="24"/>
          <w:lang w:val="en-US"/>
        </w:rPr>
        <w:t xml:space="preserve">1. </w:t>
      </w:r>
      <w:r w:rsidRPr="002C1D15">
        <w:rPr>
          <w:noProof/>
          <w:sz w:val="24"/>
          <w:szCs w:val="24"/>
          <w:lang w:val="en-US"/>
        </w:rPr>
        <w:tab/>
        <w:t xml:space="preserve">Sidhu M, Wong M, Karstaedt A, Jansen KU, Albrich WC, Mareletsi T, et al. Use of a Rapid Test of Pneumococcal Colonization Density to Diagnose Pneumococcal Pneumonia. </w:t>
      </w:r>
      <w:r w:rsidRPr="00CC207E">
        <w:rPr>
          <w:noProof/>
          <w:sz w:val="24"/>
          <w:szCs w:val="24"/>
          <w:lang w:val="en-US"/>
        </w:rPr>
        <w:t xml:space="preserve">Clin Infect Dis. 2011;54(5):601–9. </w:t>
      </w:r>
    </w:p>
    <w:p w14:paraId="7FF8CF39" w14:textId="27BEEC85" w:rsidR="00D67D07" w:rsidRPr="00CC207E" w:rsidRDefault="00D67D07" w:rsidP="008D0247">
      <w:pPr>
        <w:widowControl w:val="0"/>
        <w:autoSpaceDE w:val="0"/>
        <w:autoSpaceDN w:val="0"/>
        <w:adjustRightInd w:val="0"/>
        <w:spacing w:line="480" w:lineRule="auto"/>
        <w:ind w:left="640" w:hanging="640"/>
        <w:rPr>
          <w:noProof/>
          <w:sz w:val="24"/>
          <w:lang w:val="en-US"/>
        </w:rPr>
      </w:pPr>
      <w:r>
        <w:rPr>
          <w:noProof/>
          <w:sz w:val="24"/>
          <w:szCs w:val="24"/>
          <w:lang w:val="en-US"/>
        </w:rPr>
        <w:t xml:space="preserve">2.         </w:t>
      </w:r>
      <w:r w:rsidRPr="00837999">
        <w:rPr>
          <w:noProof/>
          <w:sz w:val="24"/>
          <w:lang w:val="en-US"/>
        </w:rPr>
        <w:t xml:space="preserve">Akaike </w:t>
      </w:r>
      <w:r w:rsidRPr="004B59FF">
        <w:rPr>
          <w:noProof/>
          <w:sz w:val="24"/>
          <w:lang w:val="en-US"/>
        </w:rPr>
        <w:t xml:space="preserve">H. A new look at the statistical model identification. IEEE Trans. Autom. Control 1974; </w:t>
      </w:r>
      <w:r w:rsidRPr="00837999">
        <w:rPr>
          <w:noProof/>
          <w:sz w:val="24"/>
          <w:lang w:val="en-US"/>
        </w:rPr>
        <w:t>19:716–723.</w:t>
      </w:r>
    </w:p>
    <w:p w14:paraId="1A01D3ED" w14:textId="451E7596" w:rsidR="008D0247" w:rsidRDefault="008D0247" w:rsidP="008D0247">
      <w:r w:rsidRPr="006A70DD">
        <w:rPr>
          <w:rFonts w:cs="Calibri"/>
          <w:sz w:val="24"/>
          <w:szCs w:val="24"/>
          <w:lang w:val="en-GB"/>
        </w:rPr>
        <w:fldChar w:fldCharType="end"/>
      </w:r>
    </w:p>
    <w:sectPr w:rsidR="008D024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47"/>
    <w:rsid w:val="004367E3"/>
    <w:rsid w:val="004B59FF"/>
    <w:rsid w:val="004D3913"/>
    <w:rsid w:val="008A2F71"/>
    <w:rsid w:val="008D0247"/>
    <w:rsid w:val="00955D9E"/>
    <w:rsid w:val="00A373BC"/>
    <w:rsid w:val="00D67D07"/>
    <w:rsid w:val="00DC1E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ECE1D"/>
  <w15:chartTrackingRefBased/>
  <w15:docId w15:val="{AF1406CA-D84B-BC4D-825A-B20ADEB1A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247"/>
    <w:pPr>
      <w:spacing w:after="200" w:line="276" w:lineRule="auto"/>
    </w:pPr>
    <w:rPr>
      <w:rFonts w:ascii="Calibri" w:eastAsia="Calibri" w:hAnsi="Calibri" w:cs="Times New Roman"/>
      <w:sz w:val="22"/>
      <w:szCs w:val="22"/>
    </w:rPr>
  </w:style>
  <w:style w:type="paragraph" w:styleId="Ttulo1">
    <w:name w:val="heading 1"/>
    <w:basedOn w:val="Normal"/>
    <w:link w:val="Ttulo1Car"/>
    <w:uiPriority w:val="9"/>
    <w:qFormat/>
    <w:rsid w:val="004D3913"/>
    <w:pPr>
      <w:spacing w:before="100" w:beforeAutospacing="1" w:after="100" w:afterAutospacing="1" w:line="240" w:lineRule="auto"/>
      <w:outlineLvl w:val="0"/>
    </w:pPr>
    <w:rPr>
      <w:rFonts w:ascii="Times New Roman" w:eastAsia="Times New Roman" w:hAnsi="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D3913"/>
    <w:rPr>
      <w:rFonts w:ascii="Times New Roman" w:eastAsia="Times New Roman" w:hAnsi="Times New Roman" w:cs="Times New Roman"/>
      <w:b/>
      <w:bCs/>
      <w:kern w:val="36"/>
      <w:sz w:val="48"/>
      <w:szCs w:val="4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2766</Words>
  <Characters>15214</Characters>
  <Application>Microsoft Office Word</Application>
  <DocSecurity>0</DocSecurity>
  <Lines>126</Lines>
  <Paragraphs>35</Paragraphs>
  <ScaleCrop>false</ScaleCrop>
  <Company/>
  <LinksUpToDate>false</LinksUpToDate>
  <CharactersWithSpaces>17945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Boix Palop</dc:creator>
  <cp:keywords/>
  <dc:description/>
  <cp:lastModifiedBy>Lucia Boix Palop</cp:lastModifiedBy>
  <cp:revision>9</cp:revision>
  <dcterms:created xsi:type="dcterms:W3CDTF">2022-08-02T23:54:00Z</dcterms:created>
  <dcterms:modified xsi:type="dcterms:W3CDTF">2023-05-24T08:59:00Z</dcterms:modified>
</cp:coreProperties>
</file>