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Times New Roman" w:hAnsi="Times New Roman" w:cs="Times New Roman" w:eastAsiaTheme="majorEastAsia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ajorEastAsia"/>
          <w:b/>
          <w:bCs/>
          <w:sz w:val="24"/>
          <w:szCs w:val="24"/>
          <w:lang w:eastAsia="zh-CN"/>
        </w:rPr>
        <w:t xml:space="preserve">PARP inhibitor and immune checkpoint inhibitor may have synergism efficacy in gallbladder cancer </w:t>
      </w:r>
    </w:p>
    <w:p>
      <w:pPr>
        <w:spacing w:line="480" w:lineRule="auto"/>
        <w:rPr>
          <w:rFonts w:hint="eastAsia" w:ascii="Times New Roman" w:hAnsi="Times New Roman" w:cs="Times New Roman" w:eastAsiaTheme="majorEastAsia"/>
          <w:b/>
          <w:bCs/>
          <w:sz w:val="24"/>
          <w:szCs w:val="24"/>
          <w:lang w:eastAsia="zh-CN"/>
        </w:rPr>
      </w:pPr>
    </w:p>
    <w:p>
      <w:pPr>
        <w:spacing w:line="480" w:lineRule="auto"/>
        <w:rPr>
          <w:rFonts w:hint="eastAsia" w:ascii="Times New Roman" w:hAnsi="Times New Roman" w:cs="Times New Roman" w:eastAsiaTheme="majorEastAsia"/>
          <w:b/>
          <w:bCs/>
          <w:sz w:val="24"/>
          <w:szCs w:val="24"/>
        </w:rPr>
      </w:pPr>
    </w:p>
    <w:p>
      <w:pPr>
        <w:spacing w:line="480" w:lineRule="auto"/>
        <w:rPr>
          <w:rFonts w:hint="eastAsia" w:ascii="Times New Roman" w:hAnsi="Times New Roman" w:cs="Times New Roman" w:eastAsiaTheme="majorEastAsia"/>
          <w:b/>
          <w:bCs/>
          <w:sz w:val="24"/>
          <w:szCs w:val="24"/>
        </w:rPr>
      </w:pPr>
    </w:p>
    <w:p>
      <w:pPr>
        <w:spacing w:line="480" w:lineRule="auto"/>
        <w:rPr>
          <w:rFonts w:hint="eastAsia" w:ascii="Times New Roman" w:hAnsi="Times New Roman" w:cs="Times New Roman" w:eastAsiaTheme="majorEastAsia"/>
          <w:b/>
          <w:bCs/>
          <w:sz w:val="24"/>
          <w:szCs w:val="24"/>
        </w:rPr>
      </w:pPr>
    </w:p>
    <w:p>
      <w:pPr>
        <w:spacing w:line="480" w:lineRule="auto"/>
        <w:rPr>
          <w:rFonts w:hint="eastAsia" w:ascii="Times New Roman" w:hAnsi="Times New Roman" w:cs="Times New Roman" w:eastAsiaTheme="majorEastAsia"/>
          <w:b/>
          <w:bCs/>
          <w:sz w:val="24"/>
          <w:szCs w:val="24"/>
        </w:rPr>
      </w:pPr>
    </w:p>
    <w:p>
      <w:pPr>
        <w:spacing w:line="480" w:lineRule="auto"/>
        <w:rPr>
          <w:rFonts w:hint="eastAsia" w:ascii="Times New Roman" w:hAnsi="Times New Roman" w:cs="Times New Roman" w:eastAsiaTheme="majorEastAsia"/>
          <w:b/>
          <w:bCs/>
          <w:sz w:val="24"/>
          <w:szCs w:val="24"/>
        </w:rPr>
      </w:pPr>
    </w:p>
    <w:p>
      <w:pPr>
        <w:spacing w:line="480" w:lineRule="auto"/>
        <w:rPr>
          <w:rFonts w:hint="eastAsia" w:ascii="Times New Roman" w:hAnsi="Times New Roman" w:cs="Times New Roman" w:eastAsiaTheme="majorEastAsia"/>
          <w:b/>
          <w:bCs/>
          <w:sz w:val="24"/>
          <w:szCs w:val="24"/>
        </w:rPr>
      </w:pPr>
    </w:p>
    <w:p>
      <w:pPr>
        <w:spacing w:line="480" w:lineRule="auto"/>
        <w:rPr>
          <w:rFonts w:hint="eastAsia" w:ascii="Times New Roman" w:hAnsi="Times New Roman" w:cs="Times New Roman" w:eastAsiaTheme="majorEastAsia"/>
          <w:b/>
          <w:bCs/>
          <w:sz w:val="24"/>
          <w:szCs w:val="24"/>
        </w:rPr>
      </w:pPr>
    </w:p>
    <w:p>
      <w:pPr>
        <w:spacing w:line="480" w:lineRule="auto"/>
        <w:rPr>
          <w:rFonts w:hint="eastAsia" w:ascii="Times New Roman" w:hAnsi="Times New Roman" w:cs="Times New Roman" w:eastAsiaTheme="majorEastAsia"/>
          <w:b/>
          <w:bCs/>
          <w:sz w:val="24"/>
          <w:szCs w:val="24"/>
        </w:rPr>
      </w:pPr>
    </w:p>
    <w:p>
      <w:pPr>
        <w:spacing w:line="480" w:lineRule="auto"/>
        <w:rPr>
          <w:rFonts w:hint="eastAsia" w:ascii="Times New Roman" w:hAnsi="Times New Roman" w:cs="Times New Roman" w:eastAsiaTheme="majorEastAsia"/>
          <w:b/>
          <w:bCs/>
          <w:sz w:val="24"/>
          <w:szCs w:val="24"/>
        </w:rPr>
      </w:pPr>
    </w:p>
    <w:p>
      <w:pPr>
        <w:spacing w:line="480" w:lineRule="auto"/>
        <w:rPr>
          <w:rFonts w:hint="eastAsia" w:ascii="Times New Roman" w:hAnsi="Times New Roman" w:cs="Times New Roman" w:eastAsiaTheme="majorEastAsia"/>
          <w:b/>
          <w:bCs/>
          <w:sz w:val="24"/>
          <w:szCs w:val="24"/>
        </w:rPr>
      </w:pPr>
    </w:p>
    <w:p>
      <w:pPr>
        <w:spacing w:line="480" w:lineRule="auto"/>
        <w:rPr>
          <w:rFonts w:hint="eastAsia" w:ascii="Times New Roman" w:hAnsi="Times New Roman" w:cs="Times New Roman" w:eastAsiaTheme="majorEastAsia"/>
          <w:b/>
          <w:bCs/>
          <w:sz w:val="24"/>
          <w:szCs w:val="24"/>
        </w:rPr>
      </w:pPr>
    </w:p>
    <w:p>
      <w:pPr>
        <w:spacing w:line="480" w:lineRule="auto"/>
        <w:rPr>
          <w:rFonts w:hint="eastAsia" w:ascii="Times New Roman" w:hAnsi="Times New Roman" w:cs="Times New Roman" w:eastAsiaTheme="majorEastAsia"/>
          <w:b/>
          <w:bCs/>
          <w:sz w:val="24"/>
          <w:szCs w:val="24"/>
        </w:rPr>
      </w:pPr>
    </w:p>
    <w:p>
      <w:pPr>
        <w:spacing w:line="480" w:lineRule="auto"/>
        <w:rPr>
          <w:rFonts w:hint="eastAsia" w:ascii="Times New Roman" w:hAnsi="Times New Roman" w:cs="Times New Roman" w:eastAsiaTheme="majorEastAsia"/>
          <w:b/>
          <w:bCs/>
          <w:sz w:val="24"/>
          <w:szCs w:val="24"/>
        </w:rPr>
      </w:pPr>
    </w:p>
    <w:p>
      <w:pPr>
        <w:spacing w:line="480" w:lineRule="auto"/>
        <w:rPr>
          <w:rFonts w:hint="eastAsia" w:ascii="Times New Roman" w:hAnsi="Times New Roman" w:cs="Times New Roman" w:eastAsiaTheme="majorEastAsia"/>
          <w:b/>
          <w:bCs/>
          <w:sz w:val="24"/>
          <w:szCs w:val="24"/>
        </w:rPr>
      </w:pPr>
    </w:p>
    <w:p>
      <w:pPr>
        <w:spacing w:line="480" w:lineRule="auto"/>
        <w:rPr>
          <w:rFonts w:hint="eastAsia" w:ascii="Times New Roman" w:hAnsi="Times New Roman" w:cs="Times New Roman" w:eastAsiaTheme="majorEastAsia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ajorEastAsia"/>
          <w:b/>
          <w:bCs/>
          <w:sz w:val="24"/>
          <w:szCs w:val="24"/>
          <w:lang w:eastAsia="zh-CN"/>
        </w:rPr>
        <w:drawing>
          <wp:inline distT="0" distB="0" distL="114300" distR="114300">
            <wp:extent cx="5267960" cy="5637530"/>
            <wp:effectExtent l="0" t="0" r="0" b="8255"/>
            <wp:docPr id="4" name="图片 4" descr="Figure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63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Times New Roman" w:hAnsi="Times New Roman" w:cs="Times New Roman" w:eastAsiaTheme="majorEastAsia"/>
          <w:b/>
          <w:bCs/>
          <w:sz w:val="24"/>
          <w:szCs w:val="24"/>
        </w:rPr>
      </w:pPr>
    </w:p>
    <w:p>
      <w:pPr>
        <w:spacing w:line="480" w:lineRule="auto"/>
        <w:rPr>
          <w:rFonts w:hint="default" w:ascii="Times New Roman" w:hAnsi="Times New Roman" w:cs="Times New Roman" w:eastAsiaTheme="majorEastAsia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 w:eastAsiaTheme="major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 w:eastAsiaTheme="majorEastAsia"/>
          <w:b/>
          <w:bCs/>
          <w:sz w:val="24"/>
          <w:szCs w:val="24"/>
        </w:rPr>
        <w:t>igure S1.</w:t>
      </w:r>
      <w:r>
        <w:rPr>
          <w:rFonts w:ascii="Times New Roman" w:hAnsi="Times New Roman" w:cs="Times New Roman" w:eastAsiaTheme="majorEastAsia"/>
          <w:b w:val="0"/>
          <w:bCs w:val="0"/>
          <w:sz w:val="24"/>
          <w:szCs w:val="24"/>
        </w:rPr>
        <w:t xml:space="preserve"> </w:t>
      </w:r>
      <w:r>
        <w:rPr>
          <w:rFonts w:hint="eastAsia" w:ascii="Times New Roman" w:hAnsi="Times New Roman" w:cs="Times New Roman" w:eastAsiaTheme="majorEastAsia"/>
          <w:b w:val="0"/>
          <w:bCs w:val="0"/>
          <w:sz w:val="24"/>
          <w:szCs w:val="24"/>
        </w:rPr>
        <w:t>(A)</w:t>
      </w:r>
      <w:r>
        <w:rPr>
          <w:rFonts w:hint="eastAsia" w:ascii="Times New Roman" w:hAnsi="Times New Roman" w:cs="Times New Roman" w:eastAsiaTheme="major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eastAsiaTheme="majorEastAsia"/>
          <w:sz w:val="24"/>
          <w:szCs w:val="24"/>
        </w:rPr>
        <w:t>T</w:t>
      </w:r>
      <w:r>
        <w:rPr>
          <w:rFonts w:hint="eastAsia" w:ascii="Times New Roman" w:hAnsi="Times New Roman" w:cs="Times New Roman" w:eastAsiaTheme="majorEastAsia"/>
          <w:sz w:val="24"/>
          <w:szCs w:val="24"/>
        </w:rPr>
        <w:t>h</w:t>
      </w:r>
      <w:r>
        <w:rPr>
          <w:rFonts w:ascii="Times New Roman" w:hAnsi="Times New Roman" w:cs="Times New Roman" w:eastAsiaTheme="majorEastAsia"/>
          <w:sz w:val="24"/>
          <w:szCs w:val="24"/>
        </w:rPr>
        <w:t>e IGV figure of case #1</w:t>
      </w:r>
      <w:r>
        <w:rPr>
          <w:rFonts w:hint="eastAsia" w:ascii="Times New Roman" w:hAnsi="Times New Roman" w:cs="Times New Roman" w:eastAsiaTheme="majorEastAsia"/>
          <w:sz w:val="24"/>
          <w:szCs w:val="24"/>
          <w:lang w:val="en-US" w:eastAsia="zh-CN"/>
        </w:rPr>
        <w:t xml:space="preserve">. </w:t>
      </w:r>
      <w:r>
        <w:rPr>
          <w:rFonts w:hint="eastAsia" w:ascii="Times New Roman" w:hAnsi="Times New Roman" w:cs="Times New Roman" w:eastAsiaTheme="majorEastAsia"/>
          <w:b w:val="0"/>
          <w:bCs w:val="0"/>
          <w:sz w:val="24"/>
          <w:szCs w:val="24"/>
        </w:rPr>
        <w:t>(</w:t>
      </w:r>
      <w:r>
        <w:rPr>
          <w:rFonts w:hint="eastAsia" w:ascii="Times New Roman" w:hAnsi="Times New Roman" w:cs="Times New Roman" w:eastAsiaTheme="majorEastAsia"/>
          <w:b w:val="0"/>
          <w:bCs w:val="0"/>
          <w:sz w:val="24"/>
          <w:szCs w:val="24"/>
          <w:lang w:val="en-US" w:eastAsia="zh-CN"/>
        </w:rPr>
        <w:t>B</w:t>
      </w:r>
      <w:r>
        <w:rPr>
          <w:rFonts w:hint="eastAsia" w:ascii="Times New Roman" w:hAnsi="Times New Roman" w:cs="Times New Roman" w:eastAsiaTheme="majorEastAsia"/>
          <w:b w:val="0"/>
          <w:bCs w:val="0"/>
          <w:sz w:val="24"/>
          <w:szCs w:val="24"/>
        </w:rPr>
        <w:t>)</w:t>
      </w:r>
      <w:r>
        <w:rPr>
          <w:rFonts w:hint="eastAsia" w:ascii="Times New Roman" w:hAnsi="Times New Roman" w:cs="Times New Roman" w:eastAsiaTheme="majorEastAsia"/>
          <w:b w:val="0"/>
          <w:bCs w:val="0"/>
          <w:sz w:val="24"/>
          <w:szCs w:val="24"/>
          <w:lang w:val="en-US" w:eastAsia="zh-CN"/>
        </w:rPr>
        <w:t xml:space="preserve"> CEA and CA199 levels of different time points. </w:t>
      </w:r>
      <w:r>
        <w:rPr>
          <w:rFonts w:hint="eastAsia" w:ascii="Times New Roman" w:hAnsi="Times New Roman" w:cs="Times New Roman" w:eastAsiaTheme="majorEastAsia"/>
          <w:b w:val="0"/>
          <w:bCs w:val="0"/>
          <w:sz w:val="24"/>
          <w:szCs w:val="24"/>
        </w:rPr>
        <w:t>(</w:t>
      </w:r>
      <w:r>
        <w:rPr>
          <w:rFonts w:hint="eastAsia" w:ascii="Times New Roman" w:hAnsi="Times New Roman" w:cs="Times New Roman" w:eastAsiaTheme="majorEastAsia"/>
          <w:b w:val="0"/>
          <w:bCs w:val="0"/>
          <w:sz w:val="24"/>
          <w:szCs w:val="24"/>
          <w:lang w:val="en-US" w:eastAsia="zh-CN"/>
        </w:rPr>
        <w:t>C</w:t>
      </w:r>
      <w:r>
        <w:rPr>
          <w:rFonts w:hint="eastAsia" w:ascii="Times New Roman" w:hAnsi="Times New Roman" w:cs="Times New Roman" w:eastAsiaTheme="majorEastAsia"/>
          <w:b w:val="0"/>
          <w:bCs w:val="0"/>
          <w:sz w:val="24"/>
          <w:szCs w:val="24"/>
        </w:rPr>
        <w:t>)</w:t>
      </w:r>
      <w:r>
        <w:rPr>
          <w:rFonts w:hint="eastAsia" w:ascii="Times New Roman" w:hAnsi="Times New Roman" w:cs="Times New Roman" w:eastAsiaTheme="major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 w:eastAsiaTheme="majorEastAsia"/>
          <w:b w:val="0"/>
          <w:bCs w:val="0"/>
          <w:sz w:val="24"/>
          <w:szCs w:val="24"/>
        </w:rPr>
        <w:t>Abdominal Enhanced Magnetic Resonance Imaging (MRI)</w:t>
      </w:r>
      <w:r>
        <w:rPr>
          <w:rFonts w:hint="eastAsia" w:ascii="Times New Roman" w:hAnsi="Times New Roman" w:cs="Times New Roman" w:eastAsiaTheme="majorEastAsia"/>
          <w:b w:val="0"/>
          <w:bCs w:val="0"/>
          <w:sz w:val="24"/>
          <w:szCs w:val="24"/>
          <w:lang w:val="en-US" w:eastAsia="zh-CN"/>
        </w:rPr>
        <w:t xml:space="preserve"> of different time points.</w:t>
      </w:r>
    </w:p>
    <w:p>
      <w:pPr>
        <w:spacing w:line="480" w:lineRule="auto"/>
        <w:rPr>
          <w:rFonts w:hint="eastAsia" w:ascii="Times New Roman" w:hAnsi="Times New Roman" w:cs="Times New Roman" w:eastAsiaTheme="majorEastAsia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ajorEastAsia"/>
          <w:b/>
          <w:bCs/>
          <w:sz w:val="24"/>
          <w:szCs w:val="24"/>
          <w:lang w:eastAsia="zh-CN"/>
        </w:rPr>
        <w:drawing>
          <wp:inline distT="0" distB="0" distL="114300" distR="114300">
            <wp:extent cx="5271135" cy="7187565"/>
            <wp:effectExtent l="0" t="0" r="7620" b="1905"/>
            <wp:docPr id="2" name="图片 2" descr="Figure S2 生存分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 生存分析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18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cs="Times New Roman" w:eastAsiaTheme="majorEastAsia"/>
          <w:sz w:val="24"/>
          <w:szCs w:val="24"/>
        </w:rPr>
      </w:pPr>
      <w:r>
        <w:rPr>
          <w:rFonts w:hint="eastAsia" w:ascii="Times New Roman" w:hAnsi="Times New Roman" w:cs="Times New Roman" w:eastAsiaTheme="major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 w:eastAsiaTheme="majorEastAsia"/>
          <w:b/>
          <w:bCs/>
          <w:sz w:val="24"/>
          <w:szCs w:val="24"/>
        </w:rPr>
        <w:t>igure S</w:t>
      </w:r>
      <w:r>
        <w:rPr>
          <w:rFonts w:hint="eastAsia" w:ascii="Times New Roman" w:hAnsi="Times New Roman" w:cs="Times New Roman" w:eastAsiaTheme="majorEastAsia"/>
          <w:b/>
          <w:bCs/>
          <w:sz w:val="24"/>
          <w:szCs w:val="24"/>
          <w:lang w:val="en-US" w:eastAsia="zh-CN"/>
        </w:rPr>
        <w:t>2</w:t>
      </w:r>
      <w:bookmarkStart w:id="0" w:name="_GoBack"/>
      <w:bookmarkEnd w:id="0"/>
      <w:r>
        <w:rPr>
          <w:rFonts w:ascii="Times New Roman" w:hAnsi="Times New Roman" w:cs="Times New Roman" w:eastAsiaTheme="majorEastAsia"/>
          <w:b/>
          <w:bCs/>
          <w:sz w:val="24"/>
          <w:szCs w:val="24"/>
        </w:rPr>
        <w:t xml:space="preserve">. </w:t>
      </w:r>
      <w:r>
        <w:rPr>
          <w:rFonts w:hint="eastAsia" w:ascii="Times New Roman" w:hAnsi="Times New Roman" w:cs="Times New Roman" w:eastAsiaTheme="majorEastAsia"/>
          <w:sz w:val="24"/>
          <w:szCs w:val="24"/>
        </w:rPr>
        <w:t>PBscore</w:t>
      </w:r>
      <w:r>
        <w:rPr>
          <w:rFonts w:ascii="Times New Roman" w:hAnsi="Times New Roman" w:cs="Times New Roman" w:eastAsiaTheme="major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eastAsiaTheme="majorEastAsia"/>
          <w:sz w:val="24"/>
          <w:szCs w:val="24"/>
        </w:rPr>
        <w:t>has no impact on prognosis of GBC.</w:t>
      </w:r>
    </w:p>
    <w:p>
      <w:pPr>
        <w:spacing w:line="480" w:lineRule="auto"/>
        <w:rPr>
          <w:rFonts w:ascii="Times New Roman" w:hAnsi="Times New Roman" w:cs="Times New Roman" w:eastAsiaTheme="majorEastAsia"/>
          <w:b/>
          <w:bCs/>
          <w:sz w:val="24"/>
          <w:szCs w:val="24"/>
        </w:rPr>
      </w:pPr>
      <w:r>
        <w:rPr>
          <w:rFonts w:ascii="Times New Roman" w:hAnsi="Times New Roman" w:cs="Times New Roman" w:eastAsiaTheme="majorEastAsia"/>
          <w:sz w:val="24"/>
          <w:szCs w:val="24"/>
        </w:rPr>
        <w:t>(A) Univariate Cox analysis with the PARP1-BRCA1-BRCA2 pathway and PBscore.</w:t>
      </w:r>
    </w:p>
    <w:p>
      <w:pPr>
        <w:spacing w:line="480" w:lineRule="auto"/>
        <w:rPr>
          <w:rFonts w:ascii="Times New Roman" w:hAnsi="Times New Roman" w:cs="Times New Roman" w:eastAsiaTheme="majorEastAsia"/>
          <w:sz w:val="24"/>
          <w:szCs w:val="24"/>
        </w:rPr>
      </w:pPr>
      <w:r>
        <w:rPr>
          <w:rFonts w:ascii="Times New Roman" w:hAnsi="Times New Roman" w:cs="Times New Roman" w:eastAsiaTheme="majorEastAsia"/>
          <w:sz w:val="24"/>
          <w:szCs w:val="24"/>
        </w:rPr>
        <w:t xml:space="preserve">(B) Kaplan–Meier curves comparing the overall survival (OS) in patients with low and high </w:t>
      </w:r>
      <w:r>
        <w:rPr>
          <w:rFonts w:hint="eastAsia" w:ascii="Times New Roman" w:hAnsi="Times New Roman" w:cs="Times New Roman" w:eastAsiaTheme="majorEastAsia"/>
          <w:sz w:val="24"/>
          <w:szCs w:val="24"/>
        </w:rPr>
        <w:t xml:space="preserve">PBscore </w:t>
      </w:r>
      <w:r>
        <w:rPr>
          <w:rFonts w:ascii="Times New Roman" w:hAnsi="Times New Roman" w:cs="Times New Roman" w:eastAsiaTheme="majorEastAsia"/>
          <w:sz w:val="24"/>
          <w:szCs w:val="24"/>
        </w:rPr>
        <w:t>expression in TCGA- CHOL cohort (log rank test).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3A583FD6"/>
    <w:rsid w:val="583F025E"/>
    <w:rsid w:val="5F125C0B"/>
    <w:rsid w:val="702079CF"/>
    <w:rsid w:val="75076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2023-08-19T14:17:00Z</dcterms:created>
  <dc:creator>ZhangGang</dc:creator>
  <cp:lastModifiedBy>唐煜凯</cp:lastModifiedBy>
  <dcterms:modified xsi:type="dcterms:W3CDTF">2023-08-31T09:07:43Z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C022415C3C554F839549C904029855E0_12</vt:lpwstr>
  </property>
</Properties>
</file>