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6A25" w:rsidRPr="00D86A25" w:rsidRDefault="00BF0DFA" w:rsidP="0080130D">
      <w:pPr>
        <w:spacing w:afterLines="50" w:after="156"/>
        <w:rPr>
          <w:rFonts w:ascii="Times New Roman" w:hAnsi="Times New Roman"/>
          <w:sz w:val="24"/>
          <w:szCs w:val="24"/>
        </w:rPr>
      </w:pPr>
      <w:r w:rsidRPr="00D86A25">
        <w:rPr>
          <w:rFonts w:ascii="Times New Roman" w:hAnsi="Times New Roman"/>
          <w:sz w:val="24"/>
          <w:szCs w:val="24"/>
        </w:rPr>
        <w:t xml:space="preserve">1. Qinbai qingfei pellet (Qinbai), which is the first effective new Traditional Chinese Medicine against </w:t>
      </w:r>
      <w:r w:rsidRPr="00D86A25">
        <w:rPr>
          <w:rFonts w:ascii="Times New Roman" w:hAnsi="Times New Roman"/>
          <w:i/>
          <w:sz w:val="24"/>
          <w:szCs w:val="24"/>
        </w:rPr>
        <w:t>Mycoplasma pneumoniae pneumonia</w:t>
      </w:r>
      <w:r w:rsidRPr="00D86A25">
        <w:rPr>
          <w:rFonts w:ascii="Times New Roman" w:hAnsi="Times New Roman"/>
          <w:sz w:val="24"/>
          <w:szCs w:val="24"/>
        </w:rPr>
        <w:t xml:space="preserve"> (</w:t>
      </w:r>
      <w:r w:rsidRPr="00D86A25">
        <w:rPr>
          <w:rFonts w:ascii="Times New Roman" w:hAnsi="Times New Roman"/>
          <w:i/>
          <w:sz w:val="24"/>
          <w:szCs w:val="24"/>
        </w:rPr>
        <w:t>MPP</w:t>
      </w:r>
      <w:r w:rsidRPr="00D86A25">
        <w:rPr>
          <w:rFonts w:ascii="Times New Roman" w:hAnsi="Times New Roman"/>
          <w:sz w:val="24"/>
          <w:szCs w:val="24"/>
        </w:rPr>
        <w:t>) in China, can effectively inhibit the expression of TGF-</w:t>
      </w:r>
      <w:r w:rsidRPr="00D86A25">
        <w:rPr>
          <w:rFonts w:ascii="Times New Roman" w:hAnsi="Times New Roman"/>
          <w:i/>
          <w:sz w:val="24"/>
          <w:szCs w:val="24"/>
        </w:rPr>
        <w:t>β</w:t>
      </w:r>
      <w:r w:rsidRPr="00D86A25">
        <w:rPr>
          <w:rFonts w:ascii="Times New Roman" w:hAnsi="Times New Roman"/>
          <w:sz w:val="24"/>
          <w:szCs w:val="24"/>
        </w:rPr>
        <w:t xml:space="preserve">1 in </w:t>
      </w:r>
      <w:r w:rsidRPr="00D86A25">
        <w:rPr>
          <w:rFonts w:ascii="Times New Roman" w:hAnsi="Times New Roman"/>
          <w:i/>
          <w:sz w:val="24"/>
          <w:szCs w:val="24"/>
        </w:rPr>
        <w:t>MPP</w:t>
      </w:r>
      <w:r w:rsidRPr="00D86A25">
        <w:rPr>
          <w:rFonts w:ascii="Times New Roman" w:hAnsi="Times New Roman"/>
          <w:sz w:val="24"/>
          <w:szCs w:val="24"/>
        </w:rPr>
        <w:t>.</w:t>
      </w:r>
    </w:p>
    <w:p w:rsidR="00D86A25" w:rsidRPr="00D86A25" w:rsidRDefault="00BF0DFA" w:rsidP="0080130D">
      <w:pPr>
        <w:spacing w:afterLines="50" w:after="156"/>
        <w:rPr>
          <w:rFonts w:ascii="Times New Roman" w:hAnsi="Times New Roman"/>
          <w:sz w:val="24"/>
          <w:szCs w:val="24"/>
        </w:rPr>
      </w:pPr>
      <w:r w:rsidRPr="00D86A25">
        <w:rPr>
          <w:rFonts w:ascii="Times New Roman" w:hAnsi="Times New Roman"/>
          <w:sz w:val="24"/>
          <w:szCs w:val="24"/>
        </w:rPr>
        <w:t>2. Surface plasmon resonance (SPR) has been used to capture bioactive components from compound mixtures, which has developed a new approach for the research of Chinese herbal medicines. In present study the active ingredients which can be bound with TGF-</w:t>
      </w:r>
      <w:r w:rsidRPr="00D86A25">
        <w:rPr>
          <w:rFonts w:ascii="Times New Roman" w:hAnsi="Times New Roman"/>
          <w:i/>
          <w:sz w:val="24"/>
          <w:szCs w:val="24"/>
        </w:rPr>
        <w:t>β</w:t>
      </w:r>
      <w:r w:rsidRPr="00D86A25">
        <w:rPr>
          <w:rFonts w:ascii="Times New Roman" w:hAnsi="Times New Roman"/>
          <w:sz w:val="24"/>
          <w:szCs w:val="24"/>
        </w:rPr>
        <w:t xml:space="preserve">1 in the solution of </w:t>
      </w:r>
      <w:r w:rsidRPr="00D86A25">
        <w:rPr>
          <w:rFonts w:ascii="Times New Roman" w:hAnsi="Times New Roman"/>
          <w:i/>
          <w:sz w:val="24"/>
          <w:szCs w:val="24"/>
        </w:rPr>
        <w:t>Radix Scutellaria</w:t>
      </w:r>
      <w:r w:rsidRPr="00D86A25">
        <w:rPr>
          <w:rFonts w:ascii="Times New Roman" w:hAnsi="Times New Roman"/>
          <w:sz w:val="24"/>
          <w:szCs w:val="24"/>
        </w:rPr>
        <w:t xml:space="preserve"> and Qinbai were obtained and analyzed by the technology of SPR</w:t>
      </w:r>
      <w:r w:rsidR="0080130D">
        <w:rPr>
          <w:rFonts w:ascii="Times New Roman" w:hAnsi="Times New Roman"/>
          <w:sz w:val="24"/>
          <w:szCs w:val="24"/>
        </w:rPr>
        <w:t xml:space="preserve"> and UPLC-Q-TOF-MS</w:t>
      </w:r>
      <w:r w:rsidRPr="00D86A25">
        <w:rPr>
          <w:rFonts w:ascii="Times New Roman" w:hAnsi="Times New Roman"/>
          <w:sz w:val="24"/>
          <w:szCs w:val="24"/>
        </w:rPr>
        <w:t>.</w:t>
      </w:r>
    </w:p>
    <w:p w:rsidR="00BF0DFA" w:rsidRPr="00D86A25" w:rsidRDefault="00BF0DFA" w:rsidP="0080130D">
      <w:pPr>
        <w:spacing w:afterLines="50" w:after="156"/>
        <w:rPr>
          <w:rFonts w:ascii="Times New Roman" w:hAnsi="Times New Roman"/>
          <w:sz w:val="24"/>
          <w:szCs w:val="24"/>
        </w:rPr>
      </w:pPr>
      <w:r w:rsidRPr="00D86A25">
        <w:rPr>
          <w:rFonts w:ascii="Times New Roman" w:hAnsi="Times New Roman"/>
          <w:sz w:val="24"/>
          <w:szCs w:val="24"/>
        </w:rPr>
        <w:t xml:space="preserve">3. The active ingredients in </w:t>
      </w:r>
      <w:r w:rsidR="00F16ED4" w:rsidRPr="00F16ED4">
        <w:rPr>
          <w:rFonts w:ascii="Times New Roman" w:hAnsi="Times New Roman"/>
          <w:i/>
          <w:sz w:val="24"/>
          <w:szCs w:val="24"/>
        </w:rPr>
        <w:t>Scutellaria baicalensis</w:t>
      </w:r>
      <w:r w:rsidR="00F16ED4" w:rsidRPr="00F16ED4">
        <w:rPr>
          <w:rFonts w:ascii="Times New Roman" w:hAnsi="Times New Roman"/>
          <w:sz w:val="24"/>
          <w:szCs w:val="24"/>
        </w:rPr>
        <w:t xml:space="preserve"> </w:t>
      </w:r>
      <w:r w:rsidRPr="00D86A25">
        <w:rPr>
          <w:rFonts w:ascii="Times New Roman" w:hAnsi="Times New Roman"/>
          <w:sz w:val="24"/>
          <w:szCs w:val="24"/>
        </w:rPr>
        <w:t xml:space="preserve">and Qinbai solution was </w:t>
      </w:r>
      <w:r w:rsidRPr="00D86A25">
        <w:rPr>
          <w:rFonts w:ascii="Times New Roman" w:hAnsi="Times New Roman"/>
          <w:i/>
          <w:sz w:val="24"/>
          <w:szCs w:val="24"/>
        </w:rPr>
        <w:t>Wogonoside</w:t>
      </w:r>
      <w:r w:rsidRPr="00D86A25">
        <w:rPr>
          <w:rFonts w:ascii="Times New Roman" w:hAnsi="Times New Roman"/>
          <w:sz w:val="24"/>
          <w:szCs w:val="24"/>
        </w:rPr>
        <w:t>. SPR affinity analysis in</w:t>
      </w:r>
      <w:bookmarkStart w:id="0" w:name="_GoBack"/>
      <w:bookmarkEnd w:id="0"/>
      <w:r w:rsidRPr="00D86A25">
        <w:rPr>
          <w:rFonts w:ascii="Times New Roman" w:hAnsi="Times New Roman"/>
          <w:sz w:val="24"/>
          <w:szCs w:val="24"/>
        </w:rPr>
        <w:t>dicat</w:t>
      </w:r>
      <w:r w:rsidR="00D86A25" w:rsidRPr="00D86A25">
        <w:rPr>
          <w:rFonts w:ascii="Times New Roman" w:hAnsi="Times New Roman"/>
          <w:sz w:val="24"/>
          <w:szCs w:val="24"/>
        </w:rPr>
        <w:t>ed</w:t>
      </w:r>
      <w:r w:rsidRPr="00D86A25">
        <w:rPr>
          <w:rFonts w:ascii="Times New Roman" w:hAnsi="Times New Roman"/>
          <w:sz w:val="24"/>
          <w:szCs w:val="24"/>
        </w:rPr>
        <w:t xml:space="preserve"> the specific binding between </w:t>
      </w:r>
      <w:r w:rsidRPr="00D86A25">
        <w:rPr>
          <w:rFonts w:ascii="Times New Roman" w:hAnsi="Times New Roman"/>
          <w:i/>
          <w:sz w:val="24"/>
          <w:szCs w:val="24"/>
        </w:rPr>
        <w:t>Wogonoside</w:t>
      </w:r>
      <w:r w:rsidRPr="00D86A25">
        <w:rPr>
          <w:rFonts w:ascii="Times New Roman" w:hAnsi="Times New Roman"/>
          <w:sz w:val="24"/>
          <w:szCs w:val="24"/>
        </w:rPr>
        <w:t xml:space="preserve"> and TGF-</w:t>
      </w:r>
      <w:r w:rsidRPr="00D86A25">
        <w:rPr>
          <w:rFonts w:ascii="Times New Roman" w:hAnsi="Times New Roman"/>
          <w:i/>
          <w:sz w:val="24"/>
          <w:szCs w:val="24"/>
        </w:rPr>
        <w:t>β</w:t>
      </w:r>
      <w:r w:rsidRPr="00D86A25">
        <w:rPr>
          <w:rFonts w:ascii="Times New Roman" w:hAnsi="Times New Roman"/>
          <w:sz w:val="24"/>
          <w:szCs w:val="24"/>
        </w:rPr>
        <w:t>1.</w:t>
      </w:r>
    </w:p>
    <w:p w:rsidR="00D86A25" w:rsidRPr="00D86A25" w:rsidRDefault="00BF0DFA" w:rsidP="005345D3">
      <w:pPr>
        <w:spacing w:afterLines="50" w:after="156"/>
        <w:rPr>
          <w:rStyle w:val="fontstyle01"/>
          <w:rFonts w:ascii="Times New Roman" w:hAnsi="Times New Roman" w:cs="Times New Roman"/>
          <w:sz w:val="24"/>
        </w:rPr>
      </w:pPr>
      <w:r w:rsidRPr="00D86A25">
        <w:rPr>
          <w:rFonts w:ascii="Times New Roman" w:hAnsi="Times New Roman" w:hint="eastAsia"/>
          <w:sz w:val="24"/>
          <w:szCs w:val="24"/>
        </w:rPr>
        <w:t>4.</w:t>
      </w:r>
      <w:r w:rsidR="00D86A25" w:rsidRPr="00D86A25">
        <w:rPr>
          <w:rFonts w:ascii="Times New Roman" w:hAnsi="Times New Roman"/>
          <w:i/>
          <w:sz w:val="24"/>
          <w:szCs w:val="24"/>
        </w:rPr>
        <w:t xml:space="preserve"> Wogonoside</w:t>
      </w:r>
      <w:r w:rsidR="00D86A25" w:rsidRPr="00D86A25">
        <w:rPr>
          <w:rFonts w:ascii="Times New Roman" w:hAnsi="Times New Roman"/>
          <w:sz w:val="24"/>
          <w:szCs w:val="24"/>
        </w:rPr>
        <w:t xml:space="preserve"> strongly inhibited the expression of TGF-</w:t>
      </w:r>
      <w:r w:rsidR="00D86A25" w:rsidRPr="00D86A25">
        <w:rPr>
          <w:rFonts w:ascii="Times New Roman" w:hAnsi="Times New Roman"/>
          <w:i/>
          <w:sz w:val="24"/>
          <w:szCs w:val="24"/>
        </w:rPr>
        <w:t>β</w:t>
      </w:r>
      <w:r w:rsidR="00D86A25" w:rsidRPr="00D86A25">
        <w:rPr>
          <w:rFonts w:ascii="Times New Roman" w:hAnsi="Times New Roman"/>
          <w:sz w:val="24"/>
          <w:szCs w:val="24"/>
        </w:rPr>
        <w:t xml:space="preserve">1 and Smad3 in A549 cells infected by </w:t>
      </w:r>
      <w:r w:rsidR="00D86A25" w:rsidRPr="00D86A25">
        <w:rPr>
          <w:rFonts w:ascii="Times New Roman" w:hAnsi="Times New Roman"/>
          <w:i/>
          <w:sz w:val="24"/>
          <w:szCs w:val="24"/>
        </w:rPr>
        <w:t>Mycoplasma pneumoniae</w:t>
      </w:r>
      <w:r w:rsidR="00D86A25" w:rsidRPr="00D86A25">
        <w:rPr>
          <w:rFonts w:ascii="Times New Roman" w:hAnsi="Times New Roman"/>
          <w:sz w:val="24"/>
          <w:szCs w:val="24"/>
        </w:rPr>
        <w:t>, which provide</w:t>
      </w:r>
      <w:r w:rsidR="0080130D">
        <w:rPr>
          <w:rFonts w:ascii="Times New Roman" w:hAnsi="Times New Roman"/>
          <w:sz w:val="24"/>
          <w:szCs w:val="24"/>
        </w:rPr>
        <w:t>d</w:t>
      </w:r>
      <w:r w:rsidR="00D86A25" w:rsidRPr="00D86A25">
        <w:rPr>
          <w:rFonts w:ascii="Times New Roman" w:hAnsi="Times New Roman"/>
          <w:sz w:val="24"/>
          <w:szCs w:val="24"/>
        </w:rPr>
        <w:t xml:space="preserve"> a foundation to further explore the mechanisms of Qinbai in future studies.</w:t>
      </w:r>
    </w:p>
    <w:sectPr w:rsidR="00D86A25" w:rsidRPr="00D86A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3B37" w:rsidRDefault="001D3B37" w:rsidP="002E2CA4">
      <w:r>
        <w:separator/>
      </w:r>
    </w:p>
  </w:endnote>
  <w:endnote w:type="continuationSeparator" w:id="0">
    <w:p w:rsidR="001D3B37" w:rsidRDefault="001D3B37" w:rsidP="002E2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3B37" w:rsidRDefault="001D3B37" w:rsidP="002E2CA4">
      <w:r>
        <w:separator/>
      </w:r>
    </w:p>
  </w:footnote>
  <w:footnote w:type="continuationSeparator" w:id="0">
    <w:p w:rsidR="001D3B37" w:rsidRDefault="001D3B37" w:rsidP="002E2C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555"/>
    <w:rsid w:val="001D3B37"/>
    <w:rsid w:val="002E2CA4"/>
    <w:rsid w:val="005345D3"/>
    <w:rsid w:val="0080130D"/>
    <w:rsid w:val="00856EC1"/>
    <w:rsid w:val="00B4646F"/>
    <w:rsid w:val="00B47AFF"/>
    <w:rsid w:val="00BF0DFA"/>
    <w:rsid w:val="00D40555"/>
    <w:rsid w:val="00D86A25"/>
    <w:rsid w:val="00F16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7E4DF3-4914-402B-AF4D-19C79FABD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2C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2C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2C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2CA4"/>
    <w:rPr>
      <w:sz w:val="18"/>
      <w:szCs w:val="18"/>
    </w:rPr>
  </w:style>
  <w:style w:type="character" w:customStyle="1" w:styleId="fontstyle01">
    <w:name w:val="fontstyle01"/>
    <w:basedOn w:val="a0"/>
    <w:rsid w:val="002E2CA4"/>
    <w:rPr>
      <w:rFonts w:ascii="Arial" w:hAnsi="Arial" w:cs="Arial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2E2CA4"/>
    <w:rPr>
      <w:rFonts w:ascii="Arial" w:hAnsi="Arial" w:cs="Arial" w:hint="default"/>
      <w:b w:val="0"/>
      <w:bCs w:val="0"/>
      <w:i/>
      <w:iCs/>
      <w:color w:val="000000"/>
      <w:sz w:val="18"/>
      <w:szCs w:val="18"/>
    </w:rPr>
  </w:style>
  <w:style w:type="paragraph" w:styleId="a5">
    <w:name w:val="List Paragraph"/>
    <w:basedOn w:val="a"/>
    <w:uiPriority w:val="34"/>
    <w:qFormat/>
    <w:rsid w:val="00BF0DF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144</Words>
  <Characters>823</Characters>
  <Application>Microsoft Office Word</Application>
  <DocSecurity>0</DocSecurity>
  <Lines>6</Lines>
  <Paragraphs>1</Paragraphs>
  <ScaleCrop>false</ScaleCrop>
  <Company>微软中国</Company>
  <LinksUpToDate>false</LinksUpToDate>
  <CharactersWithSpaces>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2020-02-05T13:05:00Z</dcterms:created>
  <dcterms:modified xsi:type="dcterms:W3CDTF">2020-03-13T10:24:00Z</dcterms:modified>
</cp:coreProperties>
</file>