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E3FE5" w14:textId="7E331165" w:rsidR="00D60104" w:rsidRPr="00FE7BF9" w:rsidRDefault="00F2706A" w:rsidP="00FE7BF9">
      <w:pPr>
        <w:pStyle w:val="Heading2"/>
        <w:rPr>
          <w:rFonts w:ascii="Times New Roman" w:hAnsi="Times New Roman"/>
          <w:sz w:val="24"/>
          <w:lang w:val="en-AU"/>
        </w:rPr>
      </w:pPr>
      <w:bookmarkStart w:id="0" w:name="_Toc117153547"/>
      <w:r w:rsidRPr="00FE7BF9">
        <w:rPr>
          <w:rFonts w:ascii="Times New Roman" w:hAnsi="Times New Roman"/>
          <w:sz w:val="24"/>
        </w:rPr>
        <w:t>Supplementary</w:t>
      </w:r>
      <w:r w:rsidRPr="00FE7BF9">
        <w:rPr>
          <w:rFonts w:ascii="Times New Roman" w:hAnsi="Times New Roman"/>
          <w:sz w:val="24"/>
        </w:rPr>
        <w:t xml:space="preserve"> Table 1. </w:t>
      </w:r>
      <w:r w:rsidRPr="00FE7BF9">
        <w:rPr>
          <w:rFonts w:ascii="Times New Roman" w:hAnsi="Times New Roman"/>
          <w:b w:val="0"/>
          <w:sz w:val="24"/>
        </w:rPr>
        <w:t>Clinical trial features</w:t>
      </w:r>
      <w:bookmarkEnd w:id="0"/>
      <w:r w:rsidRPr="00FE7BF9">
        <w:rPr>
          <w:rFonts w:ascii="Times New Roman" w:hAnsi="Times New Roman"/>
          <w:sz w:val="24"/>
        </w:rPr>
        <w:t xml:space="preserve"> </w:t>
      </w:r>
    </w:p>
    <w:tbl>
      <w:tblPr>
        <w:tblW w:w="9170" w:type="dxa"/>
        <w:tblInd w:w="-11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79"/>
        <w:gridCol w:w="1175"/>
        <w:gridCol w:w="2409"/>
        <w:gridCol w:w="2174"/>
        <w:gridCol w:w="1822"/>
      </w:tblGrid>
      <w:tr w:rsidR="00541C0C" w14:paraId="55811229" w14:textId="77777777" w:rsidTr="00E17F2D">
        <w:trPr>
          <w:trHeight w:val="666"/>
        </w:trPr>
        <w:tc>
          <w:tcPr>
            <w:tcW w:w="711" w:type="dxa"/>
            <w:shd w:val="clear" w:color="auto" w:fill="auto"/>
            <w:vAlign w:val="center"/>
          </w:tcPr>
          <w:p w14:paraId="4735FC0C" w14:textId="77777777" w:rsidR="00D60104" w:rsidRPr="00C86B11" w:rsidRDefault="00F2706A" w:rsidP="00E17F2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B11">
              <w:rPr>
                <w:rFonts w:ascii="Times New Roman" w:hAnsi="Times New Roman" w:cs="Times New Roman"/>
                <w:b/>
                <w:sz w:val="24"/>
                <w:szCs w:val="24"/>
              </w:rPr>
              <w:t>Trial No.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D13399D" w14:textId="77777777" w:rsidR="00D60104" w:rsidRPr="00C86B11" w:rsidRDefault="00F2706A" w:rsidP="00E17F2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86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Phase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65963365" w14:textId="77777777" w:rsidR="00D60104" w:rsidRPr="00C86B11" w:rsidRDefault="00F2706A" w:rsidP="00E17F2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86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Design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E3E912B" w14:textId="77777777" w:rsidR="00D60104" w:rsidRPr="00C86B11" w:rsidRDefault="00F2706A" w:rsidP="00E17F2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86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Intervention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5153F28A" w14:textId="77777777" w:rsidR="00D60104" w:rsidRPr="00C86B11" w:rsidRDefault="00F2706A" w:rsidP="00E17F2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86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Population</w:t>
            </w:r>
          </w:p>
        </w:tc>
        <w:tc>
          <w:tcPr>
            <w:tcW w:w="1822" w:type="dxa"/>
            <w:vAlign w:val="center"/>
          </w:tcPr>
          <w:p w14:paraId="1C8C82C2" w14:textId="77777777" w:rsidR="00D60104" w:rsidRPr="00C86B11" w:rsidRDefault="00F2706A" w:rsidP="00E17F2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86B11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  <w:shd w:val="clear" w:color="auto" w:fill="FFFFFF"/>
              </w:rPr>
              <w:t>R</w:t>
            </w:r>
            <w:r w:rsidRPr="00C86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egistration or authorization</w:t>
            </w:r>
          </w:p>
        </w:tc>
      </w:tr>
      <w:tr w:rsidR="00541C0C" w14:paraId="7A657C9A" w14:textId="77777777" w:rsidTr="00E17F2D">
        <w:trPr>
          <w:trHeight w:val="666"/>
        </w:trPr>
        <w:tc>
          <w:tcPr>
            <w:tcW w:w="711" w:type="dxa"/>
            <w:shd w:val="clear" w:color="auto" w:fill="auto"/>
            <w:vAlign w:val="center"/>
          </w:tcPr>
          <w:p w14:paraId="53A285E3" w14:textId="77777777" w:rsidR="00D60104" w:rsidRPr="00C86B11" w:rsidRDefault="00F2706A" w:rsidP="00E17F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CF72AE3" w14:textId="77777777" w:rsidR="00D60104" w:rsidRPr="00C86B11" w:rsidRDefault="00F2706A" w:rsidP="00E17F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6B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5134FCA3" w14:textId="1D1C6113" w:rsidR="00D60104" w:rsidRPr="00C86B11" w:rsidRDefault="00F2706A" w:rsidP="00E17F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3A40" w:rsidRPr="00C86B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86B11">
              <w:rPr>
                <w:rFonts w:ascii="Times New Roman" w:hAnsi="Times New Roman" w:cs="Times New Roman"/>
                <w:sz w:val="24"/>
                <w:szCs w:val="24"/>
              </w:rPr>
              <w:t>arm RCT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8CCDF90" w14:textId="2BA2E68D" w:rsidR="00D60104" w:rsidRPr="00C86B11" w:rsidRDefault="00F2706A" w:rsidP="002C625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6B11">
              <w:rPr>
                <w:rFonts w:ascii="Times New Roman" w:hAnsi="Times New Roman" w:cs="Times New Roman" w:hint="eastAsia"/>
                <w:sz w:val="24"/>
                <w:szCs w:val="24"/>
              </w:rPr>
              <w:t>PD</w:t>
            </w:r>
            <w:r w:rsidRPr="00C86B11">
              <w:rPr>
                <w:rFonts w:ascii="Times New Roman" w:hAnsi="Times New Roman" w:cs="Times New Roman"/>
                <w:sz w:val="24"/>
                <w:szCs w:val="24"/>
              </w:rPr>
              <w:t xml:space="preserve">-1 </w:t>
            </w:r>
            <w:r w:rsidRPr="00C86B11">
              <w:rPr>
                <w:rFonts w:ascii="Times New Roman" w:hAnsi="Times New Roman" w:cs="Times New Roman" w:hint="eastAsia"/>
                <w:sz w:val="24"/>
                <w:szCs w:val="24"/>
              </w:rPr>
              <w:t>inhibitor</w:t>
            </w:r>
            <w:r w:rsidRPr="00C86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3A40" w:rsidRPr="00C86B11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C86B11">
              <w:rPr>
                <w:rFonts w:ascii="Times New Roman" w:hAnsi="Times New Roman" w:cs="Times New Roman" w:hint="eastAsia"/>
                <w:sz w:val="24"/>
                <w:szCs w:val="24"/>
              </w:rPr>
              <w:t>targeted</w:t>
            </w:r>
            <w:r w:rsidRPr="00C86B11">
              <w:rPr>
                <w:rFonts w:ascii="Times New Roman" w:hAnsi="Times New Roman" w:cs="Times New Roman"/>
                <w:sz w:val="24"/>
                <w:szCs w:val="24"/>
              </w:rPr>
              <w:t xml:space="preserve"> drug versus placebo </w:t>
            </w:r>
            <w:r w:rsidR="003B3A40" w:rsidRPr="00C86B11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C86B11">
              <w:rPr>
                <w:rFonts w:ascii="Times New Roman" w:hAnsi="Times New Roman" w:cs="Times New Roman" w:hint="eastAsia"/>
                <w:sz w:val="24"/>
                <w:szCs w:val="24"/>
              </w:rPr>
              <w:t>targeted</w:t>
            </w:r>
            <w:r w:rsidRPr="00C86B11">
              <w:rPr>
                <w:rFonts w:ascii="Times New Roman" w:hAnsi="Times New Roman" w:cs="Times New Roman"/>
                <w:sz w:val="24"/>
                <w:szCs w:val="24"/>
              </w:rPr>
              <w:t xml:space="preserve"> drug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66A99C29" w14:textId="77777777" w:rsidR="00D60104" w:rsidRPr="00C86B11" w:rsidRDefault="00F2706A" w:rsidP="00E17F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B11">
              <w:rPr>
                <w:rFonts w:ascii="Times New Roman" w:hAnsi="Times New Roman" w:cs="Times New Roman"/>
                <w:sz w:val="24"/>
                <w:szCs w:val="24"/>
              </w:rPr>
              <w:t>Advanced HCC with</w:t>
            </w:r>
            <w:r w:rsidRPr="00C86B11">
              <w:rPr>
                <w:rFonts w:ascii="Times New Roman" w:hAnsi="Times New Roman" w:cs="Times New Roman" w:hint="eastAsia"/>
                <w:sz w:val="24"/>
                <w:szCs w:val="24"/>
              </w:rPr>
              <w:t>out</w:t>
            </w:r>
            <w:r w:rsidRPr="00C86B11">
              <w:rPr>
                <w:rFonts w:ascii="Times New Roman" w:hAnsi="Times New Roman" w:cs="Times New Roman"/>
                <w:sz w:val="24"/>
                <w:szCs w:val="24"/>
              </w:rPr>
              <w:t xml:space="preserve"> prior systemic therapy</w:t>
            </w:r>
          </w:p>
        </w:tc>
        <w:tc>
          <w:tcPr>
            <w:tcW w:w="1822" w:type="dxa"/>
            <w:vAlign w:val="center"/>
          </w:tcPr>
          <w:p w14:paraId="13D8ACAF" w14:textId="77777777" w:rsidR="00D60104" w:rsidRPr="00C86B11" w:rsidRDefault="00F2706A" w:rsidP="00E17F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B11">
              <w:rPr>
                <w:rFonts w:ascii="Times New Roman" w:hAnsi="Times New Roman" w:cs="Times New Roman"/>
                <w:sz w:val="24"/>
                <w:szCs w:val="24"/>
              </w:rPr>
              <w:t>NCT04194775</w:t>
            </w:r>
          </w:p>
        </w:tc>
      </w:tr>
      <w:tr w:rsidR="00541C0C" w14:paraId="1E03B67B" w14:textId="77777777" w:rsidTr="00E17F2D">
        <w:trPr>
          <w:trHeight w:val="666"/>
        </w:trPr>
        <w:tc>
          <w:tcPr>
            <w:tcW w:w="711" w:type="dxa"/>
            <w:shd w:val="clear" w:color="auto" w:fill="auto"/>
            <w:vAlign w:val="center"/>
          </w:tcPr>
          <w:p w14:paraId="226A27A5" w14:textId="77777777" w:rsidR="00D60104" w:rsidRPr="00C86B11" w:rsidRDefault="00F2706A" w:rsidP="00E17F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D7F969E" w14:textId="77777777" w:rsidR="00D60104" w:rsidRPr="00C86B11" w:rsidRDefault="00F2706A" w:rsidP="00E17F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6B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02C215A7" w14:textId="67B5A683" w:rsidR="00D60104" w:rsidRPr="00C86B11" w:rsidRDefault="00F2706A" w:rsidP="00E17F2D">
            <w:pPr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3A40" w:rsidRPr="00C86B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86B11">
              <w:rPr>
                <w:rFonts w:ascii="Times New Roman" w:hAnsi="Times New Roman" w:cs="Times New Roman"/>
                <w:sz w:val="24"/>
                <w:szCs w:val="24"/>
              </w:rPr>
              <w:t>arm RCT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AC54A82" w14:textId="77777777" w:rsidR="00D60104" w:rsidRPr="00C86B11" w:rsidRDefault="00F2706A" w:rsidP="00E17F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6B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Premarketing microwave ablation device </w:t>
            </w:r>
            <w:r w:rsidRPr="00C86B11">
              <w:rPr>
                <w:rFonts w:ascii="Times New Roman" w:hAnsi="Times New Roman" w:cs="Times New Roman"/>
                <w:sz w:val="24"/>
                <w:szCs w:val="24"/>
              </w:rPr>
              <w:t>versus</w:t>
            </w:r>
            <w:r w:rsidRPr="00C86B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microwave ablation device </w:t>
            </w:r>
            <w:r w:rsidRPr="00C86B11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on</w:t>
            </w:r>
            <w:r w:rsidRPr="00C86B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the market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2DC848D4" w14:textId="77777777" w:rsidR="00D60104" w:rsidRPr="00C86B11" w:rsidRDefault="00F2706A" w:rsidP="00E17F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6B11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E</w:t>
            </w:r>
            <w:r w:rsidRPr="00C86B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arly HCC with untreated lesions</w:t>
            </w:r>
          </w:p>
        </w:tc>
        <w:tc>
          <w:tcPr>
            <w:tcW w:w="1822" w:type="dxa"/>
            <w:vAlign w:val="center"/>
          </w:tcPr>
          <w:p w14:paraId="779EB146" w14:textId="77777777" w:rsidR="00D60104" w:rsidRPr="00C86B11" w:rsidRDefault="00F2706A" w:rsidP="00E17F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6B11">
              <w:rPr>
                <w:rFonts w:ascii="Times New Roman" w:hAnsi="Times New Roman" w:cs="Times New Roman"/>
                <w:sz w:val="24"/>
                <w:szCs w:val="24"/>
              </w:rPr>
              <w:t xml:space="preserve">Jiangsu Provincial Medical Products Administration </w:t>
            </w:r>
            <w:r w:rsidRPr="00C86B11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C86B11">
              <w:rPr>
                <w:rFonts w:ascii="Times New Roman" w:hAnsi="Times New Roman" w:cs="Times New Roman"/>
                <w:sz w:val="24"/>
                <w:szCs w:val="24"/>
              </w:rPr>
              <w:t>20180917)</w:t>
            </w:r>
          </w:p>
        </w:tc>
      </w:tr>
    </w:tbl>
    <w:p w14:paraId="0F7C3D77" w14:textId="30023CF7" w:rsidR="00D60104" w:rsidRPr="00444B08" w:rsidRDefault="00F2706A" w:rsidP="00D60104">
      <w:pPr>
        <w:spacing w:after="100" w:afterAutospacing="1" w:line="480" w:lineRule="auto"/>
        <w:ind w:right="1563"/>
        <w:rPr>
          <w:rFonts w:ascii="Times New Roman" w:hAnsi="Times New Roman" w:cs="Times New Roman"/>
          <w:sz w:val="24"/>
          <w:szCs w:val="24"/>
        </w:rPr>
      </w:pPr>
      <w:r w:rsidRPr="00444B08">
        <w:rPr>
          <w:rFonts w:ascii="Times New Roman" w:hAnsi="Times New Roman" w:cs="Times New Roman"/>
          <w:b/>
          <w:sz w:val="24"/>
          <w:szCs w:val="24"/>
        </w:rPr>
        <w:t>Abbreviations</w:t>
      </w:r>
      <w:r w:rsidRPr="00444B08">
        <w:rPr>
          <w:rFonts w:ascii="Times New Roman" w:hAnsi="Times New Roman" w:cs="Times New Roman"/>
          <w:sz w:val="24"/>
          <w:szCs w:val="24"/>
        </w:rPr>
        <w:t>: RCT, randomized controlled trial; PD-1, programmed</w:t>
      </w:r>
      <w:r w:rsidR="003B3A40">
        <w:rPr>
          <w:rFonts w:ascii="Times New Roman" w:hAnsi="Times New Roman" w:cs="Times New Roman"/>
          <w:sz w:val="24"/>
          <w:szCs w:val="24"/>
        </w:rPr>
        <w:t xml:space="preserve"> </w:t>
      </w:r>
      <w:r w:rsidRPr="00444B08">
        <w:rPr>
          <w:rFonts w:ascii="Times New Roman" w:hAnsi="Times New Roman" w:cs="Times New Roman"/>
          <w:sz w:val="24"/>
          <w:szCs w:val="24"/>
        </w:rPr>
        <w:t xml:space="preserve">death-1; </w:t>
      </w:r>
      <w:r w:rsidR="003B3A40">
        <w:rPr>
          <w:rFonts w:ascii="Times New Roman" w:hAnsi="Times New Roman" w:cs="Times New Roman"/>
          <w:sz w:val="24"/>
          <w:szCs w:val="24"/>
        </w:rPr>
        <w:t xml:space="preserve">and </w:t>
      </w:r>
      <w:r w:rsidRPr="00444B08">
        <w:rPr>
          <w:rFonts w:ascii="Times New Roman" w:hAnsi="Times New Roman" w:cs="Times New Roman"/>
          <w:sz w:val="24"/>
          <w:szCs w:val="24"/>
        </w:rPr>
        <w:t>HCC, hepatocellular carcinoma</w:t>
      </w:r>
    </w:p>
    <w:p w14:paraId="2C4EBB39" w14:textId="77777777" w:rsidR="00662E92" w:rsidRPr="00D60104" w:rsidRDefault="00662E92" w:rsidP="00314ECE">
      <w:pPr>
        <w:spacing w:line="480" w:lineRule="auto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63714E00" w14:textId="77777777" w:rsidR="003B3A40" w:rsidRDefault="00F2706A">
      <w:pPr>
        <w:widowControl/>
        <w:jc w:val="left"/>
        <w:rPr>
          <w:rFonts w:ascii="Times New Roman" w:eastAsiaTheme="majorEastAsia" w:hAnsi="Times New Roman" w:cstheme="majorBidi"/>
          <w:b/>
          <w:bCs/>
          <w:sz w:val="24"/>
          <w:szCs w:val="32"/>
        </w:rPr>
      </w:pPr>
      <w:bookmarkStart w:id="1" w:name="_Toc117153548"/>
      <w:r>
        <w:rPr>
          <w:rFonts w:ascii="Times New Roman" w:hAnsi="Times New Roman"/>
          <w:sz w:val="24"/>
        </w:rPr>
        <w:br w:type="page"/>
      </w:r>
    </w:p>
    <w:p w14:paraId="0CCA3D1B" w14:textId="77777777" w:rsidR="00D60104" w:rsidRPr="004F3A6C" w:rsidRDefault="00F2706A" w:rsidP="00FE7BF9">
      <w:pPr>
        <w:pStyle w:val="Heading2"/>
        <w:rPr>
          <w:rFonts w:ascii="Times New Roman" w:hAnsi="Times New Roman"/>
          <w:sz w:val="24"/>
        </w:rPr>
      </w:pPr>
      <w:r w:rsidRPr="004F3A6C">
        <w:rPr>
          <w:rFonts w:ascii="Times New Roman" w:hAnsi="Times New Roman" w:hint="eastAsia"/>
          <w:sz w:val="24"/>
        </w:rPr>
        <w:lastRenderedPageBreak/>
        <w:t>Supplementary</w:t>
      </w:r>
      <w:r w:rsidRPr="004F3A6C">
        <w:rPr>
          <w:rFonts w:ascii="Times New Roman" w:hAnsi="Times New Roman"/>
          <w:sz w:val="24"/>
        </w:rPr>
        <w:t xml:space="preserve"> </w:t>
      </w:r>
      <w:r w:rsidRPr="004F3A6C">
        <w:rPr>
          <w:rFonts w:ascii="Times New Roman" w:hAnsi="Times New Roman" w:hint="eastAsia"/>
          <w:sz w:val="24"/>
        </w:rPr>
        <w:t>Table</w:t>
      </w:r>
      <w:r w:rsidRPr="004F3A6C">
        <w:rPr>
          <w:rFonts w:ascii="Times New Roman" w:hAnsi="Times New Roman"/>
          <w:sz w:val="24"/>
        </w:rPr>
        <w:t xml:space="preserve"> 2. </w:t>
      </w:r>
      <w:r w:rsidRPr="00FE7BF9">
        <w:rPr>
          <w:rFonts w:ascii="Times New Roman" w:hAnsi="Times New Roman"/>
          <w:b w:val="0"/>
          <w:sz w:val="24"/>
        </w:rPr>
        <w:t>Examples of eligibility criteria</w:t>
      </w:r>
      <w:bookmarkEnd w:id="1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0"/>
        <w:gridCol w:w="3558"/>
        <w:gridCol w:w="2528"/>
      </w:tblGrid>
      <w:tr w:rsidR="00541C0C" w14:paraId="0E39C68A" w14:textId="77777777" w:rsidTr="00D60104">
        <w:trPr>
          <w:trHeight w:val="18"/>
        </w:trPr>
        <w:tc>
          <w:tcPr>
            <w:tcW w:w="4617" w:type="dxa"/>
            <w:tcBorders>
              <w:top w:val="single" w:sz="4" w:space="0" w:color="auto"/>
            </w:tcBorders>
          </w:tcPr>
          <w:p w14:paraId="4596E5E3" w14:textId="77777777" w:rsidR="00D60104" w:rsidRPr="00C86B11" w:rsidRDefault="00D60104" w:rsidP="00D6010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</w:tcBorders>
          </w:tcPr>
          <w:p w14:paraId="48FE0E54" w14:textId="77777777" w:rsidR="00D60104" w:rsidRPr="00C86B11" w:rsidRDefault="00F2706A" w:rsidP="00D601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6B11">
              <w:rPr>
                <w:rFonts w:ascii="Times New Roman" w:hAnsi="Times New Roman" w:cs="Times New Roman"/>
                <w:sz w:val="24"/>
              </w:rPr>
              <w:t xml:space="preserve">Original </w:t>
            </w:r>
            <w:r w:rsidRPr="00C86B11">
              <w:rPr>
                <w:rFonts w:ascii="Times New Roman" w:hAnsi="Times New Roman" w:cs="Times New Roman"/>
                <w:sz w:val="24"/>
              </w:rPr>
              <w:t>protocol criteria</w:t>
            </w:r>
          </w:p>
        </w:tc>
        <w:tc>
          <w:tcPr>
            <w:tcW w:w="4619" w:type="dxa"/>
            <w:tcBorders>
              <w:top w:val="single" w:sz="4" w:space="0" w:color="auto"/>
            </w:tcBorders>
          </w:tcPr>
          <w:p w14:paraId="557896B0" w14:textId="77777777" w:rsidR="00D60104" w:rsidRPr="00C86B11" w:rsidRDefault="00F2706A" w:rsidP="00D601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6B11">
              <w:rPr>
                <w:rFonts w:ascii="Times New Roman" w:hAnsi="Times New Roman" w:cs="Times New Roman"/>
                <w:sz w:val="24"/>
              </w:rPr>
              <w:t>Clarified or refined criteria for CTMS</w:t>
            </w:r>
          </w:p>
        </w:tc>
      </w:tr>
      <w:tr w:rsidR="00541C0C" w14:paraId="148A24EF" w14:textId="77777777" w:rsidTr="00E17F2D">
        <w:trPr>
          <w:trHeight w:val="18"/>
        </w:trPr>
        <w:tc>
          <w:tcPr>
            <w:tcW w:w="4617" w:type="dxa"/>
            <w:vMerge w:val="restart"/>
            <w:vAlign w:val="center"/>
          </w:tcPr>
          <w:p w14:paraId="5982657D" w14:textId="77777777" w:rsidR="00D60104" w:rsidRPr="00C86B11" w:rsidRDefault="00F2706A" w:rsidP="00D601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6B11">
              <w:rPr>
                <w:rFonts w:ascii="Times New Roman" w:hAnsi="Times New Roman" w:cs="Times New Roman"/>
                <w:sz w:val="24"/>
              </w:rPr>
              <w:t>Inclusion criteria</w:t>
            </w:r>
          </w:p>
        </w:tc>
        <w:tc>
          <w:tcPr>
            <w:tcW w:w="4617" w:type="dxa"/>
          </w:tcPr>
          <w:p w14:paraId="7A7C3F94" w14:textId="47EEFBF6" w:rsidR="00D60104" w:rsidRPr="00C86B11" w:rsidRDefault="00F2706A" w:rsidP="002C6255">
            <w:pPr>
              <w:widowControl/>
              <w:spacing w:before="100" w:beforeAutospacing="1" w:after="100" w:afterAutospacing="1"/>
              <w:jc w:val="left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Patients </w:t>
            </w:r>
            <w:r w:rsidR="001B2CFE"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with unresectable advanced HCC that is not eligible for surgery and/or locoregional therapy (Stage B or C based on </w:t>
            </w: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the </w:t>
            </w:r>
            <w:r w:rsidR="001B2CFE"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>Barcelona Clinic Liver Cancer [BCLC] staging system) and meets either one of the following criteria: 1) histologically or cytologically confirmed diagnosis of HCC</w:t>
            </w: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>;</w:t>
            </w:r>
            <w:r w:rsidR="001B2CFE"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 2) clinically confirmed diagnosis of HCC according to</w:t>
            </w: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 the</w:t>
            </w:r>
            <w:r w:rsidR="001B2CFE"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 American Association for the study of Liver Diseases (AASLD) criteria. Patients without cirrhosis require </w:t>
            </w: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a </w:t>
            </w:r>
            <w:r w:rsidR="001B2CFE"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histological confirmation of diagnosis. The curative treatment and/or locoregional therapy must have been completed ≥4 weeks </w:t>
            </w: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>before</w:t>
            </w:r>
            <w:r w:rsidR="001B2CFE"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 the baseline scan for </w:t>
            </w: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those </w:t>
            </w:r>
            <w:r w:rsidR="001B2CFE"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who experienced disease progression. </w:t>
            </w:r>
          </w:p>
        </w:tc>
        <w:tc>
          <w:tcPr>
            <w:tcW w:w="4619" w:type="dxa"/>
          </w:tcPr>
          <w:p w14:paraId="0BA0026F" w14:textId="77777777" w:rsidR="00D60104" w:rsidRPr="00C86B11" w:rsidRDefault="00F2706A" w:rsidP="00D6010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86B11">
              <w:rPr>
                <w:rFonts w:ascii="Times New Roman" w:hAnsi="Times New Roman" w:cs="Times New Roman"/>
                <w:sz w:val="24"/>
              </w:rPr>
              <w:t xml:space="preserve">Patients diagnosed with HCC, </w:t>
            </w:r>
            <w:r w:rsidRPr="00C86B11">
              <w:rPr>
                <w:rFonts w:ascii="Times New Roman" w:hAnsi="Times New Roman" w:cs="Times New Roman"/>
                <w:sz w:val="24"/>
              </w:rPr>
              <w:t>BCLC B</w:t>
            </w:r>
            <w:r w:rsidR="003B3A40" w:rsidRPr="00C86B11">
              <w:rPr>
                <w:rFonts w:ascii="Times New Roman" w:hAnsi="Times New Roman" w:cs="Times New Roman"/>
                <w:sz w:val="24"/>
              </w:rPr>
              <w:t>,</w:t>
            </w:r>
            <w:r w:rsidRPr="00C86B11">
              <w:rPr>
                <w:rFonts w:ascii="Times New Roman" w:hAnsi="Times New Roman" w:cs="Times New Roman"/>
                <w:sz w:val="24"/>
              </w:rPr>
              <w:t xml:space="preserve"> or C stage.</w:t>
            </w:r>
          </w:p>
        </w:tc>
      </w:tr>
      <w:tr w:rsidR="00541C0C" w14:paraId="56B3EE1E" w14:textId="77777777" w:rsidTr="00E17F2D">
        <w:trPr>
          <w:trHeight w:val="18"/>
        </w:trPr>
        <w:tc>
          <w:tcPr>
            <w:tcW w:w="4617" w:type="dxa"/>
            <w:vMerge/>
          </w:tcPr>
          <w:p w14:paraId="12B798AD" w14:textId="77777777" w:rsidR="00D60104" w:rsidRPr="00C86B11" w:rsidRDefault="00D60104" w:rsidP="00D6010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7" w:type="dxa"/>
          </w:tcPr>
          <w:p w14:paraId="2868F300" w14:textId="3644F498" w:rsidR="00D60104" w:rsidRPr="00C86B11" w:rsidRDefault="00F2706A" w:rsidP="002C6255">
            <w:pPr>
              <w:widowControl/>
              <w:spacing w:before="100" w:beforeAutospacing="1" w:after="100" w:afterAutospacing="1"/>
              <w:jc w:val="left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At least one measurable lesion can be assessed by the investigator based on </w:t>
            </w:r>
            <w:r w:rsidR="003B3A40"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the </w:t>
            </w: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Response Evaluation Criteria in Solid Tumors (RECIST) v1.1 within 14 days </w:t>
            </w:r>
            <w:r w:rsidR="003B3A40"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>before</w:t>
            </w: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 randomization. Target lesions in the past radiation fields or that underwent locoregional therapy (e.g., TACE or ablation), if confirmed as radiographic progression, are considered as measurable lesions. </w:t>
            </w:r>
          </w:p>
        </w:tc>
        <w:tc>
          <w:tcPr>
            <w:tcW w:w="4619" w:type="dxa"/>
          </w:tcPr>
          <w:p w14:paraId="5D3F0BC8" w14:textId="77777777" w:rsidR="00D60104" w:rsidRPr="00C86B11" w:rsidRDefault="00F2706A" w:rsidP="00D6010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86B11">
              <w:rPr>
                <w:rFonts w:ascii="Times New Roman" w:hAnsi="Times New Roman" w:cs="Times New Roman"/>
                <w:sz w:val="24"/>
              </w:rPr>
              <w:t>At least one measurable lesion can be assessed bas</w:t>
            </w:r>
            <w:r w:rsidRPr="00C86B11">
              <w:rPr>
                <w:rFonts w:ascii="Times New Roman" w:hAnsi="Times New Roman" w:cs="Times New Roman"/>
                <w:sz w:val="24"/>
              </w:rPr>
              <w:t xml:space="preserve">ed on </w:t>
            </w:r>
            <w:r w:rsidR="003B3A40" w:rsidRPr="00C86B11">
              <w:rPr>
                <w:rFonts w:ascii="Times New Roman" w:hAnsi="Times New Roman" w:cs="Times New Roman"/>
                <w:sz w:val="24"/>
              </w:rPr>
              <w:t xml:space="preserve">the </w:t>
            </w:r>
            <w:r w:rsidRPr="00C86B11">
              <w:rPr>
                <w:rFonts w:ascii="Times New Roman" w:hAnsi="Times New Roman" w:cs="Times New Roman"/>
                <w:sz w:val="24"/>
              </w:rPr>
              <w:t>Response Evaluation Criteria in Solid Tumors (RECIST) v1.1. Target lesions in the past radiation fields or that underwent locoregional therapy, if confirmed as radiographic progression, are considered as measurable lesions.</w:t>
            </w:r>
          </w:p>
        </w:tc>
      </w:tr>
      <w:tr w:rsidR="00541C0C" w14:paraId="7DCDCF56" w14:textId="77777777" w:rsidTr="00E17F2D">
        <w:trPr>
          <w:trHeight w:val="18"/>
        </w:trPr>
        <w:tc>
          <w:tcPr>
            <w:tcW w:w="4617" w:type="dxa"/>
            <w:vMerge/>
          </w:tcPr>
          <w:p w14:paraId="4FC2D568" w14:textId="77777777" w:rsidR="00D60104" w:rsidRPr="00C86B11" w:rsidRDefault="00D60104" w:rsidP="00D6010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7" w:type="dxa"/>
          </w:tcPr>
          <w:p w14:paraId="0081CED4" w14:textId="77777777" w:rsidR="00D60104" w:rsidRPr="00C86B11" w:rsidRDefault="00F2706A" w:rsidP="00D60104">
            <w:pPr>
              <w:rPr>
                <w:rFonts w:ascii="Times New Roman" w:hAnsi="Times New Roman" w:cs="Times New Roman"/>
                <w:sz w:val="24"/>
              </w:rPr>
            </w:pPr>
            <w:r w:rsidRPr="00C86B11">
              <w:rPr>
                <w:rFonts w:ascii="Times New Roman" w:hAnsi="Times New Roman" w:cs="Times New Roman"/>
                <w:sz w:val="24"/>
              </w:rPr>
              <w:t xml:space="preserve">Liver function of Child-Pugh A or B class or meet this standard after treatment. </w:t>
            </w:r>
          </w:p>
        </w:tc>
        <w:tc>
          <w:tcPr>
            <w:tcW w:w="4619" w:type="dxa"/>
          </w:tcPr>
          <w:p w14:paraId="0EE8388A" w14:textId="77777777" w:rsidR="00D60104" w:rsidRPr="00C86B11" w:rsidRDefault="00F2706A" w:rsidP="00D6010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86B11">
              <w:rPr>
                <w:rFonts w:ascii="Times New Roman" w:hAnsi="Times New Roman" w:cs="Times New Roman"/>
                <w:sz w:val="24"/>
              </w:rPr>
              <w:t>Liver function of Child-Pugh A or B class</w:t>
            </w:r>
          </w:p>
        </w:tc>
      </w:tr>
      <w:tr w:rsidR="00541C0C" w14:paraId="300FE049" w14:textId="77777777" w:rsidTr="00E17F2D">
        <w:trPr>
          <w:trHeight w:val="18"/>
        </w:trPr>
        <w:tc>
          <w:tcPr>
            <w:tcW w:w="4617" w:type="dxa"/>
            <w:vMerge w:val="restart"/>
            <w:vAlign w:val="center"/>
          </w:tcPr>
          <w:p w14:paraId="5B980D57" w14:textId="77777777" w:rsidR="00D60104" w:rsidRPr="00C86B11" w:rsidRDefault="00F2706A" w:rsidP="00D601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6B11">
              <w:rPr>
                <w:rFonts w:ascii="Times New Roman" w:hAnsi="Times New Roman" w:cs="Times New Roman"/>
                <w:sz w:val="24"/>
              </w:rPr>
              <w:lastRenderedPageBreak/>
              <w:t>Exclusion criteria</w:t>
            </w:r>
          </w:p>
        </w:tc>
        <w:tc>
          <w:tcPr>
            <w:tcW w:w="4617" w:type="dxa"/>
          </w:tcPr>
          <w:p w14:paraId="7344A4D5" w14:textId="6DEC2E2E" w:rsidR="00D60104" w:rsidRPr="00C86B11" w:rsidRDefault="00F2706A" w:rsidP="002C6255">
            <w:pPr>
              <w:widowControl/>
              <w:spacing w:before="100" w:beforeAutospacing="1" w:after="100" w:afterAutospacing="1"/>
              <w:jc w:val="left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A prior bleeding event </w:t>
            </w:r>
            <w:r w:rsidR="003B3A40"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>caused by</w:t>
            </w: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 esophageal or gastric varices within 6 months or other gastrointestinal bleedin</w:t>
            </w: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g events within 28 days </w:t>
            </w:r>
            <w:r w:rsidR="003B3A40"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before </w:t>
            </w: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>screening. Untreated or incompletely treated esophageal or gastric varices that are considered by the investigator to be at high-risk for bleeding (Note: Patients must undergo an esophagogastroduodenoscopy [EGD], and all size</w:t>
            </w: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 of varices [small to large] must be assessed and treated per</w:t>
            </w:r>
            <w:r w:rsidR="003B3A40"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 the</w:t>
            </w: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 local standard of care </w:t>
            </w:r>
            <w:r w:rsidR="003B3A40"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>before</w:t>
            </w: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 enrollment; patients who have undergone an EGD within 6 months </w:t>
            </w:r>
            <w:r w:rsidR="003B3A40"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>before</w:t>
            </w: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 the initiation of study treatment do not need to repeat the procedure). Active gastric or </w:t>
            </w: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duodenal ulcer. </w:t>
            </w:r>
          </w:p>
        </w:tc>
        <w:tc>
          <w:tcPr>
            <w:tcW w:w="4619" w:type="dxa"/>
          </w:tcPr>
          <w:p w14:paraId="2B74849A" w14:textId="18B49107" w:rsidR="00D60104" w:rsidRPr="00C86B11" w:rsidRDefault="00F2706A" w:rsidP="00D6010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86B11">
              <w:rPr>
                <w:rFonts w:ascii="Times New Roman" w:hAnsi="Times New Roman" w:cs="Times New Roman"/>
                <w:sz w:val="24"/>
              </w:rPr>
              <w:t xml:space="preserve">A prior bleeding event </w:t>
            </w:r>
            <w:r w:rsidR="003B3A40"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caused by </w:t>
            </w:r>
            <w:r w:rsidRPr="00C86B11">
              <w:rPr>
                <w:rFonts w:ascii="Times New Roman" w:hAnsi="Times New Roman" w:cs="Times New Roman"/>
                <w:sz w:val="24"/>
              </w:rPr>
              <w:t>esophageal or gastric varices within 6 months.</w:t>
            </w:r>
          </w:p>
        </w:tc>
      </w:tr>
      <w:tr w:rsidR="00541C0C" w14:paraId="32358F4A" w14:textId="77777777" w:rsidTr="00E17F2D">
        <w:trPr>
          <w:trHeight w:val="18"/>
        </w:trPr>
        <w:tc>
          <w:tcPr>
            <w:tcW w:w="4617" w:type="dxa"/>
            <w:vMerge/>
          </w:tcPr>
          <w:p w14:paraId="6C1C3047" w14:textId="77777777" w:rsidR="00D60104" w:rsidRPr="00C86B11" w:rsidRDefault="00D60104" w:rsidP="00D6010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7" w:type="dxa"/>
          </w:tcPr>
          <w:p w14:paraId="1074F2E1" w14:textId="622C65D3" w:rsidR="00D60104" w:rsidRPr="00C86B11" w:rsidRDefault="00F2706A" w:rsidP="00D60104">
            <w:pPr>
              <w:widowControl/>
              <w:spacing w:before="100" w:beforeAutospacing="1" w:after="100" w:afterAutospacing="1"/>
              <w:jc w:val="left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HBV and HCV co-infection (Note: Subject has HCV infection history, but HCV RNA is undetectable at screening can be considered as non-HCV infection in this study). </w:t>
            </w:r>
          </w:p>
        </w:tc>
        <w:tc>
          <w:tcPr>
            <w:tcW w:w="4619" w:type="dxa"/>
          </w:tcPr>
          <w:p w14:paraId="7196688B" w14:textId="77777777" w:rsidR="00D60104" w:rsidRPr="00C86B11" w:rsidRDefault="00F2706A" w:rsidP="00D6010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86B11">
              <w:rPr>
                <w:rFonts w:ascii="Times New Roman" w:hAnsi="Times New Roman" w:cs="Times New Roman"/>
                <w:sz w:val="24"/>
              </w:rPr>
              <w:t>HBV infection and HCV-RNA positive</w:t>
            </w:r>
          </w:p>
        </w:tc>
      </w:tr>
      <w:tr w:rsidR="00541C0C" w14:paraId="458EAAC9" w14:textId="77777777" w:rsidTr="00E17F2D">
        <w:trPr>
          <w:trHeight w:val="18"/>
        </w:trPr>
        <w:tc>
          <w:tcPr>
            <w:tcW w:w="4617" w:type="dxa"/>
            <w:vMerge/>
          </w:tcPr>
          <w:p w14:paraId="4BC6C7D9" w14:textId="77777777" w:rsidR="00D60104" w:rsidRPr="00C86B11" w:rsidRDefault="00D60104" w:rsidP="00D6010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7" w:type="dxa"/>
          </w:tcPr>
          <w:p w14:paraId="23EDB1FD" w14:textId="50B8313B" w:rsidR="00D60104" w:rsidRPr="00C86B11" w:rsidRDefault="00F2706A" w:rsidP="002C6255">
            <w:pPr>
              <w:widowControl/>
              <w:spacing w:before="100" w:beforeAutospacing="1" w:after="100" w:afterAutospacing="1"/>
              <w:jc w:val="left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Major cardiovascular diseases (e.g., congestive heart failure, unstable angina, atrial fibrillation, </w:t>
            </w:r>
            <w:r w:rsidR="003B3A40"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and </w:t>
            </w: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>severe arrhythmia); any of acute myocardial infarction, unstable angina, stroke, or transient ischemic attack within 6 months before enrollment; New Yo</w:t>
            </w: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>rk Heart Association (NYHA) grade ≥2 congestive heart failure.</w:t>
            </w:r>
          </w:p>
        </w:tc>
        <w:tc>
          <w:tcPr>
            <w:tcW w:w="4619" w:type="dxa"/>
          </w:tcPr>
          <w:p w14:paraId="70D20ECC" w14:textId="45458F5B" w:rsidR="00D60104" w:rsidRPr="00C86B11" w:rsidRDefault="00F2706A" w:rsidP="00D6010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86B11">
              <w:rPr>
                <w:rFonts w:ascii="Times New Roman" w:hAnsi="Times New Roman" w:cs="Times New Roman"/>
                <w:sz w:val="24"/>
              </w:rPr>
              <w:t>Major cardiovascular diseases or NYHA grade ≥2 congestive heart failure</w:t>
            </w:r>
          </w:p>
        </w:tc>
      </w:tr>
      <w:tr w:rsidR="00541C0C" w14:paraId="5C3FAB30" w14:textId="77777777" w:rsidTr="00E17F2D">
        <w:trPr>
          <w:trHeight w:val="18"/>
        </w:trPr>
        <w:tc>
          <w:tcPr>
            <w:tcW w:w="4617" w:type="dxa"/>
            <w:vMerge/>
          </w:tcPr>
          <w:p w14:paraId="0D3AB278" w14:textId="77777777" w:rsidR="00D60104" w:rsidRPr="00C86B11" w:rsidRDefault="00D60104" w:rsidP="00D6010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7" w:type="dxa"/>
          </w:tcPr>
          <w:p w14:paraId="1FDD6A15" w14:textId="528EAEE8" w:rsidR="00D60104" w:rsidRPr="00C86B11" w:rsidRDefault="00F2706A" w:rsidP="002C6255">
            <w:pPr>
              <w:widowControl/>
              <w:spacing w:before="100" w:beforeAutospacing="1" w:after="100" w:afterAutospacing="1"/>
              <w:jc w:val="left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Tumor adjacent to </w:t>
            </w:r>
            <w:r w:rsidR="003B3A40"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 xml:space="preserve">primary </w:t>
            </w:r>
            <w:r w:rsidRPr="00C86B11">
              <w:rPr>
                <w:rFonts w:ascii="Times New Roman" w:eastAsia="SimSun" w:hAnsi="Times New Roman" w:cs="Times New Roman"/>
                <w:kern w:val="0"/>
                <w:sz w:val="24"/>
              </w:rPr>
              <w:t>vessels</w:t>
            </w:r>
          </w:p>
        </w:tc>
        <w:tc>
          <w:tcPr>
            <w:tcW w:w="4619" w:type="dxa"/>
          </w:tcPr>
          <w:p w14:paraId="0C3B5BDB" w14:textId="77777777" w:rsidR="00D60104" w:rsidRPr="00C86B11" w:rsidRDefault="00F2706A" w:rsidP="00D6010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86B11">
              <w:rPr>
                <w:rFonts w:ascii="Times New Roman" w:hAnsi="Times New Roman" w:cs="Times New Roman"/>
                <w:sz w:val="24"/>
              </w:rPr>
              <w:t xml:space="preserve">Tumor adjacent to portal vein and its branches, or hepatic veins, or inferior </w:t>
            </w:r>
            <w:r w:rsidRPr="00C86B11">
              <w:rPr>
                <w:rFonts w:ascii="Times New Roman" w:hAnsi="Times New Roman" w:cs="Times New Roman"/>
                <w:sz w:val="24"/>
              </w:rPr>
              <w:t>vena cava</w:t>
            </w:r>
          </w:p>
        </w:tc>
      </w:tr>
    </w:tbl>
    <w:p w14:paraId="119726FC" w14:textId="46D8D133" w:rsidR="00D60104" w:rsidRPr="00D60104" w:rsidRDefault="00F2706A" w:rsidP="00D60104">
      <w:pPr>
        <w:rPr>
          <w:rFonts w:ascii="Times New Roman" w:hAnsi="Times New Roman" w:cs="Times New Roman"/>
          <w:sz w:val="24"/>
          <w:szCs w:val="24"/>
        </w:rPr>
      </w:pPr>
      <w:r w:rsidRPr="00D60104">
        <w:rPr>
          <w:rFonts w:ascii="Times New Roman" w:hAnsi="Times New Roman" w:cs="Times New Roman"/>
          <w:sz w:val="24"/>
          <w:szCs w:val="24"/>
        </w:rPr>
        <w:t xml:space="preserve">Abbreviations: CTMS, clinical trial matching system; TACE, transarterial chemoembolization; HBV, hepatitis B virus; </w:t>
      </w:r>
      <w:r w:rsidR="003B3A40">
        <w:rPr>
          <w:rFonts w:ascii="Times New Roman" w:hAnsi="Times New Roman" w:cs="Times New Roman"/>
          <w:sz w:val="24"/>
          <w:szCs w:val="24"/>
        </w:rPr>
        <w:t xml:space="preserve">and </w:t>
      </w:r>
      <w:r w:rsidRPr="00D60104">
        <w:rPr>
          <w:rFonts w:ascii="Times New Roman" w:hAnsi="Times New Roman" w:cs="Times New Roman"/>
          <w:sz w:val="24"/>
          <w:szCs w:val="24"/>
        </w:rPr>
        <w:t>HCV, hepatitis C virus</w:t>
      </w:r>
    </w:p>
    <w:p w14:paraId="3F7E3F4C" w14:textId="606ABB4C" w:rsidR="00314ECE" w:rsidRDefault="00314ECE"/>
    <w:sectPr w:rsidR="00314EC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52356" w14:textId="77777777" w:rsidR="00F2706A" w:rsidRDefault="00F2706A">
      <w:r>
        <w:separator/>
      </w:r>
    </w:p>
  </w:endnote>
  <w:endnote w:type="continuationSeparator" w:id="0">
    <w:p w14:paraId="7EDFDE59" w14:textId="77777777" w:rsidR="00F2706A" w:rsidRDefault="00F27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8828346"/>
      <w:docPartObj>
        <w:docPartGallery w:val="Page Numbers (Bottom of Page)"/>
        <w:docPartUnique/>
      </w:docPartObj>
    </w:sdtPr>
    <w:sdtEndPr/>
    <w:sdtContent>
      <w:p w14:paraId="4A36CC23" w14:textId="4BF65A9A" w:rsidR="004F3A6C" w:rsidRDefault="00F2706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C1B" w:rsidRPr="00807C1B">
          <w:rPr>
            <w:noProof/>
            <w:lang w:val="zh-CN"/>
          </w:rPr>
          <w:t>1</w:t>
        </w:r>
        <w:r>
          <w:fldChar w:fldCharType="end"/>
        </w:r>
      </w:p>
    </w:sdtContent>
  </w:sdt>
  <w:p w14:paraId="334237ED" w14:textId="77777777" w:rsidR="004F3A6C" w:rsidRDefault="004F3A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9E69F" w14:textId="77777777" w:rsidR="00F2706A" w:rsidRDefault="00F2706A">
      <w:r>
        <w:separator/>
      </w:r>
    </w:p>
  </w:footnote>
  <w:footnote w:type="continuationSeparator" w:id="0">
    <w:p w14:paraId="2C6EB589" w14:textId="77777777" w:rsidR="00F2706A" w:rsidRDefault="00F270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060"/>
    <w:rsid w:val="00012AB8"/>
    <w:rsid w:val="00041EFC"/>
    <w:rsid w:val="000C0DED"/>
    <w:rsid w:val="000F06B9"/>
    <w:rsid w:val="00182647"/>
    <w:rsid w:val="001B2CFE"/>
    <w:rsid w:val="001E5E06"/>
    <w:rsid w:val="002A3FFC"/>
    <w:rsid w:val="002C6255"/>
    <w:rsid w:val="00314ECE"/>
    <w:rsid w:val="003B3A40"/>
    <w:rsid w:val="004345AF"/>
    <w:rsid w:val="00444B08"/>
    <w:rsid w:val="004501AA"/>
    <w:rsid w:val="004502F5"/>
    <w:rsid w:val="004F3A6C"/>
    <w:rsid w:val="00541C0C"/>
    <w:rsid w:val="0055557D"/>
    <w:rsid w:val="005B632E"/>
    <w:rsid w:val="00662E92"/>
    <w:rsid w:val="00666E7F"/>
    <w:rsid w:val="006C5003"/>
    <w:rsid w:val="00716947"/>
    <w:rsid w:val="00734BEF"/>
    <w:rsid w:val="007D1763"/>
    <w:rsid w:val="007E7CA6"/>
    <w:rsid w:val="00807C1B"/>
    <w:rsid w:val="00884E42"/>
    <w:rsid w:val="00A975A5"/>
    <w:rsid w:val="00B55884"/>
    <w:rsid w:val="00B674ED"/>
    <w:rsid w:val="00BB0293"/>
    <w:rsid w:val="00C459AE"/>
    <w:rsid w:val="00C86B11"/>
    <w:rsid w:val="00D60104"/>
    <w:rsid w:val="00DF3D8D"/>
    <w:rsid w:val="00E143DF"/>
    <w:rsid w:val="00E17F2D"/>
    <w:rsid w:val="00E602B6"/>
    <w:rsid w:val="00E72665"/>
    <w:rsid w:val="00EB6060"/>
    <w:rsid w:val="00F14D91"/>
    <w:rsid w:val="00F15440"/>
    <w:rsid w:val="00F2706A"/>
    <w:rsid w:val="00FE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C343B"/>
  <w15:chartTrackingRefBased/>
  <w15:docId w15:val="{4D8EB883-90DF-4C7C-BFBA-708FB59B0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ECE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C459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7BF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104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459AE"/>
    <w:rPr>
      <w:b/>
      <w:bCs/>
      <w:kern w:val="44"/>
      <w:sz w:val="44"/>
      <w:szCs w:val="44"/>
    </w:rPr>
  </w:style>
  <w:style w:type="paragraph" w:styleId="Header">
    <w:name w:val="header"/>
    <w:basedOn w:val="Normal"/>
    <w:link w:val="HeaderChar"/>
    <w:uiPriority w:val="99"/>
    <w:unhideWhenUsed/>
    <w:rsid w:val="004F3A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F3A6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F3A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F3A6C"/>
    <w:rPr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4F3A6C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4F3A6C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4F3A6C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4F3A6C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FE7BF9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E7BF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726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26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26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6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6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6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6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14B23-531B-45C5-85A0-BFCC980DF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cuihao</dc:creator>
  <cp:keywords>fileTagC:ceea5b85be9b5e67b1d8408084a7c8a79dd42a2e</cp:keywords>
  <cp:lastModifiedBy>Apurva Mhapuskar1</cp:lastModifiedBy>
  <cp:revision>6</cp:revision>
  <dcterms:created xsi:type="dcterms:W3CDTF">2023-06-26T05:46:00Z</dcterms:created>
  <dcterms:modified xsi:type="dcterms:W3CDTF">2023-08-23T12:13:00Z</dcterms:modified>
</cp:coreProperties>
</file>