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CFE84" w14:textId="14F26782" w:rsidR="00251AAC" w:rsidRPr="002F5BC1" w:rsidRDefault="00251AAC" w:rsidP="00251A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F5BC1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</w:p>
    <w:tbl>
      <w:tblPr>
        <w:tblW w:w="8205" w:type="dxa"/>
        <w:tblLook w:val="04A0" w:firstRow="1" w:lastRow="0" w:firstColumn="1" w:lastColumn="0" w:noHBand="0" w:noVBand="1"/>
      </w:tblPr>
      <w:tblGrid>
        <w:gridCol w:w="1977"/>
        <w:gridCol w:w="951"/>
        <w:gridCol w:w="1637"/>
        <w:gridCol w:w="1493"/>
        <w:gridCol w:w="1207"/>
        <w:gridCol w:w="940"/>
      </w:tblGrid>
      <w:tr w:rsidR="002F5BC1" w:rsidRPr="002F5BC1" w14:paraId="181ED6F1" w14:textId="77777777" w:rsidTr="00747491">
        <w:trPr>
          <w:trHeight w:val="290"/>
        </w:trPr>
        <w:tc>
          <w:tcPr>
            <w:tcW w:w="8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098A" w14:textId="25CA408E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Supplementary Table 1. The Relationship between ECI2 expression and clinicopathological features</w:t>
            </w:r>
          </w:p>
        </w:tc>
      </w:tr>
      <w:tr w:rsidR="002F5BC1" w:rsidRPr="002F5BC1" w14:paraId="3F9E5A58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8CED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54D7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6F95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78C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29DC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D182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12C0B986" w14:textId="77777777" w:rsidTr="00747491">
        <w:trPr>
          <w:trHeight w:val="290"/>
        </w:trPr>
        <w:tc>
          <w:tcPr>
            <w:tcW w:w="1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FCAE0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62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CDDA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ECI2 expression</w:t>
            </w:r>
          </w:p>
        </w:tc>
      </w:tr>
      <w:tr w:rsidR="002F5BC1" w:rsidRPr="002F5BC1" w14:paraId="4F32F946" w14:textId="77777777" w:rsidTr="00747491">
        <w:trPr>
          <w:trHeight w:val="302"/>
        </w:trPr>
        <w:tc>
          <w:tcPr>
            <w:tcW w:w="1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9F957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F1FC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i/>
                <w:iCs/>
                <w:kern w:val="0"/>
                <w:sz w:val="22"/>
              </w:rPr>
              <w:t>n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= 210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3C0D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Low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A730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High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C2C8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χ2 value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55EC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i/>
                <w:iCs/>
                <w:kern w:val="0"/>
                <w:sz w:val="22"/>
              </w:rPr>
              <w:t>P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value</w:t>
            </w:r>
          </w:p>
        </w:tc>
      </w:tr>
      <w:tr w:rsidR="002F5BC1" w:rsidRPr="002F5BC1" w14:paraId="6C819CBB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D69B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Frequency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F2E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F4F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152(72.4%)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5CE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58(27.6%)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05F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464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1A64FAE3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9FDB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Gender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5A04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33E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06B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DC7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0.281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A59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0.353</w:t>
            </w:r>
          </w:p>
        </w:tc>
      </w:tr>
      <w:tr w:rsidR="002F5BC1" w:rsidRPr="002F5BC1" w14:paraId="2E6CC90F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8632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Male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FAB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122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199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8B2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D30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93C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E614E7D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1706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Female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FB1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D79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3F6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345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FD9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07C3E3F0" w14:textId="77777777" w:rsidTr="00747491">
        <w:trPr>
          <w:trHeight w:val="302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10F1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Age</w:t>
            </w:r>
            <w:r w:rsidRPr="002F5BC1">
              <w:rPr>
                <w:rFonts w:ascii="SimSun" w:eastAsia="SimSun" w:hAnsi="SimSun" w:cs="Times New Roman" w:hint="eastAsia"/>
                <w:b/>
                <w:bCs/>
                <w:kern w:val="0"/>
                <w:sz w:val="22"/>
              </w:rPr>
              <w:t>（</w:t>
            </w: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years</w:t>
            </w:r>
            <w:r w:rsidRPr="002F5BC1">
              <w:rPr>
                <w:rFonts w:ascii="SimSun" w:eastAsia="SimSun" w:hAnsi="SimSun" w:cs="Times New Roman" w:hint="eastAsia"/>
                <w:b/>
                <w:bCs/>
                <w:kern w:val="0"/>
                <w:sz w:val="22"/>
              </w:rPr>
              <w:t>）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A705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50D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3D9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0.410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E8F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0.320</w:t>
            </w:r>
          </w:p>
        </w:tc>
      </w:tr>
      <w:tr w:rsidR="002F5BC1" w:rsidRPr="002F5BC1" w14:paraId="49AC46FF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1514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≤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5E2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FFB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1D5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A6B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5861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456981E5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8298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＞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F8E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162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ACB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119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1F0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57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541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02969BBA" w14:textId="77777777" w:rsidTr="00747491">
        <w:trPr>
          <w:trHeight w:val="29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06FA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Tumor site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AE64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F8A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40E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0.473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4E0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0.298</w:t>
            </w:r>
          </w:p>
        </w:tc>
      </w:tr>
      <w:tr w:rsidR="002F5BC1" w:rsidRPr="002F5BC1" w14:paraId="4DD0FA28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CEDD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colon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D92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138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174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4A3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4C7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505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00910099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BC5A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Rectum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B12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72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BA3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F81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87D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2C8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310B1580" w14:textId="77777777" w:rsidTr="00747491">
        <w:trPr>
          <w:trHeight w:val="290"/>
        </w:trPr>
        <w:tc>
          <w:tcPr>
            <w:tcW w:w="45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95B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Tumour size(diameter in cm)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81A7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AAA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4.537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967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0.024</w:t>
            </w:r>
          </w:p>
        </w:tc>
      </w:tr>
      <w:tr w:rsidR="002F5BC1" w:rsidRPr="002F5BC1" w14:paraId="769FC559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8C0C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＜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52D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01E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72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030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9E7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6E2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50228217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CD9B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≥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B14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3E2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CD0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AF1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549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0CDC46D8" w14:textId="77777777" w:rsidTr="00747491">
        <w:trPr>
          <w:trHeight w:val="29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7B67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Differentiation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1076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43E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CD6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4.711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D66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0.095</w:t>
            </w:r>
          </w:p>
        </w:tc>
      </w:tr>
      <w:tr w:rsidR="002F5BC1" w:rsidRPr="002F5BC1" w14:paraId="61B158CF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8CC1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Well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C27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674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3DD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674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214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1A344F81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DEC1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7EF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147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608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638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F4C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9CD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3FE9115D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BD36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Poor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A70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367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B15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4A0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B12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3503C357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01B6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T stage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96A8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887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2A7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5DB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10.872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15C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0.004</w:t>
            </w:r>
          </w:p>
        </w:tc>
      </w:tr>
      <w:tr w:rsidR="002F5BC1" w:rsidRPr="002F5BC1" w14:paraId="61C1584A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B0DA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T1-2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89A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288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959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885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750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C4002A8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002C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T3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8A6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116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52E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5EA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0F3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11F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F4D385D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C8A9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T4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EF4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77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838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16C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B63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9D4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2699CE44" w14:textId="77777777" w:rsidTr="00747491">
        <w:trPr>
          <w:trHeight w:val="29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2AC5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Lymph node staus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7919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6A0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91D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210.000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51B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0.000 </w:t>
            </w:r>
          </w:p>
        </w:tc>
      </w:tr>
      <w:tr w:rsidR="002F5BC1" w:rsidRPr="002F5BC1" w14:paraId="36CA1F14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CDCF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Positive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667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105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E39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3AE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932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3DB5BDAA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08ED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Negative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2A9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A91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C33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379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E26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00A53242" w14:textId="77777777" w:rsidTr="00747491">
        <w:trPr>
          <w:trHeight w:val="29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0A8A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Distant metastasis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F333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C5A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06B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10.340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786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0.000</w:t>
            </w:r>
          </w:p>
        </w:tc>
      </w:tr>
      <w:tr w:rsidR="002F5BC1" w:rsidRPr="002F5BC1" w14:paraId="674BEF26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C6D9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478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E88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FDA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C63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FDB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BC6DC7E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7711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C77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186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85C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128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1EE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38D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B30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2F7716C7" w14:textId="77777777" w:rsidTr="00747491">
        <w:trPr>
          <w:trHeight w:val="290"/>
        </w:trPr>
        <w:tc>
          <w:tcPr>
            <w:tcW w:w="45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B147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Vascular nerve invasion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DE90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181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4.646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46F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0.021 </w:t>
            </w:r>
          </w:p>
        </w:tc>
      </w:tr>
      <w:tr w:rsidR="002F5BC1" w:rsidRPr="002F5BC1" w14:paraId="190655D7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92FC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Positive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73F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6B5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4F9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ED7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AC6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3150492B" w14:textId="77777777" w:rsidTr="00747491">
        <w:trPr>
          <w:trHeight w:val="29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E6F5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Negative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144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147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C861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E9E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693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C60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4EE31709" w14:textId="77777777" w:rsidTr="00747491">
        <w:trPr>
          <w:trHeight w:val="290"/>
        </w:trPr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B58F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TNM classification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1EF8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D8D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E4F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29.139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5D7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0.000 </w:t>
            </w:r>
          </w:p>
        </w:tc>
      </w:tr>
      <w:tr w:rsidR="002F5BC1" w:rsidRPr="002F5BC1" w14:paraId="489C8434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A3AF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Ⅰ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749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ED8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DC4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B59C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FA63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1CB02D8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895F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Ⅱ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CA1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92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BB1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15B0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C5B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1A4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5BC1" w:rsidRPr="002F5BC1" w14:paraId="675BDE67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F082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Ⅲ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9579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328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2A4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B95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0663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47491" w:rsidRPr="002F5BC1" w14:paraId="6B6958B0" w14:textId="77777777" w:rsidTr="00747491">
        <w:trPr>
          <w:trHeight w:val="302"/>
        </w:trPr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FF879" w14:textId="77777777" w:rsidR="00747491" w:rsidRPr="002F5BC1" w:rsidRDefault="00747491" w:rsidP="00747491">
            <w:pPr>
              <w:widowControl/>
              <w:jc w:val="righ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SimSun" w:eastAsia="SimSun" w:hAnsi="SimSun" w:cs="Times New Roman" w:hint="eastAsia"/>
                <w:kern w:val="0"/>
                <w:sz w:val="22"/>
              </w:rPr>
              <w:t>Ⅳ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C18B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E023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900D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1ABF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129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　</w:t>
            </w:r>
          </w:p>
        </w:tc>
      </w:tr>
    </w:tbl>
    <w:p w14:paraId="38FDF176" w14:textId="77777777" w:rsidR="00251AAC" w:rsidRPr="002F5BC1" w:rsidRDefault="00251AAC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32880D" w14:textId="77777777" w:rsidR="009D5117" w:rsidRPr="002F5BC1" w:rsidRDefault="009D5117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252" w:type="dxa"/>
        <w:tblLook w:val="04A0" w:firstRow="1" w:lastRow="0" w:firstColumn="1" w:lastColumn="0" w:noHBand="0" w:noVBand="1"/>
      </w:tblPr>
      <w:tblGrid>
        <w:gridCol w:w="3424"/>
        <w:gridCol w:w="3424"/>
        <w:gridCol w:w="1404"/>
      </w:tblGrid>
      <w:tr w:rsidR="002F5BC1" w:rsidRPr="002F5BC1" w14:paraId="17E2790C" w14:textId="77777777" w:rsidTr="00747491">
        <w:trPr>
          <w:trHeight w:val="312"/>
        </w:trPr>
        <w:tc>
          <w:tcPr>
            <w:tcW w:w="82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A73A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</w:rPr>
              <w:t>Supplementary Table 2. Pearson correlation analysis between the expression levels of ECI2 and Clinicopathologic Features</w:t>
            </w:r>
          </w:p>
          <w:p w14:paraId="26E0C496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</w:tr>
      <w:tr w:rsidR="002F5BC1" w:rsidRPr="002F5BC1" w14:paraId="015B63E6" w14:textId="77777777" w:rsidTr="00747491">
        <w:trPr>
          <w:trHeight w:val="312"/>
        </w:trPr>
        <w:tc>
          <w:tcPr>
            <w:tcW w:w="342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4A90E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4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6F6E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ECI2 expression</w:t>
            </w:r>
          </w:p>
        </w:tc>
      </w:tr>
      <w:tr w:rsidR="002F5BC1" w:rsidRPr="002F5BC1" w14:paraId="30530741" w14:textId="77777777" w:rsidTr="00747491">
        <w:trPr>
          <w:trHeight w:val="312"/>
        </w:trPr>
        <w:tc>
          <w:tcPr>
            <w:tcW w:w="342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42FD2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B46C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Pearson correlation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7548B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i/>
                <w:iCs/>
                <w:kern w:val="0"/>
                <w:sz w:val="22"/>
              </w:rPr>
              <w:t>P</w:t>
            </w: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value</w:t>
            </w:r>
          </w:p>
        </w:tc>
      </w:tr>
      <w:tr w:rsidR="002F5BC1" w:rsidRPr="002F5BC1" w14:paraId="3003037B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0946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Gender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B94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0.037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42D6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0.598</w:t>
            </w:r>
          </w:p>
        </w:tc>
      </w:tr>
      <w:tr w:rsidR="002F5BC1" w:rsidRPr="002F5BC1" w14:paraId="46E05C92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4332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Age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DA3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-0.044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206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0.524 </w:t>
            </w:r>
          </w:p>
        </w:tc>
      </w:tr>
      <w:tr w:rsidR="002F5BC1" w:rsidRPr="002F5BC1" w14:paraId="662A0877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339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Tumour size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016E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-0.147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81F2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0.033</w:t>
            </w:r>
          </w:p>
        </w:tc>
      </w:tr>
      <w:tr w:rsidR="002F5BC1" w:rsidRPr="002F5BC1" w14:paraId="7A17A1CA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981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Differentiation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9D67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-0.140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3E7A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0.043</w:t>
            </w:r>
          </w:p>
        </w:tc>
      </w:tr>
      <w:tr w:rsidR="002F5BC1" w:rsidRPr="002F5BC1" w14:paraId="7ECEDE90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A98E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Lymph node staus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B16F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-0.317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CB1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0.000 </w:t>
            </w:r>
          </w:p>
        </w:tc>
      </w:tr>
      <w:tr w:rsidR="002F5BC1" w:rsidRPr="002F5BC1" w14:paraId="34F83E59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4202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Distant metastasis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1EC5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-0.222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2F74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0.001</w:t>
            </w:r>
          </w:p>
        </w:tc>
      </w:tr>
      <w:tr w:rsidR="00747491" w:rsidRPr="002F5BC1" w14:paraId="6C3902D9" w14:textId="77777777" w:rsidTr="00747491">
        <w:trPr>
          <w:trHeight w:val="312"/>
        </w:trPr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CA191" w14:textId="77777777" w:rsidR="00747491" w:rsidRPr="002F5BC1" w:rsidRDefault="00747491" w:rsidP="00747491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TNM classification</w:t>
            </w:r>
          </w:p>
        </w:tc>
        <w:tc>
          <w:tcPr>
            <w:tcW w:w="3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F0B38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>-0.310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E517D" w14:textId="77777777" w:rsidR="00747491" w:rsidRPr="002F5BC1" w:rsidRDefault="00747491" w:rsidP="00747491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2F5BC1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0.000 </w:t>
            </w:r>
          </w:p>
        </w:tc>
      </w:tr>
    </w:tbl>
    <w:p w14:paraId="7532ED68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DEEB5E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E43E21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590AE0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75874E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3E359E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99A440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CDF8EC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D6D299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5B596A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0810AB" w14:textId="77777777" w:rsidR="002970CA" w:rsidRPr="002F5BC1" w:rsidRDefault="002970CA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62D058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682D91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E2CDA4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16992C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238773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C85BFC" w14:textId="66FEF200" w:rsidR="00251AAC" w:rsidRPr="002F5BC1" w:rsidRDefault="00251AAC" w:rsidP="00251A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2F5BC1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</w:p>
    <w:p w14:paraId="1B32E654" w14:textId="760FDFA4" w:rsidR="005A30C1" w:rsidRPr="002F5BC1" w:rsidRDefault="00483D56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noProof/>
        </w:rPr>
        <w:drawing>
          <wp:inline distT="0" distB="0" distL="0" distR="0" wp14:anchorId="045FEFF4" wp14:editId="7F147333">
            <wp:extent cx="5278120" cy="7320915"/>
            <wp:effectExtent l="0" t="0" r="0" b="0"/>
            <wp:docPr id="7430030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32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1267A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Supplementary Fig. 1. ECI2 predicts poor prognosis of CRC and inhibits CRC development through tumor cancer microenvironment</w:t>
      </w:r>
    </w:p>
    <w:p w14:paraId="1E1E03A5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2F5BC1">
        <w:rPr>
          <w:rFonts w:ascii="Times New Roman" w:hAnsi="Times New Roman" w:cs="Times New Roman"/>
          <w:sz w:val="24"/>
          <w:szCs w:val="24"/>
        </w:rPr>
        <w:t xml:space="preserve"> Enrichment of lipid metabolic pathways using TCGA database.</w:t>
      </w:r>
    </w:p>
    <w:p w14:paraId="007E84F2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2F5BC1">
        <w:rPr>
          <w:rFonts w:ascii="Times New Roman" w:hAnsi="Times New Roman" w:cs="Times New Roman"/>
          <w:sz w:val="24"/>
          <w:szCs w:val="24"/>
        </w:rPr>
        <w:t xml:space="preserve"> Aberrant expression of ECI2 in various tumors was analyzed using the TCGA </w:t>
      </w:r>
      <w:r w:rsidRPr="002F5BC1">
        <w:rPr>
          <w:rFonts w:ascii="Times New Roman" w:hAnsi="Times New Roman" w:cs="Times New Roman"/>
          <w:sz w:val="24"/>
          <w:szCs w:val="24"/>
        </w:rPr>
        <w:lastRenderedPageBreak/>
        <w:t>database.</w:t>
      </w:r>
    </w:p>
    <w:p w14:paraId="10BEEDA4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2F5BC1">
        <w:rPr>
          <w:rFonts w:ascii="Times New Roman" w:hAnsi="Times New Roman" w:cs="Times New Roman"/>
          <w:sz w:val="24"/>
          <w:szCs w:val="24"/>
        </w:rPr>
        <w:t xml:space="preserve"> Analysis of differential expression of ECI2 in CRC tissues and metastatic tissues using Kaplan-Meier database.</w:t>
      </w:r>
    </w:p>
    <w:p w14:paraId="07AF6920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(d, e)</w:t>
      </w:r>
      <w:r w:rsidRPr="002F5BC1">
        <w:rPr>
          <w:rFonts w:ascii="Times New Roman" w:hAnsi="Times New Roman" w:cs="Times New Roman"/>
          <w:sz w:val="24"/>
          <w:szCs w:val="24"/>
        </w:rPr>
        <w:t xml:space="preserve"> Survival prognosis of ECI2 in CRC patients was analyzed using Kaplan-Meier database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F5BC1">
        <w:rPr>
          <w:rFonts w:ascii="Times New Roman" w:hAnsi="Times New Roman" w:cs="Times New Roman"/>
          <w:sz w:val="24"/>
          <w:szCs w:val="24"/>
        </w:rPr>
        <w:t>) and GEPIA database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F5BC1">
        <w:rPr>
          <w:rFonts w:ascii="Times New Roman" w:hAnsi="Times New Roman" w:cs="Times New Roman"/>
          <w:sz w:val="24"/>
          <w:szCs w:val="24"/>
        </w:rPr>
        <w:t>).</w:t>
      </w:r>
    </w:p>
    <w:p w14:paraId="6F60A69C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(f, g)</w:t>
      </w:r>
      <w:r w:rsidRPr="002F5BC1">
        <w:rPr>
          <w:rFonts w:ascii="Times New Roman" w:hAnsi="Times New Roman" w:cs="Times New Roman"/>
          <w:sz w:val="24"/>
          <w:szCs w:val="24"/>
        </w:rPr>
        <w:t xml:space="preserve"> Detection of ECI2 expression in seven CRC cell lines and one normal colorectal epithelial cell (FHC) line using </w:t>
      </w:r>
      <w:r w:rsidRPr="002F5BC1">
        <w:rPr>
          <w:rFonts w:ascii="Times New Roman" w:hAnsi="Times New Roman" w:cs="Times New Roman" w:hint="eastAsia"/>
          <w:sz w:val="24"/>
          <w:szCs w:val="24"/>
        </w:rPr>
        <w:t>RT</w:t>
      </w:r>
      <w:r w:rsidRPr="002F5BC1">
        <w:rPr>
          <w:rFonts w:ascii="Times New Roman" w:hAnsi="Times New Roman" w:cs="Times New Roman"/>
          <w:sz w:val="24"/>
          <w:szCs w:val="24"/>
        </w:rPr>
        <w:t>-qPCR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F5BC1">
        <w:rPr>
          <w:rFonts w:ascii="Times New Roman" w:hAnsi="Times New Roman" w:cs="Times New Roman"/>
          <w:sz w:val="24"/>
          <w:szCs w:val="24"/>
        </w:rPr>
        <w:t>) and western blotting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F5BC1">
        <w:rPr>
          <w:rFonts w:ascii="Times New Roman" w:hAnsi="Times New Roman" w:cs="Times New Roman"/>
          <w:sz w:val="24"/>
          <w:szCs w:val="24"/>
        </w:rPr>
        <w:t>).</w:t>
      </w:r>
    </w:p>
    <w:p w14:paraId="69E496C8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(h, i)</w:t>
      </w:r>
      <w:r w:rsidRPr="002F5BC1">
        <w:rPr>
          <w:rFonts w:ascii="Times New Roman" w:hAnsi="Times New Roman" w:cs="Times New Roman"/>
          <w:sz w:val="24"/>
          <w:szCs w:val="24"/>
        </w:rPr>
        <w:t xml:space="preserve"> Application of RT-qPCR to verify the efficiency of overexpression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F5BC1">
        <w:rPr>
          <w:rFonts w:ascii="Times New Roman" w:hAnsi="Times New Roman" w:cs="Times New Roman"/>
          <w:sz w:val="24"/>
          <w:szCs w:val="24"/>
        </w:rPr>
        <w:t>) and silencing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2F5BC1">
        <w:rPr>
          <w:rFonts w:ascii="Times New Roman" w:hAnsi="Times New Roman" w:cs="Times New Roman"/>
          <w:sz w:val="24"/>
          <w:szCs w:val="24"/>
        </w:rPr>
        <w:t>) of ECI2.</w:t>
      </w:r>
    </w:p>
    <w:p w14:paraId="017972A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(j, k)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CCK8 assay was applied to detect changes in proliferation of CRC cells HCT116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2F5BC1">
        <w:rPr>
          <w:rFonts w:ascii="Times New Roman" w:hAnsi="Times New Roman" w:cs="Times New Roman"/>
          <w:sz w:val="24"/>
          <w:szCs w:val="24"/>
        </w:rPr>
        <w:t>) and RKO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2F5BC1">
        <w:rPr>
          <w:rFonts w:ascii="Times New Roman" w:hAnsi="Times New Roman" w:cs="Times New Roman"/>
          <w:sz w:val="24"/>
          <w:szCs w:val="24"/>
        </w:rPr>
        <w:t>) after overexpression of ECI2.</w:t>
      </w:r>
    </w:p>
    <w:p w14:paraId="2B30AED6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(l, m)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F5BC1">
        <w:rPr>
          <w:rFonts w:ascii="Times New Roman" w:hAnsi="Times New Roman" w:cs="Times New Roman"/>
          <w:sz w:val="24"/>
          <w:szCs w:val="24"/>
        </w:rPr>
        <w:t>) of colony formation after overexpression of ECI2 in CRC cells were detected using colony formation assay (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05B021BC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(n, o)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migration of CRC cells after overexpression of ECI2 were detected using a cellular wound healing assay (scale bar 100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510AEE0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(p, q)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the invasion of CRC cells after overexpression of ECI2 detected using the Transwell invasion assay (scale bar 50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2B5AFBC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r,</w:t>
      </w:r>
      <w:r w:rsidRPr="002F5BC1">
        <w:rPr>
          <w:rFonts w:ascii="Times New Roman" w:hAnsi="Times New Roman" w:cs="Times New Roman"/>
          <w:sz w:val="24"/>
          <w:szCs w:val="24"/>
        </w:rPr>
        <w:t xml:space="preserve"> Efficiency of mouse CRC cell line MC38 transfection with silencing ECI2 lentivirus was detected using RT-qPCR.</w:t>
      </w:r>
    </w:p>
    <w:p w14:paraId="5C7A6A2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(s, t, u, v)</w:t>
      </w:r>
      <w:r w:rsidRPr="002F5BC1">
        <w:rPr>
          <w:rFonts w:ascii="Times New Roman" w:hAnsi="Times New Roman" w:cs="Times New Roman"/>
          <w:sz w:val="24"/>
          <w:szCs w:val="24"/>
        </w:rPr>
        <w:t xml:space="preserve"> Subcutaneous tumorigenic model of C57BL/6J mice constructed from CRC cells overexpressing ECI2 (22 days after cell injection,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6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s,</w:t>
      </w:r>
      <w:r w:rsidRPr="002F5BC1">
        <w:rPr>
          <w:rFonts w:ascii="Times New Roman" w:hAnsi="Times New Roman" w:cs="Times New Roman"/>
          <w:sz w:val="24"/>
          <w:szCs w:val="24"/>
        </w:rPr>
        <w:t xml:space="preserve"> Photograph of the tumor at the end of the experiment.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t,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images of HE staining and ki-67 histochemical staining of the tumors (scale bar 20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u,</w:t>
      </w:r>
      <w:r w:rsidRPr="002F5BC1">
        <w:rPr>
          <w:rFonts w:ascii="Times New Roman" w:hAnsi="Times New Roman" w:cs="Times New Roman"/>
          <w:sz w:val="24"/>
          <w:szCs w:val="24"/>
        </w:rPr>
        <w:t xml:space="preserve"> Volume of the tumor at the end of the experiment.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v,</w:t>
      </w:r>
      <w:r w:rsidRPr="002F5BC1">
        <w:rPr>
          <w:rFonts w:ascii="Times New Roman" w:hAnsi="Times New Roman" w:cs="Times New Roman"/>
          <w:sz w:val="24"/>
          <w:szCs w:val="24"/>
        </w:rPr>
        <w:t xml:space="preserve"> Weight of the tumor at the end of the experiment.</w:t>
      </w:r>
    </w:p>
    <w:p w14:paraId="0ABAE3AF" w14:textId="3EDFF3F1" w:rsidR="005A30C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sz w:val="24"/>
          <w:szCs w:val="24"/>
        </w:rPr>
        <w:t xml:space="preserve">Data are presented as mean ± s.d. (b, c, f, h, i, j, k, m, o, q, r, u, v). Statistical significance was determined by two-way ANOVA (j, k, u), two-tailed unpaired Student's t-test (b, c, </w:t>
      </w:r>
      <w:r w:rsidRPr="002F5BC1">
        <w:rPr>
          <w:rFonts w:ascii="Times New Roman" w:hAnsi="Times New Roman" w:cs="Times New Roman"/>
          <w:sz w:val="24"/>
          <w:szCs w:val="24"/>
        </w:rPr>
        <w:lastRenderedPageBreak/>
        <w:t>f, h, i, m, o, q, r, v), or Kaplan-Meier method (d, e). Blotting experiments were repeated at least three biological replicates (g). Source data are provided as source data files</w:t>
      </w:r>
      <w:r w:rsidR="00910AFC" w:rsidRPr="002F5BC1">
        <w:rPr>
          <w:rFonts w:ascii="Times New Roman" w:hAnsi="Times New Roman" w:cs="Times New Roman"/>
          <w:sz w:val="24"/>
          <w:szCs w:val="24"/>
        </w:rPr>
        <w:t>. 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0.05; 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0.001; ****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0.0001, and ns denotes no statistical difference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3EBD68C5" w14:textId="77777777" w:rsidR="005A30C1" w:rsidRPr="002F5BC1" w:rsidRDefault="005A30C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693040" w14:textId="77777777" w:rsidR="005A30C1" w:rsidRPr="002F5BC1" w:rsidRDefault="005A30C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6CC331" w14:textId="77777777" w:rsidR="005A30C1" w:rsidRPr="002F5BC1" w:rsidRDefault="005A30C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9DF028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E247FA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A1DF43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342A2E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6861B6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37FCF4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066769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F035CE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292D6E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E611E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178D3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95C853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4965A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0AF429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A3566A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340BC7" w14:textId="02DB1921" w:rsidR="00747491" w:rsidRPr="002F5BC1" w:rsidRDefault="00483D56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noProof/>
        </w:rPr>
        <w:lastRenderedPageBreak/>
        <w:drawing>
          <wp:inline distT="0" distB="0" distL="0" distR="0" wp14:anchorId="251A539A" wp14:editId="2BA43570">
            <wp:extent cx="5278120" cy="4502785"/>
            <wp:effectExtent l="0" t="0" r="0" b="0"/>
            <wp:docPr id="100564077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50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F6E5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Supplementary Fig. 2. ECI2 inhibits IL-8 expression, neutrophil infiltration and NETs formation in CRC cells</w:t>
      </w:r>
    </w:p>
    <w:p w14:paraId="66F97FB5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2F5BC1">
        <w:rPr>
          <w:rFonts w:ascii="Times New Roman" w:hAnsi="Times New Roman" w:cs="Times New Roman"/>
          <w:sz w:val="24"/>
          <w:szCs w:val="24"/>
        </w:rPr>
        <w:t xml:space="preserve"> RNA-seq followed by KEGG enrichment analysis of cells overexpressing ECI2.</w:t>
      </w:r>
    </w:p>
    <w:p w14:paraId="0CA53D1E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2F5BC1">
        <w:rPr>
          <w:rFonts w:ascii="Times New Roman" w:hAnsi="Times New Roman" w:cs="Times New Roman"/>
          <w:sz w:val="24"/>
          <w:szCs w:val="24"/>
        </w:rPr>
        <w:t xml:space="preserve"> Elisa was applied to detect changes in IL-8 content in CRC cells silencing ECI2 (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3A264CC4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(c, d, e)</w:t>
      </w:r>
      <w:r w:rsidRPr="002F5BC1">
        <w:rPr>
          <w:rFonts w:ascii="Times New Roman" w:hAnsi="Times New Roman" w:cs="Times New Roman"/>
          <w:sz w:val="24"/>
          <w:szCs w:val="24"/>
        </w:rPr>
        <w:t xml:space="preserve"> Elisa was applied to detect changes in the content of CCL5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F5BC1">
        <w:rPr>
          <w:rFonts w:ascii="Times New Roman" w:hAnsi="Times New Roman" w:cs="Times New Roman"/>
          <w:sz w:val="24"/>
          <w:szCs w:val="24"/>
        </w:rPr>
        <w:t>), CSF1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F5BC1">
        <w:rPr>
          <w:rFonts w:ascii="Times New Roman" w:hAnsi="Times New Roman" w:cs="Times New Roman"/>
          <w:sz w:val="24"/>
          <w:szCs w:val="24"/>
        </w:rPr>
        <w:t>) and IL15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F5BC1">
        <w:rPr>
          <w:rFonts w:ascii="Times New Roman" w:hAnsi="Times New Roman" w:cs="Times New Roman"/>
          <w:sz w:val="24"/>
          <w:szCs w:val="24"/>
        </w:rPr>
        <w:t>) in CRC cells overexpressing or silencing ECI2, respectively (n = 3 biological replicates).</w:t>
      </w:r>
    </w:p>
    <w:p w14:paraId="6A5BBCC3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(f, g, h)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Correlation between ECI2 and CD3-labeled T cells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F5BC1">
        <w:rPr>
          <w:rFonts w:ascii="Times New Roman" w:hAnsi="Times New Roman" w:cs="Times New Roman"/>
          <w:sz w:val="24"/>
          <w:szCs w:val="24"/>
        </w:rPr>
        <w:t>), CD19-labeled B cells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F5BC1">
        <w:rPr>
          <w:rFonts w:ascii="Times New Roman" w:hAnsi="Times New Roman" w:cs="Times New Roman"/>
          <w:sz w:val="24"/>
          <w:szCs w:val="24"/>
        </w:rPr>
        <w:t>), or CD68-labeled macrophages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F5BC1">
        <w:rPr>
          <w:rFonts w:ascii="Times New Roman" w:hAnsi="Times New Roman" w:cs="Times New Roman"/>
          <w:sz w:val="24"/>
          <w:szCs w:val="24"/>
        </w:rPr>
        <w:t>), respectively.</w:t>
      </w:r>
    </w:p>
    <w:p w14:paraId="5C658291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i,</w:t>
      </w:r>
      <w:r w:rsidRPr="002F5BC1">
        <w:rPr>
          <w:rFonts w:ascii="Times New Roman" w:hAnsi="Times New Roman" w:cs="Times New Roman"/>
          <w:sz w:val="24"/>
          <w:szCs w:val="24"/>
        </w:rPr>
        <w:t xml:space="preserve"> Expression of CXCL1 (KC), CXCL2 (MIP-2) and CXCL5 (LIX) in MC38 cells silenced with ECI2 was detected by RT-qPCR.</w:t>
      </w:r>
    </w:p>
    <w:p w14:paraId="3D4EECF0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(j, k)</w:t>
      </w:r>
      <w:r w:rsidRPr="002F5BC1">
        <w:rPr>
          <w:rFonts w:ascii="Times New Roman" w:hAnsi="Times New Roman" w:cs="Times New Roman"/>
          <w:sz w:val="24"/>
          <w:szCs w:val="24"/>
        </w:rPr>
        <w:t xml:space="preserve"> HL-60 cells were cultured with 1.25% DMSO at 5% CO2 37°C for 5 days, and the efficiency of HL-60 differentiation into neutrophils was detected by using Giemsa </w:t>
      </w:r>
      <w:r w:rsidRPr="002F5BC1">
        <w:rPr>
          <w:rFonts w:ascii="Times New Roman" w:hAnsi="Times New Roman" w:cs="Times New Roman"/>
          <w:sz w:val="24"/>
          <w:szCs w:val="24"/>
        </w:rPr>
        <w:lastRenderedPageBreak/>
        <w:t>staining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2F5BC1">
        <w:rPr>
          <w:rFonts w:ascii="Times New Roman" w:hAnsi="Times New Roman" w:cs="Times New Roman"/>
          <w:sz w:val="24"/>
          <w:szCs w:val="24"/>
        </w:rPr>
        <w:t>) and flow cytometry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2F5BC1">
        <w:rPr>
          <w:rFonts w:ascii="Times New Roman" w:hAnsi="Times New Roman" w:cs="Times New Roman"/>
          <w:sz w:val="24"/>
          <w:szCs w:val="24"/>
        </w:rPr>
        <w:t xml:space="preserve">) (dHL-60 surface markers were CD11b and CD16. Differentiated neutrophils were noted as dHL-60). Scale bar 10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>m.</w:t>
      </w:r>
    </w:p>
    <w:p w14:paraId="17E47B1F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(l, m, n)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silenced with ECI2 were co-cultured with dHL-60 for in vitro functional assays.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l,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CCK8 assay to detect the proliferation of CRC cells.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m, n</w:t>
      </w:r>
      <w:r w:rsidRPr="002F5BC1">
        <w:rPr>
          <w:rFonts w:ascii="Times New Roman" w:hAnsi="Times New Roman" w:cs="Times New Roman"/>
          <w:sz w:val="24"/>
          <w:szCs w:val="24"/>
        </w:rPr>
        <w:t>)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the invasion of CRC cells detected using </w:t>
      </w:r>
      <w:r w:rsidRPr="002F5BC1">
        <w:rPr>
          <w:rFonts w:ascii="Times New Roman" w:hAnsi="Times New Roman" w:cs="Times New Roman" w:hint="eastAsia"/>
          <w:sz w:val="24"/>
          <w:szCs w:val="24"/>
        </w:rPr>
        <w:t>t</w:t>
      </w:r>
      <w:r w:rsidRPr="002F5BC1">
        <w:rPr>
          <w:rFonts w:ascii="Times New Roman" w:hAnsi="Times New Roman" w:cs="Times New Roman"/>
          <w:sz w:val="24"/>
          <w:szCs w:val="24"/>
        </w:rPr>
        <w:t xml:space="preserve">ranswell invasion assay (scale bar 50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33541620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o,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Conditioned medium of CRC cells silencing ECI2 was used as an inducer to induce dHL-60 cell migration using the chemotaxis assay (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3BE19681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(p, q, r, s)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p, r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q, s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NETs formation after silencing ECI2 in CRC cell-conditioned medium cultured with dHL-60 by applying immunofluorescence assay (scale bar 200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42379255" w14:textId="1121D51A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sz w:val="24"/>
          <w:szCs w:val="24"/>
        </w:rPr>
        <w:t>Data are expressed as mean ± s.d. (b, c, d, e, i, l, n, o, q, s). Statistical significance was determined by two-way ANOVA (l) or two-tailed unpaired Student's t-test (b, c, d, e, i, n, o, q, s) or Correlation of Ozone correlations (f, g, h). Source data are provided as source data files</w:t>
      </w:r>
      <w:r w:rsidR="00910AFC" w:rsidRPr="002F5BC1">
        <w:rPr>
          <w:rFonts w:ascii="Times New Roman" w:hAnsi="Times New Roman" w:cs="Times New Roman"/>
          <w:sz w:val="24"/>
          <w:szCs w:val="24"/>
        </w:rPr>
        <w:t>. 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0.05; 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0.001; ****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0.0001, and ns denotes no statistical difference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2FB0E0B6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34D2FE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C3E5BF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55E344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2F39D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3B7D46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1AFF8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00E8EA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B9B036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163B62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995231" w14:textId="6BA6E668" w:rsidR="00747491" w:rsidRPr="002F5BC1" w:rsidRDefault="00483D56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noProof/>
        </w:rPr>
        <w:lastRenderedPageBreak/>
        <w:drawing>
          <wp:inline distT="0" distB="0" distL="0" distR="0" wp14:anchorId="08386AC4" wp14:editId="1520EF36">
            <wp:extent cx="5278120" cy="6053455"/>
            <wp:effectExtent l="0" t="0" r="0" b="4445"/>
            <wp:docPr id="34119264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05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649BF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Supplementary Fig. 3. ECI2 inhibits NETs formation and CRC progression by reducing IL-8 and ether lipids</w:t>
      </w:r>
    </w:p>
    <w:p w14:paraId="05E7E8CD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(a, b, c)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overexpressing ECI2 were co-cultured with dHL-60 with the addition of 25 ng/ml PMA and NETs formation was detected by applying western blotting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F5BC1">
        <w:rPr>
          <w:rFonts w:ascii="Times New Roman" w:hAnsi="Times New Roman" w:cs="Times New Roman"/>
          <w:sz w:val="24"/>
          <w:szCs w:val="24"/>
        </w:rPr>
        <w:t>) and immunofluorescence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b, c</w:t>
      </w:r>
      <w:r w:rsidRPr="002F5BC1">
        <w:rPr>
          <w:rFonts w:ascii="Times New Roman" w:hAnsi="Times New Roman" w:cs="Times New Roman"/>
          <w:sz w:val="24"/>
          <w:szCs w:val="24"/>
        </w:rPr>
        <w:t xml:space="preserve">) (scale bar 200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of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2CDAADBB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(d, e, f)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overexpressing ECI2 were added to 25 ng/ml PMA co-cultured with dHL-60 for in vitro functional assays.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CCK8 assay to detect the proliferation of CRC cells.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2F5BC1">
        <w:rPr>
          <w:rFonts w:ascii="Times New Roman" w:hAnsi="Times New Roman" w:cs="Times New Roman"/>
          <w:sz w:val="24"/>
          <w:szCs w:val="24"/>
        </w:rPr>
        <w:t xml:space="preserve"> Transwell invasion assay to detect the invasion of CRC cells (scale bar of 50 </w:t>
      </w:r>
      <w:r w:rsidRPr="002F5BC1">
        <w:rPr>
          <w:rFonts w:ascii="Times New Roman" w:hAnsi="Times New Roman" w:cs="Times New Roman" w:hint="eastAsia"/>
          <w:sz w:val="24"/>
          <w:szCs w:val="24"/>
        </w:rPr>
        <w:lastRenderedPageBreak/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f,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for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5C47ADAF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(g, h, i)</w:t>
      </w:r>
      <w:r w:rsidRPr="002F5BC1">
        <w:rPr>
          <w:rFonts w:ascii="Times New Roman" w:hAnsi="Times New Roman" w:cs="Times New Roman"/>
          <w:sz w:val="24"/>
          <w:szCs w:val="24"/>
        </w:rPr>
        <w:t xml:space="preserve"> Western blotting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F5BC1">
        <w:rPr>
          <w:rFonts w:ascii="Times New Roman" w:hAnsi="Times New Roman" w:cs="Times New Roman"/>
          <w:sz w:val="24"/>
          <w:szCs w:val="24"/>
        </w:rPr>
        <w:t>) and immunofluorescence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h, i</w:t>
      </w:r>
      <w:r w:rsidRPr="002F5BC1">
        <w:rPr>
          <w:rFonts w:ascii="Times New Roman" w:hAnsi="Times New Roman" w:cs="Times New Roman"/>
          <w:sz w:val="24"/>
          <w:szCs w:val="24"/>
        </w:rPr>
        <w:t xml:space="preserve">) to detect NETs formation after co-culture of CRC cells overexpressing ECI2 plus recombinant IL-8 cytokine (100 ng/ml) with dHL-60 (scale bar 200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i,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for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44DEE8BE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j,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overexpressing ECI2 were cultured by addition of recombinant IL-8 cytokine (100 ng/ml), and cell supernatants were collected to induce dHL-60 cell migration in chemotaxis assay (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36939684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(k, l, m)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overexpressing ECI2 were co-cultured with dHL-60 for in vitro functional assays after addition of recombinant IL-8 cytokine (100 ng/ml) or 18:0-18:1 PE (10 ug/ml).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k,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CCK8 assay to detect the proliferation of CRC cells. The CRC cell proliferation was detected by CCK8 assay.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l,</w:t>
      </w:r>
      <w:r w:rsidRPr="002F5BC1">
        <w:rPr>
          <w:rFonts w:ascii="Times New Roman" w:hAnsi="Times New Roman" w:cs="Times New Roman"/>
          <w:sz w:val="24"/>
          <w:szCs w:val="24"/>
        </w:rPr>
        <w:t xml:space="preserve"> Transwell invasion assay to detect the invasion of CRC cells (scale bar 50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m,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for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57022975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n,</w:t>
      </w:r>
      <w:r w:rsidRPr="002F5BC1">
        <w:rPr>
          <w:rFonts w:ascii="Times New Roman" w:hAnsi="Times New Roman" w:cs="Times New Roman"/>
          <w:sz w:val="24"/>
          <w:szCs w:val="24"/>
        </w:rPr>
        <w:t xml:space="preserve"> Anti-IL-8 (500 ng/ml) was added to CRC cells silenced with ECI2 (with or without dHL-60 co-culture), and Elisa was applied to detect the level of IL-8 in the supernatant (n = 3 biological replicates).</w:t>
      </w:r>
    </w:p>
    <w:p w14:paraId="08FD4FBD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(o, p, q, r, s, t)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Recombinant IL-8 cytokines (100 ng/ml) or 18:0-18:1 PE (10 ug/ml) were added to CRC cells overexpressing ECI2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o, q, r</w:t>
      </w:r>
      <w:r w:rsidRPr="002F5BC1">
        <w:rPr>
          <w:rFonts w:ascii="Times New Roman" w:hAnsi="Times New Roman" w:cs="Times New Roman"/>
          <w:sz w:val="24"/>
          <w:szCs w:val="24"/>
        </w:rPr>
        <w:t>) or anti-IL-8 was added to ECI2-silenced CRC cells without co-culturing with neutrophil dHL-60 (p, s, t), for in vitro functional experiments.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o, p</w:t>
      </w:r>
      <w:r w:rsidRPr="002F5BC1">
        <w:rPr>
          <w:rFonts w:ascii="Times New Roman" w:hAnsi="Times New Roman" w:cs="Times New Roman"/>
          <w:sz w:val="24"/>
          <w:szCs w:val="24"/>
        </w:rPr>
        <w:t>) CCK8 assay to detect the proliferation of CRC cells.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q, s</w:t>
      </w:r>
      <w:r w:rsidRPr="002F5BC1">
        <w:rPr>
          <w:rFonts w:ascii="Times New Roman" w:hAnsi="Times New Roman" w:cs="Times New Roman"/>
          <w:sz w:val="24"/>
          <w:szCs w:val="24"/>
        </w:rPr>
        <w:t xml:space="preserve">) Transwell invasion assay to detect invasion of CRC cells (scale bar 50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r,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of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2F5BC1">
        <w:rPr>
          <w:rFonts w:ascii="Times New Roman" w:hAnsi="Times New Roman" w:cs="Times New Roman"/>
          <w:sz w:val="24"/>
          <w:szCs w:val="24"/>
        </w:rPr>
        <w:t xml:space="preserve">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t,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of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4026D669" w14:textId="7A7D68D8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sz w:val="24"/>
          <w:szCs w:val="24"/>
        </w:rPr>
        <w:t>Data are expressed as mean ± s.d. (c, d, f, i, j, k, m, n, o, p, r, t). Statistical significance was determined by two-way ANOVA (d, k, o, p) or two-tailed unpaired Student's t-test (c, f, i, j, m, n, r, t). Blotting experiments were repeated at least three biological replicates (a, g). Source data are provided as source data files</w:t>
      </w:r>
      <w:r w:rsidR="00910AFC" w:rsidRPr="002F5BC1">
        <w:rPr>
          <w:rFonts w:ascii="Times New Roman" w:hAnsi="Times New Roman" w:cs="Times New Roman"/>
          <w:sz w:val="24"/>
          <w:szCs w:val="24"/>
        </w:rPr>
        <w:t>. 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0.05; 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0.001; ****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0.0001, and ns denotes no statistical difference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6627B803" w14:textId="54C3C0AB" w:rsidR="00747491" w:rsidRPr="002F5BC1" w:rsidRDefault="00483D56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noProof/>
        </w:rPr>
        <w:lastRenderedPageBreak/>
        <w:drawing>
          <wp:inline distT="0" distB="0" distL="0" distR="0" wp14:anchorId="176328CE" wp14:editId="3EA2CC70">
            <wp:extent cx="5278120" cy="6483350"/>
            <wp:effectExtent l="0" t="0" r="0" b="0"/>
            <wp:docPr id="209966284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48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7B949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Supplementary Fig. 4. ECI2 inhibits ether lipid synthesis-mediated CRC development by inhibiting AGPS peroxisome localization</w:t>
      </w:r>
    </w:p>
    <w:p w14:paraId="655BEA14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(a, b)</w:t>
      </w:r>
      <w:r w:rsidRPr="002F5BC1">
        <w:rPr>
          <w:rFonts w:ascii="Times New Roman" w:hAnsi="Times New Roman" w:cs="Times New Roman"/>
          <w:sz w:val="24"/>
          <w:szCs w:val="24"/>
        </w:rPr>
        <w:t xml:space="preserve"> Immunofluorescence detection of co-localization of AGPS and peroxisomal membrane marker PMP70 after overexpression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F5BC1">
        <w:rPr>
          <w:rFonts w:ascii="Times New Roman" w:hAnsi="Times New Roman" w:cs="Times New Roman"/>
          <w:sz w:val="24"/>
          <w:szCs w:val="24"/>
        </w:rPr>
        <w:t>) or silencing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ECI2 (scale bar 10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>m).</w:t>
      </w:r>
    </w:p>
    <w:p w14:paraId="122FE2D3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silenced with ECI2 were transfected with AGPS-Mu and AGPS-WT lentiviral vectors, respectively, and peroxisome isolation assay and western blotting assay were applied to detect the content of AGPS in peroxisome (P) and cytoplasm (C).</w:t>
      </w:r>
    </w:p>
    <w:p w14:paraId="521D7F29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lastRenderedPageBreak/>
        <w:t>(d, e, f)</w:t>
      </w:r>
      <w:r w:rsidRPr="002F5BC1">
        <w:rPr>
          <w:rFonts w:ascii="Times New Roman" w:hAnsi="Times New Roman" w:cs="Times New Roman"/>
          <w:sz w:val="24"/>
          <w:szCs w:val="24"/>
        </w:rPr>
        <w:t xml:space="preserve"> CRC cells transfected with shECI2 and AGPS-WT or AGPS-Mu lentiviruses were subjected to in vitro functional assays without co-culture with dHL-60.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Pr="002F5BC1">
        <w:rPr>
          <w:rFonts w:ascii="Times New Roman" w:hAnsi="Times New Roman" w:cs="Times New Roman"/>
          <w:sz w:val="24"/>
          <w:szCs w:val="24"/>
        </w:rPr>
        <w:t xml:space="preserve"> CCK8 assay to detect the proliferation of CRC cells.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2F5BC1">
        <w:rPr>
          <w:rFonts w:ascii="Times New Roman" w:hAnsi="Times New Roman" w:cs="Times New Roman"/>
          <w:sz w:val="24"/>
          <w:szCs w:val="24"/>
        </w:rPr>
        <w:t xml:space="preserve"> Transwell invasion assay to detect the invasion of CRC cells (scale bar 50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f,</w:t>
      </w:r>
      <w:r w:rsidRPr="002F5BC1">
        <w:rPr>
          <w:rFonts w:ascii="Times New Roman" w:hAnsi="Times New Roman" w:cs="Times New Roman"/>
          <w:sz w:val="24"/>
          <w:szCs w:val="24"/>
        </w:rPr>
        <w:t xml:space="preserve"> Quantitative results for Figure 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50A41ED0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(g, h)</w:t>
      </w:r>
      <w:r w:rsidRPr="002F5BC1">
        <w:rPr>
          <w:rFonts w:ascii="Times New Roman" w:hAnsi="Times New Roman" w:cs="Times New Roman"/>
          <w:sz w:val="24"/>
          <w:szCs w:val="24"/>
        </w:rPr>
        <w:t xml:space="preserve"> Representative pictures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F5BC1">
        <w:rPr>
          <w:rFonts w:ascii="Times New Roman" w:hAnsi="Times New Roman" w:cs="Times New Roman"/>
          <w:sz w:val="24"/>
          <w:szCs w:val="24"/>
        </w:rPr>
        <w:t>) and quantification (</w:t>
      </w:r>
      <w:r w:rsidRPr="002F5BC1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F5BC1">
        <w:rPr>
          <w:rFonts w:ascii="Times New Roman" w:hAnsi="Times New Roman" w:cs="Times New Roman"/>
          <w:sz w:val="24"/>
          <w:szCs w:val="24"/>
        </w:rPr>
        <w:t xml:space="preserve">) of NETs formation after application of immunofluorescence for detection of NETs in CRC cells transfected with shECI2 and AGPS-WT or AGPS-Mu lentiviruses incubated with dHL-60 by addition of 18:0-18:1 PE (10 ug/ml) (scale bar 200 </w:t>
      </w:r>
      <w:r w:rsidRPr="002F5BC1">
        <w:rPr>
          <w:rFonts w:ascii="Times New Roman" w:hAnsi="Times New Roman" w:cs="Times New Roman" w:hint="eastAsia"/>
          <w:sz w:val="24"/>
          <w:szCs w:val="24"/>
        </w:rPr>
        <w:t>μ</w:t>
      </w:r>
      <w:r w:rsidRPr="002F5BC1">
        <w:rPr>
          <w:rFonts w:ascii="Times New Roman" w:hAnsi="Times New Roman" w:cs="Times New Roman"/>
          <w:sz w:val="24"/>
          <w:szCs w:val="24"/>
        </w:rPr>
        <w:t xml:space="preserve">m, </w:t>
      </w:r>
      <w:r w:rsidRPr="002F5BC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5BC1">
        <w:rPr>
          <w:rFonts w:ascii="Times New Roman" w:hAnsi="Times New Roman" w:cs="Times New Roman"/>
          <w:sz w:val="24"/>
          <w:szCs w:val="24"/>
        </w:rPr>
        <w:t xml:space="preserve"> = 3 biological replicates).</w:t>
      </w:r>
    </w:p>
    <w:p w14:paraId="433EE003" w14:textId="77777777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b/>
          <w:bCs/>
          <w:sz w:val="24"/>
          <w:szCs w:val="24"/>
        </w:rPr>
        <w:t>i,</w:t>
      </w:r>
      <w:r w:rsidRPr="002F5BC1">
        <w:rPr>
          <w:rFonts w:ascii="Times New Roman" w:hAnsi="Times New Roman" w:cs="Times New Roman"/>
          <w:sz w:val="24"/>
          <w:szCs w:val="24"/>
        </w:rPr>
        <w:t xml:space="preserve"> Working model of ECI2 inhibition of CRC progression.</w:t>
      </w:r>
    </w:p>
    <w:p w14:paraId="5E24B3BF" w14:textId="433F4113" w:rsidR="00747491" w:rsidRPr="002F5BC1" w:rsidRDefault="00747491" w:rsidP="00747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5BC1">
        <w:rPr>
          <w:rFonts w:ascii="Times New Roman" w:hAnsi="Times New Roman" w:cs="Times New Roman"/>
          <w:sz w:val="24"/>
          <w:szCs w:val="24"/>
        </w:rPr>
        <w:t>Data are expressed as mean ± s.d. (d, f, h). Statistical significance was determined by two-way ANOVA (d) or two-tailed unpaired Student's t-test (f, h). Blotting experiments were repeated at least three biological replicates (c). Source data are provided as source data files</w:t>
      </w:r>
      <w:r w:rsidR="00910AFC" w:rsidRPr="002F5BC1">
        <w:rPr>
          <w:rFonts w:ascii="Times New Roman" w:hAnsi="Times New Roman" w:cs="Times New Roman"/>
          <w:sz w:val="24"/>
          <w:szCs w:val="24"/>
        </w:rPr>
        <w:t>. 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0.05; 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0.001; ****</w:t>
      </w:r>
      <w:r w:rsidR="00910AFC" w:rsidRPr="002F5BC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10AFC" w:rsidRPr="002F5BC1">
        <w:rPr>
          <w:rFonts w:ascii="Times New Roman" w:hAnsi="Times New Roman" w:cs="Times New Roman"/>
          <w:sz w:val="24"/>
          <w:szCs w:val="24"/>
        </w:rPr>
        <w:t xml:space="preserve"> &lt; 0.0001, and ns denotes no statistical difference</w:t>
      </w:r>
      <w:r w:rsidRPr="002F5BC1">
        <w:rPr>
          <w:rFonts w:ascii="Times New Roman" w:hAnsi="Times New Roman" w:cs="Times New Roman"/>
          <w:sz w:val="24"/>
          <w:szCs w:val="24"/>
        </w:rPr>
        <w:t>.</w:t>
      </w:r>
    </w:p>
    <w:p w14:paraId="3C81E006" w14:textId="77777777" w:rsidR="00747491" w:rsidRPr="002F5BC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37A035" w14:textId="77777777" w:rsidR="00747491" w:rsidRDefault="00747491" w:rsidP="005A30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9CCFC4" w14:textId="6A24832F" w:rsidR="00062EC8" w:rsidRPr="00F4722F" w:rsidRDefault="00062EC8">
      <w:pPr>
        <w:rPr>
          <w:rFonts w:ascii="Times New Roman" w:hAnsi="Times New Roman" w:cs="Times New Roman"/>
          <w:sz w:val="24"/>
          <w:szCs w:val="24"/>
        </w:rPr>
      </w:pPr>
    </w:p>
    <w:sectPr w:rsidR="00062EC8" w:rsidRPr="00F4722F" w:rsidSect="000D05CF">
      <w:footerReference w:type="default" r:id="rId10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DBD35" w14:textId="77777777" w:rsidR="00763CF4" w:rsidRDefault="00763CF4" w:rsidP="00F4722F">
      <w:r>
        <w:separator/>
      </w:r>
    </w:p>
  </w:endnote>
  <w:endnote w:type="continuationSeparator" w:id="0">
    <w:p w14:paraId="0A1FD3E2" w14:textId="77777777" w:rsidR="00763CF4" w:rsidRDefault="00763CF4" w:rsidP="00F47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28901880"/>
      <w:docPartObj>
        <w:docPartGallery w:val="Page Numbers (Bottom of Page)"/>
        <w:docPartUnique/>
      </w:docPartObj>
    </w:sdtPr>
    <w:sdtEndPr/>
    <w:sdtContent>
      <w:p w14:paraId="311F7246" w14:textId="3E92FA0B" w:rsidR="004A3AEC" w:rsidRDefault="004A3AE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AB935F" w14:textId="77777777" w:rsidR="004A3AEC" w:rsidRDefault="004A3A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80CFBB" w14:textId="77777777" w:rsidR="00763CF4" w:rsidRDefault="00763CF4" w:rsidP="00F4722F">
      <w:r>
        <w:separator/>
      </w:r>
    </w:p>
  </w:footnote>
  <w:footnote w:type="continuationSeparator" w:id="0">
    <w:p w14:paraId="16F72273" w14:textId="77777777" w:rsidR="00763CF4" w:rsidRDefault="00763CF4" w:rsidP="00F47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-NC(change from Nature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zz0pwrd2tazmerftj5d9fbrpz2e55r5rpt&quot;&gt;ECI2-20220923&lt;record-ids&gt;&lt;item&gt;5&lt;/item&gt;&lt;item&gt;6&lt;/item&gt;&lt;item&gt;9&lt;/item&gt;&lt;item&gt;10&lt;/item&gt;&lt;item&gt;12&lt;/item&gt;&lt;item&gt;13&lt;/item&gt;&lt;item&gt;14&lt;/item&gt;&lt;item&gt;15&lt;/item&gt;&lt;item&gt;17&lt;/item&gt;&lt;item&gt;18&lt;/item&gt;&lt;item&gt;21&lt;/item&gt;&lt;item&gt;23&lt;/item&gt;&lt;item&gt;24&lt;/item&gt;&lt;item&gt;25&lt;/item&gt;&lt;item&gt;29&lt;/item&gt;&lt;item&gt;31&lt;/item&gt;&lt;item&gt;33&lt;/item&gt;&lt;item&gt;36&lt;/item&gt;&lt;item&gt;37&lt;/item&gt;&lt;item&gt;38&lt;/item&gt;&lt;item&gt;40&lt;/item&gt;&lt;item&gt;41&lt;/item&gt;&lt;item&gt;43&lt;/item&gt;&lt;item&gt;46&lt;/item&gt;&lt;item&gt;47&lt;/item&gt;&lt;item&gt;49&lt;/item&gt;&lt;item&gt;50&lt;/item&gt;&lt;item&gt;51&lt;/item&gt;&lt;item&gt;52&lt;/item&gt;&lt;item&gt;53&lt;/item&gt;&lt;item&gt;54&lt;/item&gt;&lt;item&gt;60&lt;/item&gt;&lt;item&gt;62&lt;/item&gt;&lt;item&gt;69&lt;/item&gt;&lt;item&gt;71&lt;/item&gt;&lt;item&gt;77&lt;/item&gt;&lt;item&gt;80&lt;/item&gt;&lt;item&gt;83&lt;/item&gt;&lt;item&gt;86&lt;/item&gt;&lt;item&gt;87&lt;/item&gt;&lt;item&gt;89&lt;/item&gt;&lt;item&gt;99&lt;/item&gt;&lt;item&gt;104&lt;/item&gt;&lt;item&gt;105&lt;/item&gt;&lt;item&gt;106&lt;/item&gt;&lt;item&gt;107&lt;/item&gt;&lt;item&gt;108&lt;/item&gt;&lt;item&gt;111&lt;/item&gt;&lt;item&gt;114&lt;/item&gt;&lt;item&gt;116&lt;/item&gt;&lt;item&gt;117&lt;/item&gt;&lt;item&gt;118&lt;/item&gt;&lt;item&gt;120&lt;/item&gt;&lt;item&gt;122&lt;/item&gt;&lt;item&gt;123&lt;/item&gt;&lt;item&gt;125&lt;/item&gt;&lt;item&gt;126&lt;/item&gt;&lt;item&gt;127&lt;/item&gt;&lt;item&gt;128&lt;/item&gt;&lt;item&gt;129&lt;/item&gt;&lt;item&gt;131&lt;/item&gt;&lt;item&gt;132&lt;/item&gt;&lt;item&gt;133&lt;/item&gt;&lt;item&gt;134&lt;/item&gt;&lt;item&gt;135&lt;/item&gt;&lt;item&gt;142&lt;/item&gt;&lt;item&gt;143&lt;/item&gt;&lt;/record-ids&gt;&lt;/item&gt;&lt;/Libraries&gt;"/>
  </w:docVars>
  <w:rsids>
    <w:rsidRoot w:val="00E51316"/>
    <w:rsid w:val="00013991"/>
    <w:rsid w:val="00037183"/>
    <w:rsid w:val="00042D2D"/>
    <w:rsid w:val="00062EC8"/>
    <w:rsid w:val="00072C8C"/>
    <w:rsid w:val="000808AD"/>
    <w:rsid w:val="000B2D74"/>
    <w:rsid w:val="000C69EC"/>
    <w:rsid w:val="000D05CF"/>
    <w:rsid w:val="000F5FC2"/>
    <w:rsid w:val="00115B04"/>
    <w:rsid w:val="0012638F"/>
    <w:rsid w:val="0016291C"/>
    <w:rsid w:val="001744D1"/>
    <w:rsid w:val="001775DC"/>
    <w:rsid w:val="001A35CB"/>
    <w:rsid w:val="001B25CA"/>
    <w:rsid w:val="001D1F17"/>
    <w:rsid w:val="002209DD"/>
    <w:rsid w:val="00251AAC"/>
    <w:rsid w:val="00252186"/>
    <w:rsid w:val="00273A8E"/>
    <w:rsid w:val="002970CA"/>
    <w:rsid w:val="002C4996"/>
    <w:rsid w:val="002F5BC1"/>
    <w:rsid w:val="00327E04"/>
    <w:rsid w:val="00332A92"/>
    <w:rsid w:val="00337ECC"/>
    <w:rsid w:val="00343832"/>
    <w:rsid w:val="003463DD"/>
    <w:rsid w:val="003630C0"/>
    <w:rsid w:val="003879BD"/>
    <w:rsid w:val="00420E94"/>
    <w:rsid w:val="004250DE"/>
    <w:rsid w:val="0048261A"/>
    <w:rsid w:val="00483D56"/>
    <w:rsid w:val="00494680"/>
    <w:rsid w:val="004A3AEC"/>
    <w:rsid w:val="004C2D4C"/>
    <w:rsid w:val="004E30B0"/>
    <w:rsid w:val="004F7DBE"/>
    <w:rsid w:val="00584C76"/>
    <w:rsid w:val="005A30C1"/>
    <w:rsid w:val="005E38DD"/>
    <w:rsid w:val="00622EFA"/>
    <w:rsid w:val="00650ADE"/>
    <w:rsid w:val="0067126F"/>
    <w:rsid w:val="006E61F8"/>
    <w:rsid w:val="007043A8"/>
    <w:rsid w:val="00743972"/>
    <w:rsid w:val="00747491"/>
    <w:rsid w:val="00763CF4"/>
    <w:rsid w:val="0076543B"/>
    <w:rsid w:val="007677E6"/>
    <w:rsid w:val="007C16CD"/>
    <w:rsid w:val="007C62BC"/>
    <w:rsid w:val="007D0671"/>
    <w:rsid w:val="007E1C25"/>
    <w:rsid w:val="007E5475"/>
    <w:rsid w:val="007E6AD3"/>
    <w:rsid w:val="00830302"/>
    <w:rsid w:val="008478B5"/>
    <w:rsid w:val="00871EFB"/>
    <w:rsid w:val="00882157"/>
    <w:rsid w:val="00884B5E"/>
    <w:rsid w:val="00895722"/>
    <w:rsid w:val="008A3944"/>
    <w:rsid w:val="008C1871"/>
    <w:rsid w:val="008C4958"/>
    <w:rsid w:val="008E348A"/>
    <w:rsid w:val="008F0C49"/>
    <w:rsid w:val="008F451F"/>
    <w:rsid w:val="00910AFC"/>
    <w:rsid w:val="00926C80"/>
    <w:rsid w:val="009273F1"/>
    <w:rsid w:val="00961634"/>
    <w:rsid w:val="00963E80"/>
    <w:rsid w:val="00964CF2"/>
    <w:rsid w:val="00965D80"/>
    <w:rsid w:val="00986B5D"/>
    <w:rsid w:val="00987A88"/>
    <w:rsid w:val="009C720A"/>
    <w:rsid w:val="009D5117"/>
    <w:rsid w:val="00A63D36"/>
    <w:rsid w:val="00A72940"/>
    <w:rsid w:val="00AF1A28"/>
    <w:rsid w:val="00B239EA"/>
    <w:rsid w:val="00B2401A"/>
    <w:rsid w:val="00B2775C"/>
    <w:rsid w:val="00B73A17"/>
    <w:rsid w:val="00B82DA1"/>
    <w:rsid w:val="00BB33E0"/>
    <w:rsid w:val="00BD3140"/>
    <w:rsid w:val="00BD5D7B"/>
    <w:rsid w:val="00C279A1"/>
    <w:rsid w:val="00C63536"/>
    <w:rsid w:val="00CA55EB"/>
    <w:rsid w:val="00CA6D36"/>
    <w:rsid w:val="00CB297B"/>
    <w:rsid w:val="00CC1448"/>
    <w:rsid w:val="00CD5D62"/>
    <w:rsid w:val="00CD604A"/>
    <w:rsid w:val="00CD7F42"/>
    <w:rsid w:val="00D06BC0"/>
    <w:rsid w:val="00D23336"/>
    <w:rsid w:val="00D5061A"/>
    <w:rsid w:val="00D52345"/>
    <w:rsid w:val="00D96464"/>
    <w:rsid w:val="00DB697E"/>
    <w:rsid w:val="00DD2BD7"/>
    <w:rsid w:val="00DE5E1A"/>
    <w:rsid w:val="00E21CCF"/>
    <w:rsid w:val="00E51316"/>
    <w:rsid w:val="00EF4AD1"/>
    <w:rsid w:val="00F36E5B"/>
    <w:rsid w:val="00F372F8"/>
    <w:rsid w:val="00F4722F"/>
    <w:rsid w:val="00FB439E"/>
    <w:rsid w:val="00FC636B"/>
    <w:rsid w:val="00FF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156438"/>
  <w15:chartTrackingRefBased/>
  <w15:docId w15:val="{0DDFBB84-9C99-4AF7-957E-590408872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AA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72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4722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47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4722F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4722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722F"/>
    <w:rPr>
      <w:color w:val="605E5C"/>
      <w:shd w:val="clear" w:color="auto" w:fill="E1DFDD"/>
    </w:rPr>
  </w:style>
  <w:style w:type="character" w:customStyle="1" w:styleId="authors-list-item">
    <w:name w:val="authors-list-item"/>
    <w:basedOn w:val="DefaultParagraphFont"/>
    <w:rsid w:val="00F4722F"/>
  </w:style>
  <w:style w:type="character" w:customStyle="1" w:styleId="author-sup-separator">
    <w:name w:val="author-sup-separator"/>
    <w:basedOn w:val="DefaultParagraphFont"/>
    <w:rsid w:val="00F4722F"/>
  </w:style>
  <w:style w:type="character" w:customStyle="1" w:styleId="comma">
    <w:name w:val="comma"/>
    <w:basedOn w:val="DefaultParagraphFont"/>
    <w:rsid w:val="00F4722F"/>
  </w:style>
  <w:style w:type="paragraph" w:customStyle="1" w:styleId="EndNoteBibliographyTitle">
    <w:name w:val="EndNote Bibliography Title"/>
    <w:basedOn w:val="Normal"/>
    <w:link w:val="EndNoteBibliographyTitle0"/>
    <w:rsid w:val="00DE5E1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E5E1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E5E1A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E5E1A"/>
    <w:rPr>
      <w:rFonts w:ascii="Calibri" w:hAnsi="Calibri" w:cs="Calibri"/>
      <w:noProof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D5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4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11</Pages>
  <Words>1584</Words>
  <Characters>9031</Characters>
  <Application>Microsoft Office Word</Application>
  <DocSecurity>0</DocSecurity>
  <Lines>75</Lines>
  <Paragraphs>21</Paragraphs>
  <ScaleCrop>false</ScaleCrop>
  <Company/>
  <LinksUpToDate>false</LinksUpToDate>
  <CharactersWithSpaces>10594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丽霞</dc:creator>
  <cp:keywords/>
  <dc:description/>
  <cp:lastModifiedBy>Poonam Mutha</cp:lastModifiedBy>
  <cp:revision>7</cp:revision>
  <dcterms:created xsi:type="dcterms:W3CDTF">2023-08-29T07:13:00Z</dcterms:created>
  <dcterms:modified xsi:type="dcterms:W3CDTF">2023-09-15T12:11:00Z</dcterms:modified>
</cp:coreProperties>
</file>