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49E1F" w14:textId="4F6E0814" w:rsidR="006B7C07" w:rsidRPr="007F79F5" w:rsidRDefault="006B7C07" w:rsidP="007F79F5">
      <w:pPr>
        <w:jc w:val="center"/>
        <w:rPr>
          <w:rFonts w:ascii="Times New Roman" w:hAnsi="Times New Roman" w:cs="Times New Roman"/>
          <w:b/>
          <w:bCs/>
          <w:sz w:val="32"/>
          <w:szCs w:val="32"/>
        </w:rPr>
      </w:pPr>
      <w:r w:rsidRPr="007F79F5">
        <w:rPr>
          <w:rFonts w:ascii="Times New Roman" w:hAnsi="Times New Roman" w:cs="Times New Roman"/>
          <w:b/>
          <w:bCs/>
          <w:sz w:val="32"/>
          <w:szCs w:val="32"/>
        </w:rPr>
        <w:t>Supplementary</w:t>
      </w:r>
    </w:p>
    <w:p w14:paraId="37621C1E" w14:textId="48C7974F" w:rsidR="00E87E57" w:rsidRPr="007F79F5" w:rsidRDefault="00E87E57" w:rsidP="007F79F5">
      <w:pPr>
        <w:jc w:val="center"/>
        <w:rPr>
          <w:rFonts w:ascii="Times New Roman" w:hAnsi="Times New Roman" w:cs="Times New Roman"/>
          <w:b/>
          <w:bCs/>
          <w:sz w:val="24"/>
          <w:szCs w:val="24"/>
        </w:rPr>
      </w:pPr>
      <w:r w:rsidRPr="007F79F5">
        <w:rPr>
          <w:rFonts w:ascii="Times New Roman" w:hAnsi="Times New Roman" w:cs="Times New Roman"/>
          <w:b/>
          <w:bCs/>
          <w:sz w:val="24"/>
          <w:szCs w:val="24"/>
        </w:rPr>
        <w:t>Measuring treatment burden in people with Type 2 Diabetes Mellitus (T2DM): A Mixed-methods Systematic Review</w:t>
      </w:r>
    </w:p>
    <w:p w14:paraId="3F59A959" w14:textId="77777777" w:rsidR="007F79F5" w:rsidRDefault="007F79F5" w:rsidP="007F79F5">
      <w:pPr>
        <w:rPr>
          <w:rFonts w:ascii="Times New Roman" w:hAnsi="Times New Roman" w:cs="Times New Roman"/>
          <w:b/>
          <w:bCs/>
          <w:color w:val="000000"/>
          <w:sz w:val="20"/>
          <w:szCs w:val="20"/>
        </w:rPr>
      </w:pPr>
    </w:p>
    <w:p w14:paraId="3C2772EA" w14:textId="77777777" w:rsidR="00D11424" w:rsidRDefault="002E4628" w:rsidP="007F79F5">
      <w:pPr>
        <w:rPr>
          <w:rFonts w:ascii="Times New Roman" w:hAnsi="Times New Roman" w:cs="Times New Roman"/>
          <w:b/>
          <w:bCs/>
          <w:color w:val="000000"/>
          <w:sz w:val="20"/>
          <w:szCs w:val="20"/>
        </w:rPr>
      </w:pPr>
      <w:r w:rsidRPr="007F79F5">
        <w:rPr>
          <w:rFonts w:ascii="Times New Roman" w:hAnsi="Times New Roman" w:cs="Times New Roman"/>
          <w:b/>
          <w:bCs/>
          <w:color w:val="000000"/>
          <w:sz w:val="20"/>
          <w:szCs w:val="20"/>
        </w:rPr>
        <w:t>Supplementary</w:t>
      </w:r>
      <w:r w:rsidR="006B7C07" w:rsidRPr="007F79F5">
        <w:rPr>
          <w:rFonts w:ascii="Times New Roman" w:hAnsi="Times New Roman" w:cs="Times New Roman"/>
          <w:b/>
          <w:bCs/>
          <w:color w:val="000000"/>
          <w:sz w:val="20"/>
          <w:szCs w:val="20"/>
        </w:rPr>
        <w:t xml:space="preserve"> content </w:t>
      </w:r>
    </w:p>
    <w:p w14:paraId="29DD01E9" w14:textId="4A611C73" w:rsidR="00525ACE" w:rsidRDefault="00D11424">
      <w:pPr>
        <w:pStyle w:val="TOC1"/>
        <w:tabs>
          <w:tab w:val="left" w:pos="420"/>
          <w:tab w:val="right" w:leader="dot" w:pos="12950"/>
        </w:tabs>
        <w:rPr>
          <w:rFonts w:eastAsiaTheme="minorEastAsia"/>
          <w:b w:val="0"/>
          <w:bCs w:val="0"/>
          <w:i w:val="0"/>
          <w:iCs w:val="0"/>
          <w:noProof/>
          <w:sz w:val="22"/>
          <w:szCs w:val="22"/>
          <w:lang w:val="en-GB"/>
          <w14:ligatures w14:val="standardContextual"/>
        </w:rPr>
      </w:pPr>
      <w:r>
        <w:rPr>
          <w:rFonts w:ascii="Times New Roman" w:hAnsi="Times New Roman" w:cs="Times New Roman"/>
          <w:b w:val="0"/>
          <w:bCs w:val="0"/>
          <w:color w:val="000000"/>
          <w:sz w:val="20"/>
          <w:szCs w:val="20"/>
        </w:rPr>
        <w:fldChar w:fldCharType="begin"/>
      </w:r>
      <w:r>
        <w:rPr>
          <w:rFonts w:ascii="Times New Roman" w:hAnsi="Times New Roman" w:cs="Times New Roman"/>
          <w:b w:val="0"/>
          <w:bCs w:val="0"/>
          <w:color w:val="000000"/>
          <w:sz w:val="20"/>
          <w:szCs w:val="20"/>
        </w:rPr>
        <w:instrText xml:space="preserve"> TOC \o "1-3" \h \z \u </w:instrText>
      </w:r>
      <w:r>
        <w:rPr>
          <w:rFonts w:ascii="Times New Roman" w:hAnsi="Times New Roman" w:cs="Times New Roman"/>
          <w:b w:val="0"/>
          <w:bCs w:val="0"/>
          <w:color w:val="000000"/>
          <w:sz w:val="20"/>
          <w:szCs w:val="20"/>
        </w:rPr>
        <w:fldChar w:fldCharType="separate"/>
      </w:r>
      <w:hyperlink w:anchor="_Toc144294595" w:history="1">
        <w:r w:rsidR="00525ACE" w:rsidRPr="00916240">
          <w:rPr>
            <w:rStyle w:val="Hyperlink"/>
            <w:rFonts w:ascii="Times New Roman" w:hAnsi="Times New Roman" w:cs="Times New Roman"/>
            <w:noProof/>
          </w:rPr>
          <w:t>1.</w:t>
        </w:r>
        <w:r w:rsidR="00525ACE">
          <w:rPr>
            <w:rFonts w:eastAsiaTheme="minorEastAsia"/>
            <w:b w:val="0"/>
            <w:bCs w:val="0"/>
            <w:i w:val="0"/>
            <w:iCs w:val="0"/>
            <w:noProof/>
            <w:sz w:val="22"/>
            <w:szCs w:val="22"/>
            <w:lang w:val="en-GB"/>
            <w14:ligatures w14:val="standardContextual"/>
          </w:rPr>
          <w:tab/>
        </w:r>
        <w:r w:rsidR="00525ACE" w:rsidRPr="00916240">
          <w:rPr>
            <w:rStyle w:val="Hyperlink"/>
            <w:rFonts w:ascii="Times New Roman" w:hAnsi="Times New Roman" w:cs="Times New Roman"/>
            <w:noProof/>
          </w:rPr>
          <w:t>Searching for literature</w:t>
        </w:r>
        <w:r w:rsidR="00525ACE">
          <w:rPr>
            <w:noProof/>
            <w:webHidden/>
          </w:rPr>
          <w:tab/>
        </w:r>
        <w:r w:rsidR="00525ACE">
          <w:rPr>
            <w:noProof/>
            <w:webHidden/>
          </w:rPr>
          <w:fldChar w:fldCharType="begin"/>
        </w:r>
        <w:r w:rsidR="00525ACE">
          <w:rPr>
            <w:noProof/>
            <w:webHidden/>
          </w:rPr>
          <w:instrText xml:space="preserve"> PAGEREF _Toc144294595 \h </w:instrText>
        </w:r>
        <w:r w:rsidR="00525ACE">
          <w:rPr>
            <w:noProof/>
            <w:webHidden/>
          </w:rPr>
        </w:r>
        <w:r w:rsidR="00525ACE">
          <w:rPr>
            <w:noProof/>
            <w:webHidden/>
          </w:rPr>
          <w:fldChar w:fldCharType="separate"/>
        </w:r>
        <w:r w:rsidR="00525ACE">
          <w:rPr>
            <w:noProof/>
            <w:webHidden/>
          </w:rPr>
          <w:t>2</w:t>
        </w:r>
        <w:r w:rsidR="00525ACE">
          <w:rPr>
            <w:noProof/>
            <w:webHidden/>
          </w:rPr>
          <w:fldChar w:fldCharType="end"/>
        </w:r>
      </w:hyperlink>
    </w:p>
    <w:p w14:paraId="1E9F1EA3" w14:textId="6118E79B" w:rsidR="00525ACE" w:rsidRDefault="00000000">
      <w:pPr>
        <w:pStyle w:val="TOC2"/>
        <w:tabs>
          <w:tab w:val="right" w:leader="dot" w:pos="12950"/>
        </w:tabs>
        <w:rPr>
          <w:rFonts w:eastAsiaTheme="minorEastAsia"/>
          <w:b w:val="0"/>
          <w:bCs w:val="0"/>
          <w:noProof/>
          <w:lang w:val="en-GB"/>
          <w14:ligatures w14:val="standardContextual"/>
        </w:rPr>
      </w:pPr>
      <w:hyperlink w:anchor="_Toc144294596" w:history="1">
        <w:r w:rsidR="00525ACE" w:rsidRPr="00916240">
          <w:rPr>
            <w:rStyle w:val="Hyperlink"/>
            <w:rFonts w:ascii="Times New Roman" w:hAnsi="Times New Roman" w:cs="Times New Roman"/>
            <w:noProof/>
          </w:rPr>
          <w:t>Table S1 Retrieval formula for English health-based databases:</w:t>
        </w:r>
        <w:r w:rsidR="00525ACE">
          <w:rPr>
            <w:noProof/>
            <w:webHidden/>
          </w:rPr>
          <w:tab/>
        </w:r>
        <w:r w:rsidR="00525ACE">
          <w:rPr>
            <w:noProof/>
            <w:webHidden/>
          </w:rPr>
          <w:fldChar w:fldCharType="begin"/>
        </w:r>
        <w:r w:rsidR="00525ACE">
          <w:rPr>
            <w:noProof/>
            <w:webHidden/>
          </w:rPr>
          <w:instrText xml:space="preserve"> PAGEREF _Toc144294596 \h </w:instrText>
        </w:r>
        <w:r w:rsidR="00525ACE">
          <w:rPr>
            <w:noProof/>
            <w:webHidden/>
          </w:rPr>
        </w:r>
        <w:r w:rsidR="00525ACE">
          <w:rPr>
            <w:noProof/>
            <w:webHidden/>
          </w:rPr>
          <w:fldChar w:fldCharType="separate"/>
        </w:r>
        <w:r w:rsidR="00525ACE">
          <w:rPr>
            <w:noProof/>
            <w:webHidden/>
          </w:rPr>
          <w:t>2</w:t>
        </w:r>
        <w:r w:rsidR="00525ACE">
          <w:rPr>
            <w:noProof/>
            <w:webHidden/>
          </w:rPr>
          <w:fldChar w:fldCharType="end"/>
        </w:r>
      </w:hyperlink>
    </w:p>
    <w:p w14:paraId="596728A2" w14:textId="2209F906" w:rsidR="00525ACE" w:rsidRDefault="00000000">
      <w:pPr>
        <w:pStyle w:val="TOC2"/>
        <w:tabs>
          <w:tab w:val="right" w:leader="dot" w:pos="12950"/>
        </w:tabs>
        <w:rPr>
          <w:rFonts w:eastAsiaTheme="minorEastAsia"/>
          <w:b w:val="0"/>
          <w:bCs w:val="0"/>
          <w:noProof/>
          <w:lang w:val="en-GB"/>
          <w14:ligatures w14:val="standardContextual"/>
        </w:rPr>
      </w:pPr>
      <w:hyperlink w:anchor="_Toc144294597" w:history="1">
        <w:r w:rsidR="00525ACE" w:rsidRPr="00916240">
          <w:rPr>
            <w:rStyle w:val="Hyperlink"/>
            <w:rFonts w:ascii="Times New Roman" w:hAnsi="Times New Roman" w:cs="Times New Roman"/>
            <w:noProof/>
          </w:rPr>
          <w:t>Table S2 Retrieval formula for Chinese health-based databases (Translated):</w:t>
        </w:r>
        <w:r w:rsidR="00525ACE">
          <w:rPr>
            <w:noProof/>
            <w:webHidden/>
          </w:rPr>
          <w:tab/>
        </w:r>
        <w:r w:rsidR="00525ACE">
          <w:rPr>
            <w:noProof/>
            <w:webHidden/>
          </w:rPr>
          <w:fldChar w:fldCharType="begin"/>
        </w:r>
        <w:r w:rsidR="00525ACE">
          <w:rPr>
            <w:noProof/>
            <w:webHidden/>
          </w:rPr>
          <w:instrText xml:space="preserve"> PAGEREF _Toc144294597 \h </w:instrText>
        </w:r>
        <w:r w:rsidR="00525ACE">
          <w:rPr>
            <w:noProof/>
            <w:webHidden/>
          </w:rPr>
        </w:r>
        <w:r w:rsidR="00525ACE">
          <w:rPr>
            <w:noProof/>
            <w:webHidden/>
          </w:rPr>
          <w:fldChar w:fldCharType="separate"/>
        </w:r>
        <w:r w:rsidR="00525ACE">
          <w:rPr>
            <w:noProof/>
            <w:webHidden/>
          </w:rPr>
          <w:t>4</w:t>
        </w:r>
        <w:r w:rsidR="00525ACE">
          <w:rPr>
            <w:noProof/>
            <w:webHidden/>
          </w:rPr>
          <w:fldChar w:fldCharType="end"/>
        </w:r>
      </w:hyperlink>
    </w:p>
    <w:p w14:paraId="658EAB63" w14:textId="29B5F062" w:rsidR="00525ACE" w:rsidRDefault="00000000">
      <w:pPr>
        <w:pStyle w:val="TOC1"/>
        <w:tabs>
          <w:tab w:val="left" w:pos="420"/>
          <w:tab w:val="right" w:leader="dot" w:pos="12950"/>
        </w:tabs>
        <w:rPr>
          <w:rFonts w:eastAsiaTheme="minorEastAsia"/>
          <w:b w:val="0"/>
          <w:bCs w:val="0"/>
          <w:i w:val="0"/>
          <w:iCs w:val="0"/>
          <w:noProof/>
          <w:sz w:val="22"/>
          <w:szCs w:val="22"/>
          <w:lang w:val="en-GB"/>
          <w14:ligatures w14:val="standardContextual"/>
        </w:rPr>
      </w:pPr>
      <w:hyperlink w:anchor="_Toc144294598" w:history="1">
        <w:r w:rsidR="00525ACE" w:rsidRPr="00916240">
          <w:rPr>
            <w:rStyle w:val="Hyperlink"/>
            <w:rFonts w:ascii="Times New Roman" w:hAnsi="Times New Roman" w:cs="Times New Roman"/>
            <w:noProof/>
          </w:rPr>
          <w:t>2.</w:t>
        </w:r>
        <w:r w:rsidR="00525ACE">
          <w:rPr>
            <w:rFonts w:eastAsiaTheme="minorEastAsia"/>
            <w:b w:val="0"/>
            <w:bCs w:val="0"/>
            <w:i w:val="0"/>
            <w:iCs w:val="0"/>
            <w:noProof/>
            <w:sz w:val="22"/>
            <w:szCs w:val="22"/>
            <w:lang w:val="en-GB"/>
            <w14:ligatures w14:val="standardContextual"/>
          </w:rPr>
          <w:tab/>
        </w:r>
        <w:r w:rsidR="00525ACE" w:rsidRPr="00916240">
          <w:rPr>
            <w:rStyle w:val="Hyperlink"/>
            <w:rFonts w:ascii="Times New Roman" w:hAnsi="Times New Roman" w:cs="Times New Roman"/>
            <w:noProof/>
          </w:rPr>
          <w:t>Conceptual framework</w:t>
        </w:r>
        <w:r w:rsidR="00525ACE">
          <w:rPr>
            <w:noProof/>
            <w:webHidden/>
          </w:rPr>
          <w:tab/>
        </w:r>
        <w:r w:rsidR="00525ACE">
          <w:rPr>
            <w:noProof/>
            <w:webHidden/>
          </w:rPr>
          <w:fldChar w:fldCharType="begin"/>
        </w:r>
        <w:r w:rsidR="00525ACE">
          <w:rPr>
            <w:noProof/>
            <w:webHidden/>
          </w:rPr>
          <w:instrText xml:space="preserve"> PAGEREF _Toc144294598 \h </w:instrText>
        </w:r>
        <w:r w:rsidR="00525ACE">
          <w:rPr>
            <w:noProof/>
            <w:webHidden/>
          </w:rPr>
        </w:r>
        <w:r w:rsidR="00525ACE">
          <w:rPr>
            <w:noProof/>
            <w:webHidden/>
          </w:rPr>
          <w:fldChar w:fldCharType="separate"/>
        </w:r>
        <w:r w:rsidR="00525ACE">
          <w:rPr>
            <w:noProof/>
            <w:webHidden/>
          </w:rPr>
          <w:t>5</w:t>
        </w:r>
        <w:r w:rsidR="00525ACE">
          <w:rPr>
            <w:noProof/>
            <w:webHidden/>
          </w:rPr>
          <w:fldChar w:fldCharType="end"/>
        </w:r>
      </w:hyperlink>
    </w:p>
    <w:p w14:paraId="2D51DB51" w14:textId="4A33D5F4" w:rsidR="00525ACE" w:rsidRDefault="00000000">
      <w:pPr>
        <w:pStyle w:val="TOC2"/>
        <w:tabs>
          <w:tab w:val="right" w:leader="dot" w:pos="12950"/>
        </w:tabs>
        <w:rPr>
          <w:rFonts w:eastAsiaTheme="minorEastAsia"/>
          <w:b w:val="0"/>
          <w:bCs w:val="0"/>
          <w:noProof/>
          <w:lang w:val="en-GB"/>
          <w14:ligatures w14:val="standardContextual"/>
        </w:rPr>
      </w:pPr>
      <w:hyperlink w:anchor="_Toc144294599" w:history="1">
        <w:r w:rsidR="00525ACE" w:rsidRPr="00916240">
          <w:rPr>
            <w:rStyle w:val="Hyperlink"/>
            <w:rFonts w:ascii="Times New Roman" w:hAnsi="Times New Roman" w:cs="Times New Roman"/>
            <w:noProof/>
          </w:rPr>
          <w:t>Table S3 Conceptual framework of measuring treatment burden in people with T2DM</w:t>
        </w:r>
        <w:r w:rsidR="00525ACE">
          <w:rPr>
            <w:noProof/>
            <w:webHidden/>
          </w:rPr>
          <w:tab/>
        </w:r>
        <w:r w:rsidR="00525ACE">
          <w:rPr>
            <w:noProof/>
            <w:webHidden/>
          </w:rPr>
          <w:fldChar w:fldCharType="begin"/>
        </w:r>
        <w:r w:rsidR="00525ACE">
          <w:rPr>
            <w:noProof/>
            <w:webHidden/>
          </w:rPr>
          <w:instrText xml:space="preserve"> PAGEREF _Toc144294599 \h </w:instrText>
        </w:r>
        <w:r w:rsidR="00525ACE">
          <w:rPr>
            <w:noProof/>
            <w:webHidden/>
          </w:rPr>
        </w:r>
        <w:r w:rsidR="00525ACE">
          <w:rPr>
            <w:noProof/>
            <w:webHidden/>
          </w:rPr>
          <w:fldChar w:fldCharType="separate"/>
        </w:r>
        <w:r w:rsidR="00525ACE">
          <w:rPr>
            <w:noProof/>
            <w:webHidden/>
          </w:rPr>
          <w:t>5</w:t>
        </w:r>
        <w:r w:rsidR="00525ACE">
          <w:rPr>
            <w:noProof/>
            <w:webHidden/>
          </w:rPr>
          <w:fldChar w:fldCharType="end"/>
        </w:r>
      </w:hyperlink>
    </w:p>
    <w:p w14:paraId="385790E9" w14:textId="6B381630" w:rsidR="00525ACE" w:rsidRDefault="00000000">
      <w:pPr>
        <w:pStyle w:val="TOC2"/>
        <w:tabs>
          <w:tab w:val="right" w:leader="dot" w:pos="12950"/>
        </w:tabs>
        <w:rPr>
          <w:rFonts w:eastAsiaTheme="minorEastAsia"/>
          <w:b w:val="0"/>
          <w:bCs w:val="0"/>
          <w:noProof/>
          <w:lang w:val="en-GB"/>
          <w14:ligatures w14:val="standardContextual"/>
        </w:rPr>
      </w:pPr>
      <w:hyperlink w:anchor="_Toc144294600" w:history="1">
        <w:r w:rsidR="00525ACE" w:rsidRPr="00916240">
          <w:rPr>
            <w:rStyle w:val="Hyperlink"/>
            <w:rFonts w:ascii="Times New Roman" w:hAnsi="Times New Roman" w:cs="Times New Roman"/>
            <w:noProof/>
          </w:rPr>
          <w:t>Table S4 Result of PPI panel feedback evaluation</w:t>
        </w:r>
        <w:r w:rsidR="00525ACE">
          <w:rPr>
            <w:noProof/>
            <w:webHidden/>
          </w:rPr>
          <w:tab/>
        </w:r>
        <w:r w:rsidR="00525ACE">
          <w:rPr>
            <w:noProof/>
            <w:webHidden/>
          </w:rPr>
          <w:fldChar w:fldCharType="begin"/>
        </w:r>
        <w:r w:rsidR="00525ACE">
          <w:rPr>
            <w:noProof/>
            <w:webHidden/>
          </w:rPr>
          <w:instrText xml:space="preserve"> PAGEREF _Toc144294600 \h </w:instrText>
        </w:r>
        <w:r w:rsidR="00525ACE">
          <w:rPr>
            <w:noProof/>
            <w:webHidden/>
          </w:rPr>
        </w:r>
        <w:r w:rsidR="00525ACE">
          <w:rPr>
            <w:noProof/>
            <w:webHidden/>
          </w:rPr>
          <w:fldChar w:fldCharType="separate"/>
        </w:r>
        <w:r w:rsidR="00525ACE">
          <w:rPr>
            <w:noProof/>
            <w:webHidden/>
          </w:rPr>
          <w:t>11</w:t>
        </w:r>
        <w:r w:rsidR="00525ACE">
          <w:rPr>
            <w:noProof/>
            <w:webHidden/>
          </w:rPr>
          <w:fldChar w:fldCharType="end"/>
        </w:r>
      </w:hyperlink>
    </w:p>
    <w:p w14:paraId="125F165C" w14:textId="20F14D57" w:rsidR="00525ACE" w:rsidRDefault="00000000">
      <w:pPr>
        <w:pStyle w:val="TOC2"/>
        <w:tabs>
          <w:tab w:val="right" w:leader="dot" w:pos="12950"/>
        </w:tabs>
        <w:rPr>
          <w:rFonts w:eastAsiaTheme="minorEastAsia"/>
          <w:b w:val="0"/>
          <w:bCs w:val="0"/>
          <w:noProof/>
          <w:lang w:val="en-GB"/>
          <w14:ligatures w14:val="standardContextual"/>
        </w:rPr>
      </w:pPr>
      <w:hyperlink w:anchor="_Toc144294601" w:history="1">
        <w:r w:rsidR="00525ACE" w:rsidRPr="00916240">
          <w:rPr>
            <w:rStyle w:val="Hyperlink"/>
            <w:rFonts w:ascii="Times New Roman" w:hAnsi="Times New Roman" w:cs="Times New Roman"/>
            <w:noProof/>
          </w:rPr>
          <w:t>Table S5 Number of conceptual framework themes covered</w:t>
        </w:r>
        <w:r w:rsidR="00525ACE">
          <w:rPr>
            <w:noProof/>
            <w:webHidden/>
          </w:rPr>
          <w:tab/>
        </w:r>
        <w:r w:rsidR="00525ACE">
          <w:rPr>
            <w:noProof/>
            <w:webHidden/>
          </w:rPr>
          <w:fldChar w:fldCharType="begin"/>
        </w:r>
        <w:r w:rsidR="00525ACE">
          <w:rPr>
            <w:noProof/>
            <w:webHidden/>
          </w:rPr>
          <w:instrText xml:space="preserve"> PAGEREF _Toc144294601 \h </w:instrText>
        </w:r>
        <w:r w:rsidR="00525ACE">
          <w:rPr>
            <w:noProof/>
            <w:webHidden/>
          </w:rPr>
        </w:r>
        <w:r w:rsidR="00525ACE">
          <w:rPr>
            <w:noProof/>
            <w:webHidden/>
          </w:rPr>
          <w:fldChar w:fldCharType="separate"/>
        </w:r>
        <w:r w:rsidR="00525ACE">
          <w:rPr>
            <w:noProof/>
            <w:webHidden/>
          </w:rPr>
          <w:t>11</w:t>
        </w:r>
        <w:r w:rsidR="00525ACE">
          <w:rPr>
            <w:noProof/>
            <w:webHidden/>
          </w:rPr>
          <w:fldChar w:fldCharType="end"/>
        </w:r>
      </w:hyperlink>
    </w:p>
    <w:p w14:paraId="57E84B80" w14:textId="64E9877C" w:rsidR="007F79F5" w:rsidRDefault="00D11424" w:rsidP="007F79F5">
      <w:pPr>
        <w:rPr>
          <w:rFonts w:ascii="Times New Roman" w:hAnsi="Times New Roman" w:cs="Times New Roman"/>
          <w:b/>
          <w:bCs/>
          <w:color w:val="000000"/>
          <w:sz w:val="20"/>
          <w:szCs w:val="20"/>
        </w:rPr>
      </w:pPr>
      <w:r>
        <w:rPr>
          <w:rFonts w:ascii="Times New Roman" w:hAnsi="Times New Roman" w:cs="Times New Roman"/>
          <w:b/>
          <w:bCs/>
          <w:color w:val="000000"/>
          <w:sz w:val="20"/>
          <w:szCs w:val="20"/>
        </w:rPr>
        <w:fldChar w:fldCharType="end"/>
      </w:r>
    </w:p>
    <w:p w14:paraId="5C1E5CC7" w14:textId="77777777" w:rsidR="00D11424" w:rsidRDefault="00D11424" w:rsidP="007F79F5">
      <w:pPr>
        <w:rPr>
          <w:rFonts w:ascii="Times New Roman" w:hAnsi="Times New Roman" w:cs="Times New Roman"/>
          <w:b/>
          <w:bCs/>
          <w:color w:val="000000"/>
          <w:sz w:val="20"/>
          <w:szCs w:val="20"/>
        </w:rPr>
      </w:pPr>
    </w:p>
    <w:p w14:paraId="71BDFD34" w14:textId="77777777" w:rsidR="00D11424" w:rsidRDefault="00D11424" w:rsidP="007F79F5">
      <w:pPr>
        <w:rPr>
          <w:rFonts w:ascii="Times New Roman" w:hAnsi="Times New Roman" w:cs="Times New Roman"/>
          <w:b/>
          <w:bCs/>
          <w:color w:val="000000"/>
          <w:sz w:val="20"/>
          <w:szCs w:val="20"/>
        </w:rPr>
      </w:pPr>
    </w:p>
    <w:p w14:paraId="10AAD0F9" w14:textId="77777777" w:rsidR="00D11424" w:rsidRDefault="00D11424" w:rsidP="007F79F5">
      <w:pPr>
        <w:rPr>
          <w:rFonts w:ascii="Times New Roman" w:hAnsi="Times New Roman" w:cs="Times New Roman"/>
          <w:b/>
          <w:bCs/>
          <w:color w:val="000000"/>
          <w:sz w:val="20"/>
          <w:szCs w:val="20"/>
        </w:rPr>
      </w:pPr>
    </w:p>
    <w:p w14:paraId="52FA3ACD" w14:textId="77777777" w:rsidR="00D11424" w:rsidRDefault="00D11424" w:rsidP="007F79F5">
      <w:pPr>
        <w:rPr>
          <w:rFonts w:ascii="Times New Roman" w:hAnsi="Times New Roman" w:cs="Times New Roman"/>
          <w:b/>
          <w:bCs/>
          <w:color w:val="000000"/>
          <w:sz w:val="20"/>
          <w:szCs w:val="20"/>
        </w:rPr>
      </w:pPr>
    </w:p>
    <w:p w14:paraId="25C8F78C" w14:textId="77777777" w:rsidR="00D11424" w:rsidRDefault="00D11424" w:rsidP="007F79F5">
      <w:pPr>
        <w:rPr>
          <w:rFonts w:ascii="Times New Roman" w:hAnsi="Times New Roman" w:cs="Times New Roman"/>
          <w:b/>
          <w:bCs/>
          <w:color w:val="000000"/>
          <w:sz w:val="20"/>
          <w:szCs w:val="20"/>
        </w:rPr>
      </w:pPr>
    </w:p>
    <w:p w14:paraId="053523EB" w14:textId="77777777" w:rsidR="00D11424" w:rsidRDefault="00D11424" w:rsidP="007F79F5">
      <w:pPr>
        <w:rPr>
          <w:rFonts w:ascii="Times New Roman" w:hAnsi="Times New Roman" w:cs="Times New Roman"/>
          <w:b/>
          <w:bCs/>
          <w:color w:val="000000"/>
          <w:sz w:val="20"/>
          <w:szCs w:val="20"/>
        </w:rPr>
      </w:pPr>
    </w:p>
    <w:p w14:paraId="7CB78E71" w14:textId="77777777" w:rsidR="00D11424" w:rsidRDefault="00D11424" w:rsidP="007F79F5">
      <w:pPr>
        <w:rPr>
          <w:rFonts w:ascii="Times New Roman" w:hAnsi="Times New Roman" w:cs="Times New Roman"/>
          <w:b/>
          <w:bCs/>
          <w:color w:val="000000"/>
          <w:sz w:val="20"/>
          <w:szCs w:val="20"/>
        </w:rPr>
      </w:pPr>
    </w:p>
    <w:p w14:paraId="103E5F29" w14:textId="77777777" w:rsidR="00D11424" w:rsidRDefault="00D11424" w:rsidP="007F79F5">
      <w:pPr>
        <w:rPr>
          <w:rFonts w:ascii="Times New Roman" w:hAnsi="Times New Roman" w:cs="Times New Roman"/>
          <w:b/>
          <w:bCs/>
          <w:color w:val="000000"/>
          <w:sz w:val="20"/>
          <w:szCs w:val="20"/>
        </w:rPr>
      </w:pPr>
    </w:p>
    <w:p w14:paraId="1CDEDB56" w14:textId="77777777" w:rsidR="00D11424" w:rsidRDefault="00D11424" w:rsidP="007F79F5">
      <w:pPr>
        <w:rPr>
          <w:rFonts w:ascii="Times New Roman" w:hAnsi="Times New Roman" w:cs="Times New Roman"/>
          <w:b/>
          <w:bCs/>
          <w:color w:val="000000"/>
          <w:sz w:val="20"/>
          <w:szCs w:val="20"/>
        </w:rPr>
      </w:pPr>
    </w:p>
    <w:p w14:paraId="518671EE" w14:textId="77777777" w:rsidR="00D11424" w:rsidRDefault="00D11424" w:rsidP="007F79F5">
      <w:pPr>
        <w:rPr>
          <w:rFonts w:ascii="Times New Roman" w:hAnsi="Times New Roman" w:cs="Times New Roman"/>
          <w:b/>
          <w:bCs/>
          <w:color w:val="000000"/>
          <w:sz w:val="20"/>
          <w:szCs w:val="20"/>
        </w:rPr>
      </w:pPr>
    </w:p>
    <w:p w14:paraId="394DE9D0" w14:textId="77777777" w:rsidR="00D11424" w:rsidRDefault="00D11424" w:rsidP="007F79F5">
      <w:pPr>
        <w:rPr>
          <w:rFonts w:ascii="Times New Roman" w:hAnsi="Times New Roman" w:cs="Times New Roman"/>
          <w:b/>
          <w:bCs/>
          <w:color w:val="000000"/>
          <w:sz w:val="20"/>
          <w:szCs w:val="20"/>
        </w:rPr>
      </w:pPr>
    </w:p>
    <w:p w14:paraId="00C6DEEB" w14:textId="77777777" w:rsidR="00D11424" w:rsidRDefault="00D11424" w:rsidP="007F79F5">
      <w:pPr>
        <w:rPr>
          <w:rFonts w:ascii="Times New Roman" w:hAnsi="Times New Roman" w:cs="Times New Roman"/>
          <w:b/>
          <w:bCs/>
          <w:color w:val="000000"/>
          <w:sz w:val="20"/>
          <w:szCs w:val="20"/>
        </w:rPr>
      </w:pPr>
    </w:p>
    <w:p w14:paraId="05CBA69D" w14:textId="77777777" w:rsidR="00D11424" w:rsidRDefault="00D11424" w:rsidP="007F79F5">
      <w:pPr>
        <w:rPr>
          <w:rFonts w:ascii="Times New Roman" w:hAnsi="Times New Roman" w:cs="Times New Roman"/>
          <w:b/>
          <w:bCs/>
          <w:color w:val="000000"/>
          <w:sz w:val="20"/>
          <w:szCs w:val="20"/>
        </w:rPr>
      </w:pPr>
    </w:p>
    <w:p w14:paraId="66192C67" w14:textId="77777777" w:rsidR="00D11424" w:rsidRDefault="00D11424" w:rsidP="007F79F5">
      <w:pPr>
        <w:rPr>
          <w:rFonts w:ascii="Times New Roman" w:hAnsi="Times New Roman" w:cs="Times New Roman"/>
          <w:b/>
          <w:bCs/>
          <w:color w:val="000000"/>
          <w:sz w:val="20"/>
          <w:szCs w:val="20"/>
        </w:rPr>
      </w:pPr>
    </w:p>
    <w:p w14:paraId="439AF4D0" w14:textId="77777777" w:rsidR="00D11424" w:rsidRDefault="00D11424" w:rsidP="007F79F5">
      <w:pPr>
        <w:rPr>
          <w:rFonts w:ascii="Times New Roman" w:hAnsi="Times New Roman" w:cs="Times New Roman"/>
          <w:b/>
          <w:bCs/>
          <w:color w:val="000000"/>
          <w:sz w:val="20"/>
          <w:szCs w:val="20"/>
        </w:rPr>
      </w:pPr>
    </w:p>
    <w:p w14:paraId="2A6B64B0" w14:textId="77777777" w:rsidR="00D11424" w:rsidRPr="00D11424" w:rsidRDefault="00D11424" w:rsidP="007F79F5">
      <w:pPr>
        <w:rPr>
          <w:rFonts w:ascii="Times New Roman" w:hAnsi="Times New Roman" w:cs="Times New Roman"/>
          <w:b/>
          <w:bCs/>
          <w:color w:val="000000"/>
          <w:sz w:val="20"/>
          <w:szCs w:val="20"/>
        </w:rPr>
      </w:pPr>
    </w:p>
    <w:p w14:paraId="7E2896EB" w14:textId="4058B4FC" w:rsidR="00B6733B" w:rsidRPr="007F79F5" w:rsidRDefault="00B6733B" w:rsidP="007F79F5">
      <w:pPr>
        <w:pStyle w:val="1"/>
        <w:numPr>
          <w:ilvl w:val="0"/>
          <w:numId w:val="8"/>
        </w:numPr>
        <w:spacing w:before="240"/>
        <w:ind w:left="360"/>
        <w:rPr>
          <w:rFonts w:ascii="Times New Roman" w:hAnsi="Times New Roman" w:cs="Times New Roman"/>
          <w:sz w:val="20"/>
          <w:szCs w:val="20"/>
        </w:rPr>
      </w:pPr>
      <w:bookmarkStart w:id="0" w:name="_Toc131670031"/>
      <w:bookmarkStart w:id="1" w:name="_Toc137639158"/>
      <w:bookmarkStart w:id="2" w:name="_Toc144294595"/>
      <w:r w:rsidRPr="007F79F5">
        <w:rPr>
          <w:rFonts w:ascii="Times New Roman" w:hAnsi="Times New Roman" w:cs="Times New Roman"/>
          <w:sz w:val="20"/>
          <w:szCs w:val="20"/>
        </w:rPr>
        <w:lastRenderedPageBreak/>
        <w:t>Search</w:t>
      </w:r>
      <w:r w:rsidR="00C3569E" w:rsidRPr="007F79F5">
        <w:rPr>
          <w:rFonts w:ascii="Times New Roman" w:hAnsi="Times New Roman" w:cs="Times New Roman"/>
          <w:sz w:val="20"/>
          <w:szCs w:val="20"/>
        </w:rPr>
        <w:t>ing for literature</w:t>
      </w:r>
      <w:bookmarkEnd w:id="0"/>
      <w:bookmarkEnd w:id="1"/>
      <w:bookmarkEnd w:id="2"/>
    </w:p>
    <w:p w14:paraId="097285F8" w14:textId="1EB68114" w:rsidR="00C3569E" w:rsidRPr="007F79F5" w:rsidRDefault="001D50A8" w:rsidP="007F79F5">
      <w:pPr>
        <w:pStyle w:val="2"/>
        <w:spacing w:before="0" w:after="120"/>
        <w:rPr>
          <w:rFonts w:ascii="Times New Roman" w:hAnsi="Times New Roman" w:cs="Times New Roman"/>
          <w:sz w:val="20"/>
          <w:szCs w:val="20"/>
        </w:rPr>
      </w:pPr>
      <w:bookmarkStart w:id="3" w:name="_Toc131670039"/>
      <w:bookmarkStart w:id="4" w:name="_Toc137639159"/>
      <w:bookmarkStart w:id="5" w:name="_Hlk128133791"/>
      <w:bookmarkStart w:id="6" w:name="_Toc144294596"/>
      <w:r w:rsidRPr="007F79F5">
        <w:rPr>
          <w:rFonts w:ascii="Times New Roman" w:hAnsi="Times New Roman" w:cs="Times New Roman"/>
          <w:sz w:val="20"/>
          <w:szCs w:val="20"/>
        </w:rPr>
        <w:t xml:space="preserve">Table </w:t>
      </w:r>
      <w:r w:rsidR="007101FC" w:rsidRPr="007F79F5">
        <w:rPr>
          <w:rFonts w:ascii="Times New Roman" w:hAnsi="Times New Roman" w:cs="Times New Roman"/>
          <w:sz w:val="20"/>
          <w:szCs w:val="20"/>
        </w:rPr>
        <w:t>S</w:t>
      </w:r>
      <w:r w:rsidRPr="007F79F5">
        <w:rPr>
          <w:rFonts w:ascii="Times New Roman" w:hAnsi="Times New Roman" w:cs="Times New Roman"/>
          <w:sz w:val="20"/>
          <w:szCs w:val="20"/>
        </w:rPr>
        <w:t xml:space="preserve">1 </w:t>
      </w:r>
      <w:bookmarkStart w:id="7" w:name="_Toc131670033"/>
      <w:bookmarkStart w:id="8" w:name="_Toc137639160"/>
      <w:bookmarkEnd w:id="3"/>
      <w:bookmarkEnd w:id="4"/>
      <w:bookmarkEnd w:id="5"/>
      <w:r w:rsidR="009D2C02" w:rsidRPr="007F79F5">
        <w:rPr>
          <w:rFonts w:ascii="Times New Roman" w:hAnsi="Times New Roman" w:cs="Times New Roman"/>
          <w:sz w:val="20"/>
          <w:szCs w:val="20"/>
        </w:rPr>
        <w:t>Retrieval formula for English health-based databases:</w:t>
      </w:r>
      <w:bookmarkEnd w:id="6"/>
      <w:bookmarkEnd w:id="7"/>
      <w:bookmarkEnd w:id="8"/>
    </w:p>
    <w:tbl>
      <w:tblPr>
        <w:tblStyle w:val="TableGrid"/>
        <w:tblW w:w="13036" w:type="dxa"/>
        <w:tblLook w:val="04A0" w:firstRow="1" w:lastRow="0" w:firstColumn="1" w:lastColumn="0" w:noHBand="0" w:noVBand="1"/>
      </w:tblPr>
      <w:tblGrid>
        <w:gridCol w:w="13036"/>
      </w:tblGrid>
      <w:tr w:rsidR="009D2C02" w:rsidRPr="007F79F5" w14:paraId="47A635CD" w14:textId="77777777" w:rsidTr="00923FFE">
        <w:tc>
          <w:tcPr>
            <w:tcW w:w="13036" w:type="dxa"/>
          </w:tcPr>
          <w:p w14:paraId="79FF066B" w14:textId="57D3EBA3" w:rsidR="009D2C02" w:rsidRPr="007F79F5" w:rsidRDefault="009D2C02" w:rsidP="007F79F5">
            <w:pPr>
              <w:rPr>
                <w:rFonts w:ascii="Times New Roman" w:eastAsiaTheme="minorHAnsi" w:hAnsi="Times New Roman" w:cs="Times New Roman"/>
                <w:sz w:val="20"/>
                <w:szCs w:val="20"/>
              </w:rPr>
            </w:pPr>
            <w:r w:rsidRPr="007F79F5">
              <w:rPr>
                <w:rFonts w:ascii="Times New Roman" w:eastAsiaTheme="minorHAnsi" w:hAnsi="Times New Roman" w:cs="Times New Roman"/>
                <w:sz w:val="20"/>
                <w:szCs w:val="20"/>
              </w:rPr>
              <w:t>Embase</w:t>
            </w:r>
          </w:p>
        </w:tc>
      </w:tr>
      <w:tr w:rsidR="009D2C02" w:rsidRPr="007F79F5" w14:paraId="431302CB" w14:textId="77777777" w:rsidTr="00923FFE">
        <w:tc>
          <w:tcPr>
            <w:tcW w:w="13036" w:type="dxa"/>
          </w:tcPr>
          <w:p w14:paraId="6D8765B5" w14:textId="022505E8" w:rsidR="009D2C02" w:rsidRPr="007F79F5" w:rsidRDefault="009D2C02" w:rsidP="007F79F5">
            <w:pPr>
              <w:ind w:firstLine="420"/>
              <w:jc w:val="left"/>
              <w:rPr>
                <w:rFonts w:ascii="Times New Roman" w:eastAsiaTheme="minorHAnsi" w:hAnsi="Times New Roman" w:cs="Times New Roman"/>
                <w:sz w:val="20"/>
                <w:szCs w:val="20"/>
              </w:rPr>
            </w:pPr>
            <w:r w:rsidRPr="007F79F5">
              <w:rPr>
                <w:rFonts w:ascii="Times New Roman" w:eastAsiaTheme="minorHAnsi" w:hAnsi="Times New Roman" w:cs="Times New Roman"/>
                <w:sz w:val="20"/>
                <w:szCs w:val="20"/>
              </w:rPr>
              <w:t xml:space="preserve">#1 'type 2 diabetes' </w:t>
            </w:r>
          </w:p>
          <w:p w14:paraId="7E55B887" w14:textId="5BBAE06A" w:rsidR="009D2C02" w:rsidRPr="007F79F5" w:rsidRDefault="009D2C02" w:rsidP="007F79F5">
            <w:pPr>
              <w:ind w:firstLine="420"/>
              <w:jc w:val="left"/>
              <w:rPr>
                <w:rFonts w:ascii="Times New Roman" w:eastAsiaTheme="minorHAnsi" w:hAnsi="Times New Roman" w:cs="Times New Roman"/>
                <w:sz w:val="20"/>
                <w:szCs w:val="20"/>
              </w:rPr>
            </w:pPr>
            <w:r w:rsidRPr="007F79F5">
              <w:rPr>
                <w:rFonts w:ascii="Times New Roman" w:eastAsiaTheme="minorHAnsi" w:hAnsi="Times New Roman" w:cs="Times New Roman"/>
                <w:sz w:val="20"/>
                <w:szCs w:val="20"/>
              </w:rPr>
              <w:t xml:space="preserve">#2 't2d*' </w:t>
            </w:r>
          </w:p>
          <w:p w14:paraId="399502E9" w14:textId="1AD7A0F5" w:rsidR="009D2C02" w:rsidRPr="007F79F5" w:rsidRDefault="009D2C02" w:rsidP="007F79F5">
            <w:pPr>
              <w:ind w:firstLine="420"/>
              <w:jc w:val="left"/>
              <w:rPr>
                <w:rFonts w:ascii="Times New Roman" w:eastAsiaTheme="minorHAnsi" w:hAnsi="Times New Roman" w:cs="Times New Roman"/>
                <w:sz w:val="20"/>
                <w:szCs w:val="20"/>
              </w:rPr>
            </w:pPr>
            <w:r w:rsidRPr="007F79F5">
              <w:rPr>
                <w:rFonts w:ascii="Times New Roman" w:eastAsiaTheme="minorHAnsi" w:hAnsi="Times New Roman" w:cs="Times New Roman"/>
                <w:sz w:val="20"/>
                <w:szCs w:val="20"/>
              </w:rPr>
              <w:t xml:space="preserve">#3 'non insulin dependent diabetes mellitus' </w:t>
            </w:r>
          </w:p>
          <w:p w14:paraId="249D85D4" w14:textId="5158CF0C" w:rsidR="009D2C02" w:rsidRPr="007F79F5" w:rsidRDefault="009D2C02" w:rsidP="007F79F5">
            <w:pPr>
              <w:ind w:firstLine="420"/>
              <w:jc w:val="left"/>
              <w:rPr>
                <w:rFonts w:ascii="Times New Roman" w:eastAsiaTheme="minorHAnsi" w:hAnsi="Times New Roman" w:cs="Times New Roman"/>
                <w:sz w:val="20"/>
                <w:szCs w:val="20"/>
              </w:rPr>
            </w:pPr>
            <w:r w:rsidRPr="007F79F5">
              <w:rPr>
                <w:rFonts w:ascii="Times New Roman" w:eastAsiaTheme="minorHAnsi" w:hAnsi="Times New Roman" w:cs="Times New Roman"/>
                <w:sz w:val="20"/>
                <w:szCs w:val="20"/>
              </w:rPr>
              <w:t xml:space="preserve">#4 #1 OR #2 OR #3 </w:t>
            </w:r>
          </w:p>
          <w:p w14:paraId="4A23E00B" w14:textId="4FAE7779" w:rsidR="009D2C02" w:rsidRPr="007F79F5" w:rsidRDefault="009D2C02" w:rsidP="007F79F5">
            <w:pPr>
              <w:ind w:firstLine="420"/>
              <w:jc w:val="left"/>
              <w:rPr>
                <w:rFonts w:ascii="Times New Roman" w:eastAsiaTheme="minorHAnsi" w:hAnsi="Times New Roman" w:cs="Times New Roman"/>
                <w:sz w:val="20"/>
                <w:szCs w:val="20"/>
              </w:rPr>
            </w:pPr>
            <w:r w:rsidRPr="007F79F5">
              <w:rPr>
                <w:rFonts w:ascii="Times New Roman" w:eastAsiaTheme="minorHAnsi" w:hAnsi="Times New Roman" w:cs="Times New Roman"/>
                <w:sz w:val="20"/>
                <w:szCs w:val="20"/>
              </w:rPr>
              <w:t xml:space="preserve">#5 medication </w:t>
            </w:r>
          </w:p>
          <w:p w14:paraId="5D56F184" w14:textId="7594F836" w:rsidR="009D2C02" w:rsidRPr="007F79F5" w:rsidRDefault="009D2C02" w:rsidP="007F79F5">
            <w:pPr>
              <w:ind w:firstLine="420"/>
              <w:jc w:val="left"/>
              <w:rPr>
                <w:rFonts w:ascii="Times New Roman" w:eastAsiaTheme="minorHAnsi" w:hAnsi="Times New Roman" w:cs="Times New Roman"/>
                <w:sz w:val="20"/>
                <w:szCs w:val="20"/>
              </w:rPr>
            </w:pPr>
            <w:r w:rsidRPr="007F79F5">
              <w:rPr>
                <w:rFonts w:ascii="Times New Roman" w:eastAsiaTheme="minorHAnsi" w:hAnsi="Times New Roman" w:cs="Times New Roman"/>
                <w:sz w:val="20"/>
                <w:szCs w:val="20"/>
              </w:rPr>
              <w:t xml:space="preserve">#6 treatment </w:t>
            </w:r>
          </w:p>
          <w:p w14:paraId="6B7C47E4" w14:textId="2C3065A3" w:rsidR="009D2C02" w:rsidRPr="007F79F5" w:rsidRDefault="009D2C02" w:rsidP="007F79F5">
            <w:pPr>
              <w:ind w:firstLine="420"/>
              <w:jc w:val="left"/>
              <w:rPr>
                <w:rFonts w:ascii="Times New Roman" w:eastAsiaTheme="minorHAnsi" w:hAnsi="Times New Roman" w:cs="Times New Roman"/>
                <w:sz w:val="20"/>
                <w:szCs w:val="20"/>
              </w:rPr>
            </w:pPr>
            <w:r w:rsidRPr="007F79F5">
              <w:rPr>
                <w:rFonts w:ascii="Times New Roman" w:eastAsiaTheme="minorHAnsi" w:hAnsi="Times New Roman" w:cs="Times New Roman"/>
                <w:sz w:val="20"/>
                <w:szCs w:val="20"/>
              </w:rPr>
              <w:t xml:space="preserve">#7 intervention </w:t>
            </w:r>
          </w:p>
          <w:p w14:paraId="19DEE819" w14:textId="2E6139D1" w:rsidR="009D2C02" w:rsidRPr="007F79F5" w:rsidRDefault="009D2C02" w:rsidP="007F79F5">
            <w:pPr>
              <w:ind w:firstLine="420"/>
              <w:jc w:val="left"/>
              <w:rPr>
                <w:rFonts w:ascii="Times New Roman" w:eastAsiaTheme="minorHAnsi" w:hAnsi="Times New Roman" w:cs="Times New Roman"/>
                <w:sz w:val="20"/>
                <w:szCs w:val="20"/>
              </w:rPr>
            </w:pPr>
            <w:r w:rsidRPr="007F79F5">
              <w:rPr>
                <w:rFonts w:ascii="Times New Roman" w:eastAsiaTheme="minorHAnsi" w:hAnsi="Times New Roman" w:cs="Times New Roman"/>
                <w:sz w:val="20"/>
                <w:szCs w:val="20"/>
              </w:rPr>
              <w:t xml:space="preserve">#8 therap* </w:t>
            </w:r>
          </w:p>
          <w:p w14:paraId="177ABAB6" w14:textId="62F3C005" w:rsidR="009D2C02" w:rsidRPr="007F79F5" w:rsidRDefault="009D2C02" w:rsidP="007F79F5">
            <w:pPr>
              <w:ind w:firstLine="420"/>
              <w:jc w:val="left"/>
              <w:rPr>
                <w:rFonts w:ascii="Times New Roman" w:eastAsiaTheme="minorHAnsi" w:hAnsi="Times New Roman" w:cs="Times New Roman"/>
                <w:sz w:val="20"/>
                <w:szCs w:val="20"/>
              </w:rPr>
            </w:pPr>
            <w:r w:rsidRPr="007F79F5">
              <w:rPr>
                <w:rFonts w:ascii="Times New Roman" w:eastAsiaTheme="minorHAnsi" w:hAnsi="Times New Roman" w:cs="Times New Roman"/>
                <w:sz w:val="20"/>
                <w:szCs w:val="20"/>
              </w:rPr>
              <w:t xml:space="preserve">#9 #5 OR #6 OR #7 OR #8 </w:t>
            </w:r>
          </w:p>
          <w:p w14:paraId="5A59915C" w14:textId="3C1A6964" w:rsidR="009D2C02" w:rsidRPr="007F79F5" w:rsidRDefault="009D2C02" w:rsidP="007F79F5">
            <w:pPr>
              <w:ind w:firstLine="420"/>
              <w:jc w:val="left"/>
              <w:rPr>
                <w:rFonts w:ascii="Times New Roman" w:eastAsiaTheme="minorHAnsi" w:hAnsi="Times New Roman" w:cs="Times New Roman"/>
                <w:sz w:val="20"/>
                <w:szCs w:val="20"/>
              </w:rPr>
            </w:pPr>
            <w:r w:rsidRPr="007F79F5">
              <w:rPr>
                <w:rFonts w:ascii="Times New Roman" w:eastAsiaTheme="minorHAnsi" w:hAnsi="Times New Roman" w:cs="Times New Roman"/>
                <w:sz w:val="20"/>
                <w:szCs w:val="20"/>
              </w:rPr>
              <w:t xml:space="preserve">#10 burden </w:t>
            </w:r>
          </w:p>
          <w:p w14:paraId="392A6DEF" w14:textId="5C49F88B" w:rsidR="009D2C02" w:rsidRPr="007F79F5" w:rsidRDefault="009D2C02" w:rsidP="007F79F5">
            <w:pPr>
              <w:ind w:firstLine="420"/>
              <w:jc w:val="left"/>
              <w:rPr>
                <w:rFonts w:ascii="Times New Roman" w:eastAsiaTheme="minorHAnsi" w:hAnsi="Times New Roman" w:cs="Times New Roman"/>
                <w:sz w:val="20"/>
                <w:szCs w:val="20"/>
              </w:rPr>
            </w:pPr>
            <w:r w:rsidRPr="007F79F5">
              <w:rPr>
                <w:rFonts w:ascii="Times New Roman" w:eastAsiaTheme="minorHAnsi" w:hAnsi="Times New Roman" w:cs="Times New Roman"/>
                <w:sz w:val="20"/>
                <w:szCs w:val="20"/>
              </w:rPr>
              <w:t xml:space="preserve">#11 workload </w:t>
            </w:r>
          </w:p>
          <w:p w14:paraId="2BC838CD" w14:textId="1CD0D6D2" w:rsidR="009D2C02" w:rsidRPr="007F79F5" w:rsidRDefault="009D2C02" w:rsidP="007F79F5">
            <w:pPr>
              <w:ind w:firstLine="420"/>
              <w:jc w:val="left"/>
              <w:rPr>
                <w:rFonts w:ascii="Times New Roman" w:eastAsiaTheme="minorHAnsi" w:hAnsi="Times New Roman" w:cs="Times New Roman"/>
                <w:sz w:val="20"/>
                <w:szCs w:val="20"/>
              </w:rPr>
            </w:pPr>
            <w:r w:rsidRPr="007F79F5">
              <w:rPr>
                <w:rFonts w:ascii="Times New Roman" w:eastAsiaTheme="minorHAnsi" w:hAnsi="Times New Roman" w:cs="Times New Roman"/>
                <w:sz w:val="20"/>
                <w:szCs w:val="20"/>
              </w:rPr>
              <w:t xml:space="preserve">#12 experience </w:t>
            </w:r>
          </w:p>
          <w:p w14:paraId="3B37D52F" w14:textId="04DAC459" w:rsidR="009D2C02" w:rsidRPr="007F79F5" w:rsidRDefault="009D2C02" w:rsidP="007F79F5">
            <w:pPr>
              <w:ind w:firstLine="420"/>
              <w:jc w:val="left"/>
              <w:rPr>
                <w:rFonts w:ascii="Times New Roman" w:eastAsiaTheme="minorHAnsi" w:hAnsi="Times New Roman" w:cs="Times New Roman"/>
                <w:sz w:val="20"/>
                <w:szCs w:val="20"/>
              </w:rPr>
            </w:pPr>
            <w:r w:rsidRPr="007F79F5">
              <w:rPr>
                <w:rFonts w:ascii="Times New Roman" w:eastAsiaTheme="minorHAnsi" w:hAnsi="Times New Roman" w:cs="Times New Roman"/>
                <w:sz w:val="20"/>
                <w:szCs w:val="20"/>
              </w:rPr>
              <w:t xml:space="preserve">#13 #10 OR #11 OR #12 </w:t>
            </w:r>
          </w:p>
          <w:p w14:paraId="67FA3534" w14:textId="57AB37E3" w:rsidR="009D2C02" w:rsidRPr="007F79F5" w:rsidRDefault="009D2C02" w:rsidP="007F79F5">
            <w:pPr>
              <w:ind w:firstLine="420"/>
              <w:jc w:val="left"/>
              <w:rPr>
                <w:rFonts w:ascii="Times New Roman" w:eastAsiaTheme="minorHAnsi" w:hAnsi="Times New Roman" w:cs="Times New Roman"/>
                <w:sz w:val="20"/>
                <w:szCs w:val="20"/>
              </w:rPr>
            </w:pPr>
            <w:r w:rsidRPr="007F79F5">
              <w:rPr>
                <w:rFonts w:ascii="Times New Roman" w:eastAsiaTheme="minorHAnsi" w:hAnsi="Times New Roman" w:cs="Times New Roman"/>
                <w:sz w:val="20"/>
                <w:szCs w:val="20"/>
              </w:rPr>
              <w:t xml:space="preserve">#14 #9 AND #13 </w:t>
            </w:r>
          </w:p>
          <w:p w14:paraId="04D7F086" w14:textId="5E8BEA16" w:rsidR="009D2C02" w:rsidRPr="007F79F5" w:rsidRDefault="009D2C02" w:rsidP="007F79F5">
            <w:pPr>
              <w:ind w:firstLine="420"/>
              <w:jc w:val="left"/>
              <w:rPr>
                <w:rFonts w:ascii="Times New Roman" w:eastAsiaTheme="minorHAnsi" w:hAnsi="Times New Roman" w:cs="Times New Roman"/>
                <w:sz w:val="20"/>
                <w:szCs w:val="20"/>
              </w:rPr>
            </w:pPr>
            <w:r w:rsidRPr="007F79F5">
              <w:rPr>
                <w:rFonts w:ascii="Times New Roman" w:eastAsiaTheme="minorHAnsi" w:hAnsi="Times New Roman" w:cs="Times New Roman"/>
                <w:sz w:val="20"/>
                <w:szCs w:val="20"/>
              </w:rPr>
              <w:t xml:space="preserve">#15 questionnaire* OR survey* OR instrument* OR scale* OR tool* OR measur* OR assess* OR evaluat* </w:t>
            </w:r>
          </w:p>
          <w:p w14:paraId="48FA3D6B" w14:textId="25F6382D" w:rsidR="009D2C02" w:rsidRPr="007F79F5" w:rsidRDefault="009D2C02" w:rsidP="007F79F5">
            <w:pPr>
              <w:ind w:firstLine="420"/>
              <w:jc w:val="left"/>
              <w:rPr>
                <w:rFonts w:ascii="Times New Roman" w:eastAsiaTheme="minorHAnsi" w:hAnsi="Times New Roman" w:cs="Times New Roman"/>
                <w:sz w:val="20"/>
                <w:szCs w:val="20"/>
              </w:rPr>
            </w:pPr>
            <w:r w:rsidRPr="007F79F5">
              <w:rPr>
                <w:rFonts w:ascii="Times New Roman" w:eastAsiaTheme="minorHAnsi" w:hAnsi="Times New Roman" w:cs="Times New Roman"/>
                <w:sz w:val="20"/>
                <w:szCs w:val="20"/>
              </w:rPr>
              <w:t xml:space="preserve">#16 #4 AND #14 AND #15 </w:t>
            </w:r>
          </w:p>
        </w:tc>
      </w:tr>
    </w:tbl>
    <w:p w14:paraId="7C03E4FF" w14:textId="2BD26BA7" w:rsidR="000E5ACC" w:rsidRPr="007F79F5" w:rsidRDefault="000E5ACC" w:rsidP="007F79F5">
      <w:pPr>
        <w:rPr>
          <w:rFonts w:ascii="Times New Roman" w:eastAsiaTheme="minorHAnsi" w:hAnsi="Times New Roman" w:cs="Times New Roman"/>
          <w:sz w:val="20"/>
          <w:szCs w:val="20"/>
        </w:rPr>
      </w:pPr>
    </w:p>
    <w:tbl>
      <w:tblPr>
        <w:tblStyle w:val="TableGrid"/>
        <w:tblW w:w="13036" w:type="dxa"/>
        <w:tblLook w:val="04A0" w:firstRow="1" w:lastRow="0" w:firstColumn="1" w:lastColumn="0" w:noHBand="0" w:noVBand="1"/>
      </w:tblPr>
      <w:tblGrid>
        <w:gridCol w:w="13036"/>
      </w:tblGrid>
      <w:tr w:rsidR="000E5ACC" w:rsidRPr="007F79F5" w14:paraId="5E746701" w14:textId="77777777" w:rsidTr="00923FFE">
        <w:tc>
          <w:tcPr>
            <w:tcW w:w="13036" w:type="dxa"/>
          </w:tcPr>
          <w:p w14:paraId="6C6449E9" w14:textId="1B110CE8" w:rsidR="000E5ACC" w:rsidRPr="007F79F5" w:rsidRDefault="000E5ACC" w:rsidP="007F79F5">
            <w:pPr>
              <w:rPr>
                <w:rFonts w:ascii="Times New Roman" w:eastAsiaTheme="minorHAnsi" w:hAnsi="Times New Roman" w:cs="Times New Roman"/>
                <w:sz w:val="20"/>
                <w:szCs w:val="20"/>
              </w:rPr>
            </w:pPr>
            <w:r w:rsidRPr="007F79F5">
              <w:rPr>
                <w:rFonts w:ascii="Times New Roman" w:eastAsiaTheme="minorHAnsi" w:hAnsi="Times New Roman" w:cs="Times New Roman"/>
                <w:sz w:val="20"/>
                <w:szCs w:val="20"/>
              </w:rPr>
              <w:t>Pubmed</w:t>
            </w:r>
          </w:p>
        </w:tc>
      </w:tr>
      <w:tr w:rsidR="000E5ACC" w:rsidRPr="007F79F5" w14:paraId="5148A406" w14:textId="77777777" w:rsidTr="00923FFE">
        <w:tc>
          <w:tcPr>
            <w:tcW w:w="13036" w:type="dxa"/>
          </w:tcPr>
          <w:p w14:paraId="32A078D7" w14:textId="77777777" w:rsidR="000E5ACC" w:rsidRPr="007F79F5" w:rsidRDefault="000E5ACC" w:rsidP="007F79F5">
            <w:pPr>
              <w:ind w:firstLine="420"/>
              <w:rPr>
                <w:rFonts w:ascii="Times New Roman" w:eastAsiaTheme="minorHAnsi" w:hAnsi="Times New Roman" w:cs="Times New Roman"/>
                <w:sz w:val="20"/>
                <w:szCs w:val="20"/>
              </w:rPr>
            </w:pPr>
            <w:r w:rsidRPr="007F79F5">
              <w:rPr>
                <w:rFonts w:ascii="Times New Roman" w:eastAsiaTheme="minorHAnsi" w:hAnsi="Times New Roman" w:cs="Times New Roman"/>
                <w:sz w:val="20"/>
                <w:szCs w:val="20"/>
              </w:rPr>
              <w:t>(((type 2 diabetes or T2D or T2DM) AND (medication or treatment or intervention or therap*)) AND (burden or workload or experience)) AND (questionnaire* or survey* or instrument* or scale* or tool* or measur* or assess* or evaluat*)</w:t>
            </w:r>
          </w:p>
        </w:tc>
      </w:tr>
    </w:tbl>
    <w:p w14:paraId="41A830C8" w14:textId="77777777" w:rsidR="000E5ACC" w:rsidRPr="007F79F5" w:rsidRDefault="000E5ACC" w:rsidP="007F79F5">
      <w:pPr>
        <w:rPr>
          <w:rFonts w:ascii="Times New Roman" w:eastAsiaTheme="minorHAnsi" w:hAnsi="Times New Roman" w:cs="Times New Roman"/>
          <w:sz w:val="20"/>
          <w:szCs w:val="20"/>
        </w:rPr>
      </w:pP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9"/>
        <w:gridCol w:w="6006"/>
        <w:gridCol w:w="5811"/>
      </w:tblGrid>
      <w:tr w:rsidR="000E5ACC" w:rsidRPr="007F79F5" w14:paraId="549111AF" w14:textId="77777777" w:rsidTr="00923FFE">
        <w:trPr>
          <w:trHeight w:val="283"/>
        </w:trPr>
        <w:tc>
          <w:tcPr>
            <w:tcW w:w="13036" w:type="dxa"/>
            <w:gridSpan w:val="3"/>
            <w:vAlign w:val="center"/>
          </w:tcPr>
          <w:p w14:paraId="578641A4" w14:textId="73646006" w:rsidR="000E5ACC" w:rsidRPr="007F79F5" w:rsidRDefault="000E5ACC" w:rsidP="007F79F5">
            <w:pPr>
              <w:rPr>
                <w:rFonts w:ascii="Times New Roman" w:eastAsiaTheme="minorHAnsi" w:hAnsi="Times New Roman" w:cs="Times New Roman"/>
                <w:b/>
                <w:bCs/>
                <w:kern w:val="0"/>
                <w:sz w:val="20"/>
                <w:szCs w:val="20"/>
              </w:rPr>
            </w:pPr>
            <w:r w:rsidRPr="007F79F5">
              <w:rPr>
                <w:rFonts w:ascii="Times New Roman" w:eastAsiaTheme="minorHAnsi" w:hAnsi="Times New Roman" w:cs="Times New Roman"/>
                <w:sz w:val="20"/>
                <w:szCs w:val="20"/>
              </w:rPr>
              <w:t>CINAHL, Psycinfo (EBSCO)</w:t>
            </w:r>
          </w:p>
        </w:tc>
      </w:tr>
      <w:tr w:rsidR="000E5ACC" w:rsidRPr="007F79F5" w14:paraId="13C077EC" w14:textId="77777777" w:rsidTr="00923FFE">
        <w:trPr>
          <w:trHeight w:val="283"/>
        </w:trPr>
        <w:tc>
          <w:tcPr>
            <w:tcW w:w="1219" w:type="dxa"/>
            <w:vAlign w:val="center"/>
          </w:tcPr>
          <w:p w14:paraId="5C604FFF"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S1</w:t>
            </w:r>
          </w:p>
        </w:tc>
        <w:tc>
          <w:tcPr>
            <w:tcW w:w="6006" w:type="dxa"/>
            <w:vAlign w:val="center"/>
          </w:tcPr>
          <w:p w14:paraId="75E9D947"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 xml:space="preserve">type 2 diabetes </w:t>
            </w:r>
            <w:r w:rsidRPr="007F79F5">
              <w:rPr>
                <w:rFonts w:ascii="Times New Roman" w:eastAsiaTheme="minorHAnsi" w:hAnsi="Times New Roman" w:cs="Times New Roman"/>
                <w:sz w:val="20"/>
                <w:szCs w:val="20"/>
              </w:rPr>
              <w:t>mellitus</w:t>
            </w:r>
          </w:p>
        </w:tc>
        <w:tc>
          <w:tcPr>
            <w:tcW w:w="5811" w:type="dxa"/>
            <w:vAlign w:val="center"/>
          </w:tcPr>
          <w:p w14:paraId="27416B5C"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5413837A" w14:textId="77777777" w:rsidTr="00923FFE">
        <w:trPr>
          <w:trHeight w:val="283"/>
        </w:trPr>
        <w:tc>
          <w:tcPr>
            <w:tcW w:w="1219" w:type="dxa"/>
            <w:vAlign w:val="center"/>
          </w:tcPr>
          <w:p w14:paraId="59C567DB"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S2</w:t>
            </w:r>
          </w:p>
        </w:tc>
        <w:tc>
          <w:tcPr>
            <w:tcW w:w="6006" w:type="dxa"/>
            <w:vAlign w:val="center"/>
          </w:tcPr>
          <w:p w14:paraId="052E3592"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diabetes mellitus</w:t>
            </w:r>
          </w:p>
        </w:tc>
        <w:tc>
          <w:tcPr>
            <w:tcW w:w="5811" w:type="dxa"/>
            <w:vAlign w:val="center"/>
          </w:tcPr>
          <w:p w14:paraId="58C9E2ED"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0C3C5877" w14:textId="77777777" w:rsidTr="00923FFE">
        <w:trPr>
          <w:trHeight w:val="283"/>
        </w:trPr>
        <w:tc>
          <w:tcPr>
            <w:tcW w:w="1219" w:type="dxa"/>
            <w:vAlign w:val="center"/>
          </w:tcPr>
          <w:p w14:paraId="0BA7AFF2"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S3</w:t>
            </w:r>
          </w:p>
        </w:tc>
        <w:tc>
          <w:tcPr>
            <w:tcW w:w="6006" w:type="dxa"/>
            <w:vAlign w:val="center"/>
          </w:tcPr>
          <w:p w14:paraId="3B159B79"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diabet*</w:t>
            </w:r>
          </w:p>
        </w:tc>
        <w:tc>
          <w:tcPr>
            <w:tcW w:w="5811" w:type="dxa"/>
            <w:vAlign w:val="center"/>
          </w:tcPr>
          <w:p w14:paraId="46FA5283"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25CE063B" w14:textId="77777777" w:rsidTr="00923FFE">
        <w:trPr>
          <w:trHeight w:val="283"/>
        </w:trPr>
        <w:tc>
          <w:tcPr>
            <w:tcW w:w="1219" w:type="dxa"/>
            <w:vAlign w:val="center"/>
          </w:tcPr>
          <w:p w14:paraId="021A7DCA"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S4</w:t>
            </w:r>
          </w:p>
        </w:tc>
        <w:tc>
          <w:tcPr>
            <w:tcW w:w="6006" w:type="dxa"/>
            <w:vAlign w:val="center"/>
          </w:tcPr>
          <w:p w14:paraId="4D585678"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MODY</w:t>
            </w:r>
          </w:p>
        </w:tc>
        <w:tc>
          <w:tcPr>
            <w:tcW w:w="5811" w:type="dxa"/>
            <w:vAlign w:val="center"/>
          </w:tcPr>
          <w:p w14:paraId="50FA1A41"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0ED9455B" w14:textId="77777777" w:rsidTr="00923FFE">
        <w:trPr>
          <w:trHeight w:val="283"/>
        </w:trPr>
        <w:tc>
          <w:tcPr>
            <w:tcW w:w="1219" w:type="dxa"/>
            <w:vAlign w:val="center"/>
          </w:tcPr>
          <w:p w14:paraId="6BD1DE5F"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S5</w:t>
            </w:r>
          </w:p>
        </w:tc>
        <w:tc>
          <w:tcPr>
            <w:tcW w:w="6006" w:type="dxa"/>
            <w:vAlign w:val="center"/>
          </w:tcPr>
          <w:p w14:paraId="6D4CD3A7"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NIDDM</w:t>
            </w:r>
          </w:p>
        </w:tc>
        <w:tc>
          <w:tcPr>
            <w:tcW w:w="5811" w:type="dxa"/>
          </w:tcPr>
          <w:p w14:paraId="3760924C"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61BF5A40" w14:textId="77777777" w:rsidTr="00923FFE">
        <w:trPr>
          <w:trHeight w:val="283"/>
        </w:trPr>
        <w:tc>
          <w:tcPr>
            <w:tcW w:w="1219" w:type="dxa"/>
            <w:vAlign w:val="center"/>
          </w:tcPr>
          <w:p w14:paraId="40465C12"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S6</w:t>
            </w:r>
          </w:p>
        </w:tc>
        <w:tc>
          <w:tcPr>
            <w:tcW w:w="6006" w:type="dxa"/>
            <w:vAlign w:val="center"/>
          </w:tcPr>
          <w:p w14:paraId="6646F83A"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T2DM</w:t>
            </w:r>
          </w:p>
        </w:tc>
        <w:tc>
          <w:tcPr>
            <w:tcW w:w="5811" w:type="dxa"/>
          </w:tcPr>
          <w:p w14:paraId="4BADB32B"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32CB9969" w14:textId="77777777" w:rsidTr="00923FFE">
        <w:trPr>
          <w:trHeight w:val="283"/>
        </w:trPr>
        <w:tc>
          <w:tcPr>
            <w:tcW w:w="1219" w:type="dxa"/>
            <w:vAlign w:val="center"/>
          </w:tcPr>
          <w:p w14:paraId="04F63D18"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S7</w:t>
            </w:r>
          </w:p>
        </w:tc>
        <w:tc>
          <w:tcPr>
            <w:tcW w:w="6006" w:type="dxa"/>
            <w:vAlign w:val="center"/>
          </w:tcPr>
          <w:p w14:paraId="75926E26"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T2D</w:t>
            </w:r>
          </w:p>
        </w:tc>
        <w:tc>
          <w:tcPr>
            <w:tcW w:w="5811" w:type="dxa"/>
          </w:tcPr>
          <w:p w14:paraId="0D989CFF"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2FB48B9C" w14:textId="77777777" w:rsidTr="00923FFE">
        <w:trPr>
          <w:trHeight w:val="283"/>
        </w:trPr>
        <w:tc>
          <w:tcPr>
            <w:tcW w:w="1219" w:type="dxa"/>
            <w:vAlign w:val="center"/>
          </w:tcPr>
          <w:p w14:paraId="47C92284"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S8</w:t>
            </w:r>
          </w:p>
        </w:tc>
        <w:tc>
          <w:tcPr>
            <w:tcW w:w="6006" w:type="dxa"/>
            <w:vAlign w:val="center"/>
          </w:tcPr>
          <w:p w14:paraId="0A3E05D6"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non insulin* depend*</w:t>
            </w:r>
          </w:p>
        </w:tc>
        <w:tc>
          <w:tcPr>
            <w:tcW w:w="5811" w:type="dxa"/>
            <w:vAlign w:val="center"/>
          </w:tcPr>
          <w:p w14:paraId="08729B18"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09C923C5" w14:textId="77777777" w:rsidTr="00923FFE">
        <w:trPr>
          <w:trHeight w:val="283"/>
        </w:trPr>
        <w:tc>
          <w:tcPr>
            <w:tcW w:w="1219" w:type="dxa"/>
            <w:vAlign w:val="center"/>
          </w:tcPr>
          <w:p w14:paraId="3C5CB9BC"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S9</w:t>
            </w:r>
          </w:p>
        </w:tc>
        <w:tc>
          <w:tcPr>
            <w:tcW w:w="6006" w:type="dxa"/>
            <w:vAlign w:val="center"/>
          </w:tcPr>
          <w:p w14:paraId="4C4E47E0"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noninsulin* depend*</w:t>
            </w:r>
          </w:p>
        </w:tc>
        <w:tc>
          <w:tcPr>
            <w:tcW w:w="5811" w:type="dxa"/>
          </w:tcPr>
          <w:p w14:paraId="72282966"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0BC62921" w14:textId="77777777" w:rsidTr="00923FFE">
        <w:trPr>
          <w:trHeight w:val="283"/>
        </w:trPr>
        <w:tc>
          <w:tcPr>
            <w:tcW w:w="1219" w:type="dxa"/>
            <w:vAlign w:val="center"/>
          </w:tcPr>
          <w:p w14:paraId="046DFDD5"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lastRenderedPageBreak/>
              <w:t>S10</w:t>
            </w:r>
          </w:p>
        </w:tc>
        <w:tc>
          <w:tcPr>
            <w:tcW w:w="6006" w:type="dxa"/>
            <w:vAlign w:val="center"/>
          </w:tcPr>
          <w:p w14:paraId="0AAF8FE0"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noninsulindepend*</w:t>
            </w:r>
          </w:p>
        </w:tc>
        <w:tc>
          <w:tcPr>
            <w:tcW w:w="5811" w:type="dxa"/>
          </w:tcPr>
          <w:p w14:paraId="0C2F4065"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5FCC8D28" w14:textId="77777777" w:rsidTr="00923FFE">
        <w:trPr>
          <w:trHeight w:val="283"/>
        </w:trPr>
        <w:tc>
          <w:tcPr>
            <w:tcW w:w="1219" w:type="dxa"/>
            <w:vAlign w:val="center"/>
          </w:tcPr>
          <w:p w14:paraId="4C248093"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S11</w:t>
            </w:r>
          </w:p>
        </w:tc>
        <w:tc>
          <w:tcPr>
            <w:tcW w:w="6006" w:type="dxa"/>
            <w:vAlign w:val="center"/>
          </w:tcPr>
          <w:p w14:paraId="2F6559FA"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non insulindepend*</w:t>
            </w:r>
          </w:p>
        </w:tc>
        <w:tc>
          <w:tcPr>
            <w:tcW w:w="5811" w:type="dxa"/>
          </w:tcPr>
          <w:p w14:paraId="5E3985BD"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76151851" w14:textId="77777777" w:rsidTr="00923FFE">
        <w:trPr>
          <w:trHeight w:val="283"/>
        </w:trPr>
        <w:tc>
          <w:tcPr>
            <w:tcW w:w="1219" w:type="dxa"/>
            <w:vAlign w:val="center"/>
          </w:tcPr>
          <w:p w14:paraId="45502E25"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S12</w:t>
            </w:r>
          </w:p>
        </w:tc>
        <w:tc>
          <w:tcPr>
            <w:tcW w:w="6006" w:type="dxa"/>
            <w:vAlign w:val="center"/>
          </w:tcPr>
          <w:p w14:paraId="30070986"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S1 or S2 or S3 or S4 or S5 or S6 or S7 or S8 or S9 or S10 or S11</w:t>
            </w:r>
          </w:p>
        </w:tc>
        <w:tc>
          <w:tcPr>
            <w:tcW w:w="5811" w:type="dxa"/>
            <w:vAlign w:val="center"/>
          </w:tcPr>
          <w:p w14:paraId="1905297B"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2B27B790" w14:textId="77777777" w:rsidTr="00923FFE">
        <w:trPr>
          <w:trHeight w:val="283"/>
        </w:trPr>
        <w:tc>
          <w:tcPr>
            <w:tcW w:w="1219" w:type="dxa"/>
            <w:vAlign w:val="center"/>
          </w:tcPr>
          <w:p w14:paraId="2252C3F4"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S13</w:t>
            </w:r>
          </w:p>
        </w:tc>
        <w:tc>
          <w:tcPr>
            <w:tcW w:w="6006" w:type="dxa"/>
            <w:vAlign w:val="center"/>
          </w:tcPr>
          <w:p w14:paraId="5C342A1A"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burden of disease</w:t>
            </w:r>
          </w:p>
        </w:tc>
        <w:tc>
          <w:tcPr>
            <w:tcW w:w="5811" w:type="dxa"/>
            <w:vAlign w:val="center"/>
          </w:tcPr>
          <w:p w14:paraId="584005B4"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29BE2D11" w14:textId="77777777" w:rsidTr="00923FFE">
        <w:trPr>
          <w:trHeight w:val="283"/>
        </w:trPr>
        <w:tc>
          <w:tcPr>
            <w:tcW w:w="1219" w:type="dxa"/>
            <w:vAlign w:val="center"/>
          </w:tcPr>
          <w:p w14:paraId="2DB9DBBE"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S14</w:t>
            </w:r>
          </w:p>
        </w:tc>
        <w:tc>
          <w:tcPr>
            <w:tcW w:w="6006" w:type="dxa"/>
            <w:vAlign w:val="center"/>
          </w:tcPr>
          <w:p w14:paraId="4E2FC5FD"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disease burden</w:t>
            </w:r>
          </w:p>
        </w:tc>
        <w:tc>
          <w:tcPr>
            <w:tcW w:w="5811" w:type="dxa"/>
            <w:vAlign w:val="center"/>
          </w:tcPr>
          <w:p w14:paraId="19CB5D12"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4FB04D51" w14:textId="77777777" w:rsidTr="00923FFE">
        <w:trPr>
          <w:trHeight w:val="283"/>
        </w:trPr>
        <w:tc>
          <w:tcPr>
            <w:tcW w:w="1219" w:type="dxa"/>
            <w:vAlign w:val="center"/>
          </w:tcPr>
          <w:p w14:paraId="7FD3C17C"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S15</w:t>
            </w:r>
          </w:p>
        </w:tc>
        <w:tc>
          <w:tcPr>
            <w:tcW w:w="6006" w:type="dxa"/>
            <w:vAlign w:val="center"/>
          </w:tcPr>
          <w:p w14:paraId="79B2A9DB"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treatment burden</w:t>
            </w:r>
          </w:p>
        </w:tc>
        <w:tc>
          <w:tcPr>
            <w:tcW w:w="5811" w:type="dxa"/>
            <w:vAlign w:val="center"/>
          </w:tcPr>
          <w:p w14:paraId="562B217B"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504D7979" w14:textId="77777777" w:rsidTr="00923FFE">
        <w:trPr>
          <w:trHeight w:val="283"/>
        </w:trPr>
        <w:tc>
          <w:tcPr>
            <w:tcW w:w="1219" w:type="dxa"/>
            <w:vAlign w:val="center"/>
          </w:tcPr>
          <w:p w14:paraId="3992E9E7"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S16</w:t>
            </w:r>
          </w:p>
        </w:tc>
        <w:tc>
          <w:tcPr>
            <w:tcW w:w="6006" w:type="dxa"/>
            <w:vAlign w:val="center"/>
          </w:tcPr>
          <w:p w14:paraId="542415B6"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burden of treatment</w:t>
            </w:r>
          </w:p>
        </w:tc>
        <w:tc>
          <w:tcPr>
            <w:tcW w:w="5811" w:type="dxa"/>
            <w:vAlign w:val="center"/>
          </w:tcPr>
          <w:p w14:paraId="0761DC4F"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11E2E8AD" w14:textId="77777777" w:rsidTr="00923FFE">
        <w:trPr>
          <w:trHeight w:val="283"/>
        </w:trPr>
        <w:tc>
          <w:tcPr>
            <w:tcW w:w="1219" w:type="dxa"/>
            <w:vAlign w:val="center"/>
          </w:tcPr>
          <w:p w14:paraId="4739E854"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S17</w:t>
            </w:r>
          </w:p>
        </w:tc>
        <w:tc>
          <w:tcPr>
            <w:tcW w:w="6006" w:type="dxa"/>
            <w:vAlign w:val="center"/>
          </w:tcPr>
          <w:p w14:paraId="1392C266"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medication burden</w:t>
            </w:r>
          </w:p>
        </w:tc>
        <w:tc>
          <w:tcPr>
            <w:tcW w:w="5811" w:type="dxa"/>
            <w:vAlign w:val="center"/>
          </w:tcPr>
          <w:p w14:paraId="00387B68"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1C531656" w14:textId="77777777" w:rsidTr="00923FFE">
        <w:trPr>
          <w:trHeight w:val="283"/>
        </w:trPr>
        <w:tc>
          <w:tcPr>
            <w:tcW w:w="1219" w:type="dxa"/>
            <w:vAlign w:val="center"/>
          </w:tcPr>
          <w:p w14:paraId="4904E88D"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S18</w:t>
            </w:r>
          </w:p>
        </w:tc>
        <w:tc>
          <w:tcPr>
            <w:tcW w:w="6006" w:type="dxa"/>
            <w:vAlign w:val="center"/>
          </w:tcPr>
          <w:p w14:paraId="5C5A37CD"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burden of medication</w:t>
            </w:r>
          </w:p>
        </w:tc>
        <w:tc>
          <w:tcPr>
            <w:tcW w:w="5811" w:type="dxa"/>
            <w:vAlign w:val="center"/>
          </w:tcPr>
          <w:p w14:paraId="0C1BA9F0"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339C5E54" w14:textId="77777777" w:rsidTr="00923FFE">
        <w:trPr>
          <w:trHeight w:val="283"/>
        </w:trPr>
        <w:tc>
          <w:tcPr>
            <w:tcW w:w="1219" w:type="dxa"/>
            <w:vAlign w:val="center"/>
          </w:tcPr>
          <w:p w14:paraId="3A8C92EC"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S19</w:t>
            </w:r>
          </w:p>
        </w:tc>
        <w:tc>
          <w:tcPr>
            <w:tcW w:w="6006" w:type="dxa"/>
            <w:vAlign w:val="center"/>
          </w:tcPr>
          <w:p w14:paraId="3DED2B9F"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time burden</w:t>
            </w:r>
          </w:p>
        </w:tc>
        <w:tc>
          <w:tcPr>
            <w:tcW w:w="5811" w:type="dxa"/>
            <w:vAlign w:val="center"/>
          </w:tcPr>
          <w:p w14:paraId="4EAF3BF7"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53E4F258" w14:textId="77777777" w:rsidTr="00923FFE">
        <w:trPr>
          <w:trHeight w:val="283"/>
        </w:trPr>
        <w:tc>
          <w:tcPr>
            <w:tcW w:w="1219" w:type="dxa"/>
            <w:vAlign w:val="center"/>
          </w:tcPr>
          <w:p w14:paraId="10DB9010"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S20</w:t>
            </w:r>
          </w:p>
        </w:tc>
        <w:tc>
          <w:tcPr>
            <w:tcW w:w="6006" w:type="dxa"/>
            <w:vAlign w:val="center"/>
          </w:tcPr>
          <w:p w14:paraId="52327D98"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travel burden</w:t>
            </w:r>
          </w:p>
        </w:tc>
        <w:tc>
          <w:tcPr>
            <w:tcW w:w="5811" w:type="dxa"/>
            <w:vAlign w:val="center"/>
          </w:tcPr>
          <w:p w14:paraId="76090A81"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1EB4DA55" w14:textId="77777777" w:rsidTr="00923FFE">
        <w:trPr>
          <w:trHeight w:val="283"/>
        </w:trPr>
        <w:tc>
          <w:tcPr>
            <w:tcW w:w="1219" w:type="dxa"/>
            <w:vAlign w:val="center"/>
          </w:tcPr>
          <w:p w14:paraId="11320100"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S21</w:t>
            </w:r>
          </w:p>
        </w:tc>
        <w:tc>
          <w:tcPr>
            <w:tcW w:w="6006" w:type="dxa"/>
            <w:vAlign w:val="center"/>
          </w:tcPr>
          <w:p w14:paraId="465D071C"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cost burden</w:t>
            </w:r>
          </w:p>
        </w:tc>
        <w:tc>
          <w:tcPr>
            <w:tcW w:w="5811" w:type="dxa"/>
            <w:vAlign w:val="center"/>
          </w:tcPr>
          <w:p w14:paraId="79E69A28"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568CF0DA" w14:textId="77777777" w:rsidTr="00923FFE">
        <w:trPr>
          <w:trHeight w:val="283"/>
        </w:trPr>
        <w:tc>
          <w:tcPr>
            <w:tcW w:w="1219" w:type="dxa"/>
            <w:vAlign w:val="center"/>
          </w:tcPr>
          <w:p w14:paraId="1B28B4A4"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S22</w:t>
            </w:r>
          </w:p>
        </w:tc>
        <w:tc>
          <w:tcPr>
            <w:tcW w:w="6006" w:type="dxa"/>
            <w:vAlign w:val="center"/>
          </w:tcPr>
          <w:p w14:paraId="03A6AF2E"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treatment experiences</w:t>
            </w:r>
          </w:p>
        </w:tc>
        <w:tc>
          <w:tcPr>
            <w:tcW w:w="5811" w:type="dxa"/>
            <w:vAlign w:val="center"/>
          </w:tcPr>
          <w:p w14:paraId="2C9B22A5"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69D624D9" w14:textId="77777777" w:rsidTr="00923FFE">
        <w:trPr>
          <w:trHeight w:val="283"/>
        </w:trPr>
        <w:tc>
          <w:tcPr>
            <w:tcW w:w="1219" w:type="dxa"/>
            <w:vAlign w:val="center"/>
          </w:tcPr>
          <w:p w14:paraId="7800BE06"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S23</w:t>
            </w:r>
          </w:p>
        </w:tc>
        <w:tc>
          <w:tcPr>
            <w:tcW w:w="6006" w:type="dxa"/>
            <w:vAlign w:val="center"/>
          </w:tcPr>
          <w:p w14:paraId="4F86DC6C"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 xml:space="preserve">workload </w:t>
            </w:r>
          </w:p>
        </w:tc>
        <w:tc>
          <w:tcPr>
            <w:tcW w:w="5811" w:type="dxa"/>
            <w:vAlign w:val="center"/>
          </w:tcPr>
          <w:p w14:paraId="03C2F8F9"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1F8262BB" w14:textId="77777777" w:rsidTr="00923FFE">
        <w:trPr>
          <w:trHeight w:val="283"/>
        </w:trPr>
        <w:tc>
          <w:tcPr>
            <w:tcW w:w="1219" w:type="dxa"/>
            <w:vAlign w:val="center"/>
          </w:tcPr>
          <w:p w14:paraId="5750821B"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S24</w:t>
            </w:r>
          </w:p>
        </w:tc>
        <w:tc>
          <w:tcPr>
            <w:tcW w:w="6006" w:type="dxa"/>
            <w:vAlign w:val="center"/>
          </w:tcPr>
          <w:p w14:paraId="469C2784"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S13 or S14 or S15 or S16 or S17 or S18 or S19 or S20 or S21 or S22 or S23</w:t>
            </w:r>
          </w:p>
        </w:tc>
        <w:tc>
          <w:tcPr>
            <w:tcW w:w="5811" w:type="dxa"/>
            <w:vAlign w:val="center"/>
          </w:tcPr>
          <w:p w14:paraId="6FA4C765"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26227015" w14:textId="77777777" w:rsidTr="00923FFE">
        <w:trPr>
          <w:trHeight w:val="283"/>
        </w:trPr>
        <w:tc>
          <w:tcPr>
            <w:tcW w:w="1219" w:type="dxa"/>
            <w:vAlign w:val="center"/>
          </w:tcPr>
          <w:p w14:paraId="68126F48"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S25</w:t>
            </w:r>
          </w:p>
        </w:tc>
        <w:tc>
          <w:tcPr>
            <w:tcW w:w="6006" w:type="dxa"/>
            <w:vAlign w:val="center"/>
          </w:tcPr>
          <w:p w14:paraId="264404B6"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measur*</w:t>
            </w:r>
          </w:p>
        </w:tc>
        <w:tc>
          <w:tcPr>
            <w:tcW w:w="5811" w:type="dxa"/>
            <w:vAlign w:val="center"/>
          </w:tcPr>
          <w:p w14:paraId="1A756EA5"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2375B36A" w14:textId="77777777" w:rsidTr="00923FFE">
        <w:trPr>
          <w:trHeight w:val="283"/>
        </w:trPr>
        <w:tc>
          <w:tcPr>
            <w:tcW w:w="1219" w:type="dxa"/>
            <w:vAlign w:val="center"/>
          </w:tcPr>
          <w:p w14:paraId="12329BB1"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S26</w:t>
            </w:r>
          </w:p>
        </w:tc>
        <w:tc>
          <w:tcPr>
            <w:tcW w:w="6006" w:type="dxa"/>
            <w:vAlign w:val="center"/>
          </w:tcPr>
          <w:p w14:paraId="3A8B8269"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measurement</w:t>
            </w:r>
          </w:p>
        </w:tc>
        <w:tc>
          <w:tcPr>
            <w:tcW w:w="5811" w:type="dxa"/>
            <w:vAlign w:val="center"/>
          </w:tcPr>
          <w:p w14:paraId="1516B6F6"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081A064C" w14:textId="77777777" w:rsidTr="00923FFE">
        <w:trPr>
          <w:trHeight w:val="283"/>
        </w:trPr>
        <w:tc>
          <w:tcPr>
            <w:tcW w:w="1219" w:type="dxa"/>
            <w:vAlign w:val="center"/>
          </w:tcPr>
          <w:p w14:paraId="7570BE40"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S27</w:t>
            </w:r>
          </w:p>
        </w:tc>
        <w:tc>
          <w:tcPr>
            <w:tcW w:w="6006" w:type="dxa"/>
            <w:vAlign w:val="center"/>
          </w:tcPr>
          <w:p w14:paraId="013F87CD"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instrument</w:t>
            </w:r>
          </w:p>
        </w:tc>
        <w:tc>
          <w:tcPr>
            <w:tcW w:w="5811" w:type="dxa"/>
            <w:vAlign w:val="center"/>
          </w:tcPr>
          <w:p w14:paraId="7D498256"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528380F9" w14:textId="77777777" w:rsidTr="00923FFE">
        <w:trPr>
          <w:trHeight w:val="283"/>
        </w:trPr>
        <w:tc>
          <w:tcPr>
            <w:tcW w:w="1219" w:type="dxa"/>
            <w:vAlign w:val="center"/>
          </w:tcPr>
          <w:p w14:paraId="69704396"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S28</w:t>
            </w:r>
          </w:p>
        </w:tc>
        <w:tc>
          <w:tcPr>
            <w:tcW w:w="6006" w:type="dxa"/>
            <w:vAlign w:val="center"/>
          </w:tcPr>
          <w:p w14:paraId="12DDB141"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scale</w:t>
            </w:r>
          </w:p>
        </w:tc>
        <w:tc>
          <w:tcPr>
            <w:tcW w:w="5811" w:type="dxa"/>
            <w:vAlign w:val="center"/>
          </w:tcPr>
          <w:p w14:paraId="5DE5C355"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593E1FBF" w14:textId="77777777" w:rsidTr="00923FFE">
        <w:trPr>
          <w:trHeight w:val="283"/>
        </w:trPr>
        <w:tc>
          <w:tcPr>
            <w:tcW w:w="1219" w:type="dxa"/>
            <w:vAlign w:val="center"/>
          </w:tcPr>
          <w:p w14:paraId="19F7BC48"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S29</w:t>
            </w:r>
          </w:p>
        </w:tc>
        <w:tc>
          <w:tcPr>
            <w:tcW w:w="6006" w:type="dxa"/>
            <w:vAlign w:val="center"/>
          </w:tcPr>
          <w:p w14:paraId="4FFED83E"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test</w:t>
            </w:r>
          </w:p>
        </w:tc>
        <w:tc>
          <w:tcPr>
            <w:tcW w:w="5811" w:type="dxa"/>
            <w:vAlign w:val="center"/>
          </w:tcPr>
          <w:p w14:paraId="7EBAA44D"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1980B730" w14:textId="77777777" w:rsidTr="00923FFE">
        <w:trPr>
          <w:trHeight w:val="283"/>
        </w:trPr>
        <w:tc>
          <w:tcPr>
            <w:tcW w:w="1219" w:type="dxa"/>
            <w:vAlign w:val="center"/>
          </w:tcPr>
          <w:p w14:paraId="3F54D34E"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S30</w:t>
            </w:r>
          </w:p>
        </w:tc>
        <w:tc>
          <w:tcPr>
            <w:tcW w:w="6006" w:type="dxa"/>
            <w:vAlign w:val="center"/>
          </w:tcPr>
          <w:p w14:paraId="343B26E9"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questionnaire</w:t>
            </w:r>
          </w:p>
        </w:tc>
        <w:tc>
          <w:tcPr>
            <w:tcW w:w="5811" w:type="dxa"/>
            <w:vAlign w:val="center"/>
          </w:tcPr>
          <w:p w14:paraId="5C508EBC"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67DB504B" w14:textId="77777777" w:rsidTr="00923FFE">
        <w:trPr>
          <w:trHeight w:val="283"/>
        </w:trPr>
        <w:tc>
          <w:tcPr>
            <w:tcW w:w="1219" w:type="dxa"/>
            <w:vAlign w:val="center"/>
          </w:tcPr>
          <w:p w14:paraId="7A006DB2"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S31</w:t>
            </w:r>
          </w:p>
        </w:tc>
        <w:tc>
          <w:tcPr>
            <w:tcW w:w="6006" w:type="dxa"/>
            <w:vAlign w:val="center"/>
          </w:tcPr>
          <w:p w14:paraId="7D7D4DE1"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assessment</w:t>
            </w:r>
          </w:p>
        </w:tc>
        <w:tc>
          <w:tcPr>
            <w:tcW w:w="5811" w:type="dxa"/>
            <w:vAlign w:val="center"/>
          </w:tcPr>
          <w:p w14:paraId="4B21B9A2"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7342E8A2" w14:textId="77777777" w:rsidTr="00923FFE">
        <w:trPr>
          <w:trHeight w:val="283"/>
        </w:trPr>
        <w:tc>
          <w:tcPr>
            <w:tcW w:w="1219" w:type="dxa"/>
            <w:vAlign w:val="center"/>
          </w:tcPr>
          <w:p w14:paraId="63A44248"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S32</w:t>
            </w:r>
          </w:p>
        </w:tc>
        <w:tc>
          <w:tcPr>
            <w:tcW w:w="6006" w:type="dxa"/>
            <w:vAlign w:val="center"/>
          </w:tcPr>
          <w:p w14:paraId="2F8FB9B8"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assess*</w:t>
            </w:r>
          </w:p>
        </w:tc>
        <w:tc>
          <w:tcPr>
            <w:tcW w:w="5811" w:type="dxa"/>
            <w:vAlign w:val="center"/>
          </w:tcPr>
          <w:p w14:paraId="37D4A175"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0B3E333B" w14:textId="77777777" w:rsidTr="00923FFE">
        <w:trPr>
          <w:trHeight w:val="283"/>
        </w:trPr>
        <w:tc>
          <w:tcPr>
            <w:tcW w:w="1219" w:type="dxa"/>
            <w:vAlign w:val="center"/>
          </w:tcPr>
          <w:p w14:paraId="68E3749A"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S33</w:t>
            </w:r>
          </w:p>
        </w:tc>
        <w:tc>
          <w:tcPr>
            <w:tcW w:w="6006" w:type="dxa"/>
            <w:vAlign w:val="center"/>
          </w:tcPr>
          <w:p w14:paraId="78FD2B8E"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inventory</w:t>
            </w:r>
          </w:p>
        </w:tc>
        <w:tc>
          <w:tcPr>
            <w:tcW w:w="5811" w:type="dxa"/>
            <w:vAlign w:val="center"/>
          </w:tcPr>
          <w:p w14:paraId="237CF135"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7590D8B0" w14:textId="77777777" w:rsidTr="00923FFE">
        <w:trPr>
          <w:trHeight w:val="283"/>
        </w:trPr>
        <w:tc>
          <w:tcPr>
            <w:tcW w:w="1219" w:type="dxa"/>
            <w:vAlign w:val="center"/>
          </w:tcPr>
          <w:p w14:paraId="6C402204"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S34</w:t>
            </w:r>
          </w:p>
        </w:tc>
        <w:tc>
          <w:tcPr>
            <w:tcW w:w="6006" w:type="dxa"/>
            <w:vAlign w:val="center"/>
          </w:tcPr>
          <w:p w14:paraId="7365ED82"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tool</w:t>
            </w:r>
          </w:p>
        </w:tc>
        <w:tc>
          <w:tcPr>
            <w:tcW w:w="5811" w:type="dxa"/>
            <w:vAlign w:val="center"/>
          </w:tcPr>
          <w:p w14:paraId="28559062"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1F69E144" w14:textId="77777777" w:rsidTr="00923FFE">
        <w:trPr>
          <w:trHeight w:val="283"/>
        </w:trPr>
        <w:tc>
          <w:tcPr>
            <w:tcW w:w="1219" w:type="dxa"/>
            <w:vAlign w:val="center"/>
          </w:tcPr>
          <w:p w14:paraId="50D5D704"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S35</w:t>
            </w:r>
          </w:p>
        </w:tc>
        <w:tc>
          <w:tcPr>
            <w:tcW w:w="6006" w:type="dxa"/>
            <w:vAlign w:val="center"/>
          </w:tcPr>
          <w:p w14:paraId="36A690B1"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survey</w:t>
            </w:r>
          </w:p>
        </w:tc>
        <w:tc>
          <w:tcPr>
            <w:tcW w:w="5811" w:type="dxa"/>
            <w:vAlign w:val="center"/>
          </w:tcPr>
          <w:p w14:paraId="2F09A0C8"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6942E283" w14:textId="77777777" w:rsidTr="00923FFE">
        <w:trPr>
          <w:trHeight w:val="283"/>
        </w:trPr>
        <w:tc>
          <w:tcPr>
            <w:tcW w:w="1219" w:type="dxa"/>
            <w:vAlign w:val="center"/>
          </w:tcPr>
          <w:p w14:paraId="3BF3A18E"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S36</w:t>
            </w:r>
          </w:p>
        </w:tc>
        <w:tc>
          <w:tcPr>
            <w:tcW w:w="6006" w:type="dxa"/>
            <w:vAlign w:val="center"/>
          </w:tcPr>
          <w:p w14:paraId="0C8992BD"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 xml:space="preserve">S25 or S26 or S27 or S28 or S29 or S30 or S31 or S32 or S33 or S34 or S35 </w:t>
            </w:r>
          </w:p>
        </w:tc>
        <w:tc>
          <w:tcPr>
            <w:tcW w:w="5811" w:type="dxa"/>
            <w:vAlign w:val="center"/>
          </w:tcPr>
          <w:p w14:paraId="14CF2173"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r w:rsidR="000E5ACC" w:rsidRPr="007F79F5" w14:paraId="5FF7F8F1" w14:textId="77777777" w:rsidTr="00923FFE">
        <w:trPr>
          <w:trHeight w:val="283"/>
        </w:trPr>
        <w:tc>
          <w:tcPr>
            <w:tcW w:w="1219" w:type="dxa"/>
            <w:vAlign w:val="center"/>
          </w:tcPr>
          <w:p w14:paraId="45F89C19"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S37</w:t>
            </w:r>
          </w:p>
        </w:tc>
        <w:tc>
          <w:tcPr>
            <w:tcW w:w="6006" w:type="dxa"/>
            <w:vAlign w:val="center"/>
          </w:tcPr>
          <w:p w14:paraId="6D89431F"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S12 AND S24 AND S36</w:t>
            </w:r>
          </w:p>
        </w:tc>
        <w:tc>
          <w:tcPr>
            <w:tcW w:w="5811" w:type="dxa"/>
            <w:vAlign w:val="center"/>
          </w:tcPr>
          <w:p w14:paraId="45E0E683" w14:textId="77777777" w:rsidR="000E5ACC" w:rsidRPr="007F79F5" w:rsidRDefault="000E5ACC" w:rsidP="007F79F5">
            <w:pPr>
              <w:autoSpaceDE w:val="0"/>
              <w:autoSpaceDN w:val="0"/>
              <w:adjustRightInd w:val="0"/>
              <w:ind w:firstLine="420"/>
              <w:jc w:val="center"/>
              <w:rPr>
                <w:rFonts w:ascii="Times New Roman" w:eastAsiaTheme="minorHAnsi" w:hAnsi="Times New Roman" w:cs="Times New Roman"/>
                <w:kern w:val="0"/>
                <w:sz w:val="20"/>
                <w:szCs w:val="20"/>
              </w:rPr>
            </w:pPr>
            <w:r w:rsidRPr="007F79F5">
              <w:rPr>
                <w:rFonts w:ascii="Times New Roman" w:eastAsiaTheme="minorHAnsi" w:hAnsi="Times New Roman" w:cs="Times New Roman"/>
                <w:kern w:val="0"/>
                <w:sz w:val="20"/>
                <w:szCs w:val="20"/>
              </w:rPr>
              <w:t>Apply related words; Apply equivalent subjects</w:t>
            </w:r>
          </w:p>
        </w:tc>
      </w:tr>
    </w:tbl>
    <w:p w14:paraId="574008CB" w14:textId="6C5C6DC7" w:rsidR="00B6733B" w:rsidRPr="007F79F5" w:rsidRDefault="00767751" w:rsidP="007F79F5">
      <w:pPr>
        <w:pStyle w:val="2"/>
        <w:spacing w:before="0" w:after="120"/>
        <w:rPr>
          <w:rFonts w:ascii="Times New Roman" w:hAnsi="Times New Roman" w:cs="Times New Roman"/>
          <w:sz w:val="20"/>
          <w:szCs w:val="20"/>
        </w:rPr>
      </w:pPr>
      <w:bookmarkStart w:id="9" w:name="_Toc131670034"/>
      <w:bookmarkStart w:id="10" w:name="_Toc137639161"/>
      <w:bookmarkStart w:id="11" w:name="_Toc144294597"/>
      <w:r w:rsidRPr="007F79F5">
        <w:rPr>
          <w:rFonts w:ascii="Times New Roman" w:hAnsi="Times New Roman" w:cs="Times New Roman"/>
          <w:sz w:val="20"/>
          <w:szCs w:val="20"/>
        </w:rPr>
        <w:t xml:space="preserve">Table </w:t>
      </w:r>
      <w:r w:rsidR="007101FC" w:rsidRPr="007F79F5">
        <w:rPr>
          <w:rFonts w:ascii="Times New Roman" w:hAnsi="Times New Roman" w:cs="Times New Roman"/>
          <w:sz w:val="20"/>
          <w:szCs w:val="20"/>
        </w:rPr>
        <w:t>S</w:t>
      </w:r>
      <w:r w:rsidR="003247B5">
        <w:rPr>
          <w:rFonts w:ascii="Times New Roman" w:hAnsi="Times New Roman" w:cs="Times New Roman"/>
          <w:sz w:val="20"/>
          <w:szCs w:val="20"/>
        </w:rPr>
        <w:t>2</w:t>
      </w:r>
      <w:r w:rsidR="009D2C02" w:rsidRPr="007F79F5">
        <w:rPr>
          <w:rFonts w:ascii="Times New Roman" w:hAnsi="Times New Roman" w:cs="Times New Roman"/>
          <w:sz w:val="20"/>
          <w:szCs w:val="20"/>
        </w:rPr>
        <w:t xml:space="preserve"> Retrieval formula f</w:t>
      </w:r>
      <w:r w:rsidR="00DA6318" w:rsidRPr="007F79F5">
        <w:rPr>
          <w:rFonts w:ascii="Times New Roman" w:hAnsi="Times New Roman" w:cs="Times New Roman"/>
          <w:sz w:val="20"/>
          <w:szCs w:val="20"/>
        </w:rPr>
        <w:t>or Chinese health-based databases</w:t>
      </w:r>
      <w:r w:rsidR="00EB62DF" w:rsidRPr="007F79F5">
        <w:rPr>
          <w:rFonts w:ascii="Times New Roman" w:hAnsi="Times New Roman" w:cs="Times New Roman"/>
          <w:sz w:val="20"/>
          <w:szCs w:val="20"/>
        </w:rPr>
        <w:t xml:space="preserve"> (Translated)</w:t>
      </w:r>
      <w:r w:rsidR="00DA6318" w:rsidRPr="007F79F5">
        <w:rPr>
          <w:rFonts w:ascii="Times New Roman" w:hAnsi="Times New Roman" w:cs="Times New Roman"/>
          <w:sz w:val="20"/>
          <w:szCs w:val="20"/>
        </w:rPr>
        <w:t>:</w:t>
      </w:r>
      <w:bookmarkEnd w:id="9"/>
      <w:bookmarkEnd w:id="10"/>
      <w:bookmarkEnd w:id="11"/>
      <w:r w:rsidR="00DA6318" w:rsidRPr="007F79F5">
        <w:rPr>
          <w:rFonts w:ascii="Times New Roman" w:hAnsi="Times New Roman" w:cs="Times New Roman"/>
          <w:sz w:val="20"/>
          <w:szCs w:val="20"/>
        </w:rPr>
        <w:t xml:space="preserve"> </w:t>
      </w:r>
    </w:p>
    <w:tbl>
      <w:tblPr>
        <w:tblStyle w:val="TableGrid"/>
        <w:tblW w:w="13036" w:type="dxa"/>
        <w:tblLook w:val="04A0" w:firstRow="1" w:lastRow="0" w:firstColumn="1" w:lastColumn="0" w:noHBand="0" w:noVBand="1"/>
      </w:tblPr>
      <w:tblGrid>
        <w:gridCol w:w="13036"/>
      </w:tblGrid>
      <w:tr w:rsidR="000E5ACC" w:rsidRPr="007F79F5" w14:paraId="329B70F5" w14:textId="77777777" w:rsidTr="00923FFE">
        <w:tc>
          <w:tcPr>
            <w:tcW w:w="13036" w:type="dxa"/>
          </w:tcPr>
          <w:p w14:paraId="2E05E127" w14:textId="2F812B18" w:rsidR="000E5ACC" w:rsidRPr="007F79F5" w:rsidRDefault="000E5ACC" w:rsidP="007F79F5">
            <w:pPr>
              <w:rPr>
                <w:rFonts w:ascii="Times New Roman" w:eastAsiaTheme="minorHAnsi" w:hAnsi="Times New Roman" w:cs="Times New Roman"/>
                <w:b/>
                <w:bCs/>
                <w:sz w:val="20"/>
                <w:szCs w:val="20"/>
              </w:rPr>
            </w:pPr>
            <w:r w:rsidRPr="007F79F5">
              <w:rPr>
                <w:rFonts w:ascii="Times New Roman" w:eastAsiaTheme="minorHAnsi" w:hAnsi="Times New Roman" w:cs="Times New Roman"/>
                <w:b/>
                <w:bCs/>
                <w:sz w:val="20"/>
                <w:szCs w:val="20"/>
              </w:rPr>
              <w:t>Wanfang</w:t>
            </w:r>
            <w:r w:rsidR="00F52B87" w:rsidRPr="007F79F5">
              <w:rPr>
                <w:rFonts w:ascii="Times New Roman" w:eastAsiaTheme="minorHAnsi" w:hAnsi="Times New Roman" w:cs="Times New Roman"/>
                <w:b/>
                <w:bCs/>
                <w:sz w:val="20"/>
                <w:szCs w:val="20"/>
              </w:rPr>
              <w:t xml:space="preserve"> </w:t>
            </w:r>
          </w:p>
        </w:tc>
      </w:tr>
      <w:tr w:rsidR="000E5ACC" w:rsidRPr="007F79F5" w14:paraId="2E561BEA" w14:textId="77777777" w:rsidTr="00923FFE">
        <w:tc>
          <w:tcPr>
            <w:tcW w:w="13036" w:type="dxa"/>
          </w:tcPr>
          <w:p w14:paraId="6277F099" w14:textId="650DA67F" w:rsidR="000E5ACC" w:rsidRPr="007F79F5" w:rsidRDefault="00F52B87" w:rsidP="007F79F5">
            <w:pPr>
              <w:rPr>
                <w:rFonts w:ascii="Times New Roman" w:eastAsiaTheme="minorHAnsi" w:hAnsi="Times New Roman" w:cs="Times New Roman"/>
                <w:sz w:val="20"/>
                <w:szCs w:val="20"/>
              </w:rPr>
            </w:pPr>
            <w:r w:rsidRPr="007F79F5">
              <w:rPr>
                <w:rFonts w:ascii="Times New Roman" w:eastAsiaTheme="minorHAnsi" w:hAnsi="Times New Roman" w:cs="Times New Roman"/>
                <w:sz w:val="20"/>
                <w:szCs w:val="20"/>
              </w:rPr>
              <w:t>Title or keywords: (("Type 2 diabetes" or "T2DM" or "T2D*" or "diabetes") and ("medication" or "intervention" or "treatment" or "therapy" ) and ("burden" or "workload" or "cost" or "experience") and ("measurement" or "evaluation" or "assessment" or "scale" or "questionnaire")) or Abstract: (("Type 2 diabetes" or "T2DM" or "T2D*" or "diabetes") and ("medication" or "intervention" or "treatment" or "therapy") and ("burden" or "workload" or "expense" or "experience") and ("measurement" or "evaluation" or "assessment" or "scale" or "questionnaire"))</w:t>
            </w:r>
          </w:p>
        </w:tc>
      </w:tr>
      <w:tr w:rsidR="008A15DD" w:rsidRPr="007F79F5" w14:paraId="167C2AE6" w14:textId="77777777" w:rsidTr="00923FFE">
        <w:tc>
          <w:tcPr>
            <w:tcW w:w="13036" w:type="dxa"/>
          </w:tcPr>
          <w:p w14:paraId="1CC040A1" w14:textId="05FF0C29" w:rsidR="008A15DD" w:rsidRPr="007F79F5" w:rsidRDefault="008A15DD" w:rsidP="007F79F5">
            <w:pPr>
              <w:rPr>
                <w:rFonts w:ascii="Times New Roman" w:eastAsiaTheme="minorHAnsi" w:hAnsi="Times New Roman" w:cs="Times New Roman"/>
                <w:b/>
                <w:bCs/>
                <w:sz w:val="20"/>
                <w:szCs w:val="20"/>
              </w:rPr>
            </w:pPr>
            <w:r w:rsidRPr="007F79F5">
              <w:rPr>
                <w:rFonts w:ascii="Times New Roman" w:eastAsiaTheme="minorHAnsi" w:hAnsi="Times New Roman" w:cs="Times New Roman"/>
                <w:b/>
                <w:bCs/>
                <w:sz w:val="20"/>
                <w:szCs w:val="20"/>
              </w:rPr>
              <w:t>CNKI</w:t>
            </w:r>
          </w:p>
        </w:tc>
      </w:tr>
      <w:tr w:rsidR="008A15DD" w:rsidRPr="007F79F5" w14:paraId="52EC96FB" w14:textId="77777777" w:rsidTr="00923FFE">
        <w:tc>
          <w:tcPr>
            <w:tcW w:w="13036" w:type="dxa"/>
          </w:tcPr>
          <w:p w14:paraId="12E41454" w14:textId="79F06942" w:rsidR="008A15DD" w:rsidRPr="007F79F5" w:rsidRDefault="00AD5AA5" w:rsidP="007F79F5">
            <w:pPr>
              <w:rPr>
                <w:rFonts w:ascii="Times New Roman" w:eastAsiaTheme="minorHAnsi" w:hAnsi="Times New Roman" w:cs="Times New Roman"/>
                <w:sz w:val="20"/>
                <w:szCs w:val="20"/>
              </w:rPr>
            </w:pPr>
            <w:r w:rsidRPr="007F79F5">
              <w:rPr>
                <w:rFonts w:ascii="Times New Roman" w:eastAsiaTheme="minorHAnsi" w:hAnsi="Times New Roman" w:cs="Times New Roman"/>
                <w:sz w:val="20"/>
                <w:szCs w:val="20"/>
              </w:rPr>
              <w:t>((TI=("Type 2 Diabetes" + "T2DM" + "T2D*" + "Diabetes") ) OR (AB=("Type 2 diabetes mellitus" + "T2DM" + "T2D*" + "diabetes mellitus "))) AND ((TI=("medication" + "intervention" + "treatment" + " therapy")) OR (AB "drug" + "intervention" + "treatment" + " therapy"))) AND ((TI=( "burden" + "workload" + "cost" + "experience ")) OR (AB=( "burden" + "workload" + "cost" + "experience "))) AND ((TI=("Measurement" + "Evaluation" + "Assessment" + "Scale " + "Questionnaire")) OR (AB=("Measure" + "Evaluate" + "Assess " + "scale" + "questionnaire")))</w:t>
            </w:r>
          </w:p>
        </w:tc>
      </w:tr>
      <w:tr w:rsidR="000E5ACC" w:rsidRPr="007F79F5" w14:paraId="109600C4" w14:textId="77777777" w:rsidTr="00923FFE">
        <w:tc>
          <w:tcPr>
            <w:tcW w:w="13036" w:type="dxa"/>
          </w:tcPr>
          <w:p w14:paraId="52C95385" w14:textId="44975C68" w:rsidR="000E5ACC" w:rsidRPr="007F79F5" w:rsidRDefault="004E7B22" w:rsidP="007F79F5">
            <w:pPr>
              <w:rPr>
                <w:rFonts w:ascii="Times New Roman" w:eastAsiaTheme="minorHAnsi" w:hAnsi="Times New Roman" w:cs="Times New Roman"/>
                <w:b/>
                <w:bCs/>
                <w:sz w:val="20"/>
                <w:szCs w:val="20"/>
              </w:rPr>
            </w:pPr>
            <w:r w:rsidRPr="007F79F5">
              <w:rPr>
                <w:rFonts w:ascii="Times New Roman" w:eastAsiaTheme="minorHAnsi" w:hAnsi="Times New Roman" w:cs="Times New Roman"/>
                <w:b/>
                <w:bCs/>
                <w:sz w:val="20"/>
                <w:szCs w:val="20"/>
              </w:rPr>
              <w:t>CBMWeb (cqvip)</w:t>
            </w:r>
            <w:r w:rsidR="00F52B87" w:rsidRPr="007F79F5">
              <w:rPr>
                <w:rFonts w:ascii="Times New Roman" w:eastAsiaTheme="minorHAnsi" w:hAnsi="Times New Roman" w:cs="Times New Roman"/>
                <w:b/>
                <w:bCs/>
                <w:sz w:val="20"/>
                <w:szCs w:val="20"/>
              </w:rPr>
              <w:t xml:space="preserve"> </w:t>
            </w:r>
          </w:p>
        </w:tc>
      </w:tr>
      <w:tr w:rsidR="000E5ACC" w:rsidRPr="007F79F5" w14:paraId="50F7C708" w14:textId="77777777" w:rsidTr="00923FFE">
        <w:tc>
          <w:tcPr>
            <w:tcW w:w="13036" w:type="dxa"/>
          </w:tcPr>
          <w:p w14:paraId="7E990F95" w14:textId="57BA9F30" w:rsidR="000E5ACC" w:rsidRPr="007F79F5" w:rsidRDefault="00EB62DF" w:rsidP="007F79F5">
            <w:pPr>
              <w:rPr>
                <w:rFonts w:ascii="Times New Roman" w:eastAsiaTheme="minorHAnsi" w:hAnsi="Times New Roman" w:cs="Times New Roman"/>
                <w:sz w:val="20"/>
                <w:szCs w:val="20"/>
              </w:rPr>
            </w:pPr>
            <w:r w:rsidRPr="007F79F5">
              <w:rPr>
                <w:rFonts w:ascii="Times New Roman" w:eastAsiaTheme="minorHAnsi" w:hAnsi="Times New Roman" w:cs="Times New Roman"/>
                <w:sz w:val="20"/>
                <w:szCs w:val="20"/>
              </w:rPr>
              <w:t>((M=(("Type 2 diabetes" or "T2DM" or "T2D*" or "diabetes") AND ("medication" or "intervention" or "treatment" or " therapy") AND ("burden" or "workload" or "cost" or "experience") AND ("measurement" or "evaluation" or "assessment" or "scale" or "questionnaire")) OR ( R=((("Type 2 diabetes" OR "T2DM" OR "T2D*" OR "diabetes") AND ("medication" OR "intervention" OR "treatment" OR " therapy") AND ("burden" OR "workload" OR "cost" OR "experience") AND ("measurement" OR "evaluation" OR "assessment" OR "scale" OR "questionnaire")))</w:t>
            </w:r>
          </w:p>
        </w:tc>
      </w:tr>
    </w:tbl>
    <w:p w14:paraId="38D3EBF0" w14:textId="0F4E3FBC" w:rsidR="007F79F5" w:rsidRDefault="007F79F5" w:rsidP="007F79F5">
      <w:bookmarkStart w:id="12" w:name="_Toc131670038"/>
      <w:r>
        <w:br w:type="page"/>
      </w:r>
    </w:p>
    <w:p w14:paraId="5D7D9ADE" w14:textId="7EDBFE0D" w:rsidR="009C6B9B" w:rsidRPr="007F79F5" w:rsidRDefault="009C6B9B" w:rsidP="007F79F5">
      <w:pPr>
        <w:pStyle w:val="1"/>
        <w:numPr>
          <w:ilvl w:val="0"/>
          <w:numId w:val="8"/>
        </w:numPr>
        <w:spacing w:before="240"/>
        <w:ind w:left="360"/>
        <w:rPr>
          <w:rFonts w:ascii="Times New Roman" w:hAnsi="Times New Roman" w:cs="Times New Roman"/>
          <w:sz w:val="20"/>
          <w:szCs w:val="20"/>
        </w:rPr>
      </w:pPr>
      <w:bookmarkStart w:id="13" w:name="_Toc137639162"/>
      <w:bookmarkStart w:id="14" w:name="_Toc144294598"/>
      <w:r w:rsidRPr="007F79F5">
        <w:rPr>
          <w:rFonts w:ascii="Times New Roman" w:hAnsi="Times New Roman" w:cs="Times New Roman"/>
          <w:sz w:val="20"/>
          <w:szCs w:val="20"/>
        </w:rPr>
        <w:t>Conceptual framework</w:t>
      </w:r>
      <w:bookmarkEnd w:id="12"/>
      <w:bookmarkEnd w:id="13"/>
      <w:bookmarkEnd w:id="14"/>
    </w:p>
    <w:p w14:paraId="0A5B591C" w14:textId="789D6A26" w:rsidR="00FF769D" w:rsidRPr="007F79F5" w:rsidRDefault="00FF769D" w:rsidP="007F79F5">
      <w:pPr>
        <w:pStyle w:val="2"/>
        <w:spacing w:before="0" w:after="120"/>
        <w:rPr>
          <w:rFonts w:ascii="Times New Roman" w:hAnsi="Times New Roman" w:cs="Times New Roman"/>
          <w:sz w:val="20"/>
          <w:szCs w:val="20"/>
        </w:rPr>
      </w:pPr>
      <w:bookmarkStart w:id="15" w:name="_Toc137639163"/>
      <w:bookmarkStart w:id="16" w:name="_Toc144294599"/>
      <w:r w:rsidRPr="007F79F5">
        <w:rPr>
          <w:rFonts w:ascii="Times New Roman" w:hAnsi="Times New Roman" w:cs="Times New Roman"/>
          <w:sz w:val="20"/>
          <w:szCs w:val="20"/>
        </w:rPr>
        <w:t>Table S</w:t>
      </w:r>
      <w:r w:rsidR="003247B5">
        <w:rPr>
          <w:rFonts w:ascii="Times New Roman" w:hAnsi="Times New Roman" w:cs="Times New Roman"/>
          <w:sz w:val="20"/>
          <w:szCs w:val="20"/>
        </w:rPr>
        <w:t>3</w:t>
      </w:r>
      <w:r w:rsidRPr="007F79F5">
        <w:rPr>
          <w:rFonts w:ascii="Times New Roman" w:hAnsi="Times New Roman" w:cs="Times New Roman"/>
          <w:sz w:val="20"/>
          <w:szCs w:val="20"/>
        </w:rPr>
        <w:t xml:space="preserve"> </w:t>
      </w:r>
      <w:r w:rsidR="00E24AF9" w:rsidRPr="007F79F5">
        <w:rPr>
          <w:rFonts w:ascii="Times New Roman" w:hAnsi="Times New Roman" w:cs="Times New Roman"/>
          <w:sz w:val="20"/>
          <w:szCs w:val="20"/>
        </w:rPr>
        <w:t>Conceptual framework of measuring treatment burden in people with T2DM</w:t>
      </w:r>
      <w:bookmarkEnd w:id="15"/>
      <w:bookmarkEnd w:id="16"/>
    </w:p>
    <w:tbl>
      <w:tblPr>
        <w:tblW w:w="0" w:type="auto"/>
        <w:tblLook w:val="04A0" w:firstRow="1" w:lastRow="0" w:firstColumn="1" w:lastColumn="0" w:noHBand="0" w:noVBand="1"/>
      </w:tblPr>
      <w:tblGrid>
        <w:gridCol w:w="1793"/>
        <w:gridCol w:w="1864"/>
        <w:gridCol w:w="1920"/>
        <w:gridCol w:w="7383"/>
      </w:tblGrid>
      <w:tr w:rsidR="003247B5" w:rsidRPr="007F79F5" w14:paraId="59B4121C" w14:textId="77777777" w:rsidTr="008B6C25">
        <w:trPr>
          <w:trHeight w:val="780"/>
        </w:trPr>
        <w:tc>
          <w:tcPr>
            <w:tcW w:w="0" w:type="auto"/>
            <w:tcBorders>
              <w:top w:val="single" w:sz="8" w:space="0" w:color="auto"/>
              <w:left w:val="nil"/>
              <w:bottom w:val="single" w:sz="8" w:space="0" w:color="auto"/>
              <w:right w:val="nil"/>
            </w:tcBorders>
            <w:shd w:val="clear" w:color="000000" w:fill="FFF2CC"/>
            <w:vAlign w:val="center"/>
            <w:hideMark/>
          </w:tcPr>
          <w:p w14:paraId="2E7D08E4" w14:textId="77777777" w:rsidR="003247B5" w:rsidRPr="007F79F5" w:rsidRDefault="003247B5" w:rsidP="007F79F5">
            <w:pPr>
              <w:widowControl/>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Category</w:t>
            </w:r>
          </w:p>
        </w:tc>
        <w:tc>
          <w:tcPr>
            <w:tcW w:w="0" w:type="auto"/>
            <w:tcBorders>
              <w:top w:val="single" w:sz="8" w:space="0" w:color="auto"/>
              <w:left w:val="nil"/>
              <w:bottom w:val="single" w:sz="8" w:space="0" w:color="auto"/>
              <w:right w:val="nil"/>
            </w:tcBorders>
            <w:shd w:val="clear" w:color="000000" w:fill="FFF2CC"/>
            <w:vAlign w:val="center"/>
            <w:hideMark/>
          </w:tcPr>
          <w:p w14:paraId="0DCAE5A1" w14:textId="77777777" w:rsidR="003247B5" w:rsidRPr="007F79F5" w:rsidRDefault="003247B5" w:rsidP="007F79F5">
            <w:pPr>
              <w:widowControl/>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Themes</w:t>
            </w:r>
          </w:p>
        </w:tc>
        <w:tc>
          <w:tcPr>
            <w:tcW w:w="0" w:type="auto"/>
            <w:tcBorders>
              <w:top w:val="single" w:sz="8" w:space="0" w:color="auto"/>
              <w:left w:val="nil"/>
              <w:bottom w:val="single" w:sz="8" w:space="0" w:color="auto"/>
              <w:right w:val="nil"/>
            </w:tcBorders>
            <w:shd w:val="clear" w:color="000000" w:fill="FFF2CC"/>
            <w:vAlign w:val="center"/>
            <w:hideMark/>
          </w:tcPr>
          <w:p w14:paraId="02F4FFE2" w14:textId="77777777" w:rsidR="003247B5" w:rsidRPr="007F79F5" w:rsidRDefault="003247B5" w:rsidP="007F79F5">
            <w:pPr>
              <w:widowControl/>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Sub-themes</w:t>
            </w:r>
          </w:p>
        </w:tc>
        <w:tc>
          <w:tcPr>
            <w:tcW w:w="0" w:type="auto"/>
            <w:tcBorders>
              <w:top w:val="single" w:sz="8" w:space="0" w:color="auto"/>
              <w:left w:val="nil"/>
              <w:bottom w:val="single" w:sz="8" w:space="0" w:color="auto"/>
              <w:right w:val="nil"/>
            </w:tcBorders>
            <w:shd w:val="clear" w:color="000000" w:fill="FFF2CC"/>
            <w:vAlign w:val="center"/>
            <w:hideMark/>
          </w:tcPr>
          <w:p w14:paraId="0C093E9F" w14:textId="77777777" w:rsidR="003247B5" w:rsidRPr="007F79F5" w:rsidRDefault="003247B5" w:rsidP="007F79F5">
            <w:pPr>
              <w:widowControl/>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Description</w:t>
            </w:r>
          </w:p>
        </w:tc>
      </w:tr>
      <w:tr w:rsidR="003247B5" w:rsidRPr="007F79F5" w14:paraId="38AA2096" w14:textId="77777777" w:rsidTr="008B6C25">
        <w:trPr>
          <w:trHeight w:val="930"/>
        </w:trPr>
        <w:tc>
          <w:tcPr>
            <w:tcW w:w="0" w:type="auto"/>
            <w:tcBorders>
              <w:top w:val="nil"/>
              <w:left w:val="nil"/>
              <w:bottom w:val="nil"/>
              <w:right w:val="nil"/>
            </w:tcBorders>
            <w:shd w:val="clear" w:color="auto" w:fill="auto"/>
            <w:hideMark/>
          </w:tcPr>
          <w:p w14:paraId="6C279D6B"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CORE Measurements</w:t>
            </w:r>
          </w:p>
        </w:tc>
        <w:tc>
          <w:tcPr>
            <w:tcW w:w="0" w:type="auto"/>
            <w:tcBorders>
              <w:top w:val="nil"/>
              <w:left w:val="nil"/>
              <w:bottom w:val="nil"/>
              <w:right w:val="nil"/>
            </w:tcBorders>
            <w:shd w:val="clear" w:color="auto" w:fill="auto"/>
            <w:hideMark/>
          </w:tcPr>
          <w:p w14:paraId="46CEF9F2"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Financial</w:t>
            </w:r>
          </w:p>
        </w:tc>
        <w:tc>
          <w:tcPr>
            <w:tcW w:w="0" w:type="auto"/>
            <w:tcBorders>
              <w:top w:val="nil"/>
              <w:left w:val="nil"/>
              <w:bottom w:val="nil"/>
              <w:right w:val="nil"/>
            </w:tcBorders>
            <w:shd w:val="clear" w:color="auto" w:fill="auto"/>
            <w:hideMark/>
          </w:tcPr>
          <w:p w14:paraId="0E4333F7" w14:textId="38C2D17C"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Out-of-pocket expenses</w:t>
            </w:r>
          </w:p>
        </w:tc>
        <w:tc>
          <w:tcPr>
            <w:tcW w:w="0" w:type="auto"/>
            <w:tcBorders>
              <w:top w:val="nil"/>
              <w:left w:val="nil"/>
              <w:bottom w:val="nil"/>
              <w:right w:val="nil"/>
            </w:tcBorders>
            <w:shd w:val="clear" w:color="auto" w:fill="auto"/>
            <w:hideMark/>
          </w:tcPr>
          <w:p w14:paraId="432D372A" w14:textId="7253BA9A"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Out-of-pocket expenses are the costs that patients must bear personally during the general treatment and management of T2DM, such as medications, examinations, and consultations, which exceed the limits of insurance coverage. These expenses may include costs beyond the insurance limits, as well as deductibles, co-payments, and/or co-insurance.</w:t>
            </w:r>
          </w:p>
        </w:tc>
      </w:tr>
      <w:tr w:rsidR="003247B5" w:rsidRPr="007F79F5" w14:paraId="32C6A302" w14:textId="77777777" w:rsidTr="008B6C25">
        <w:trPr>
          <w:trHeight w:val="1240"/>
        </w:trPr>
        <w:tc>
          <w:tcPr>
            <w:tcW w:w="0" w:type="auto"/>
            <w:tcBorders>
              <w:top w:val="nil"/>
              <w:left w:val="nil"/>
              <w:bottom w:val="nil"/>
              <w:right w:val="nil"/>
            </w:tcBorders>
            <w:shd w:val="clear" w:color="auto" w:fill="auto"/>
          </w:tcPr>
          <w:p w14:paraId="49595D1C"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tcPr>
          <w:p w14:paraId="0455D564" w14:textId="77777777" w:rsidR="003247B5" w:rsidRPr="007F79F5" w:rsidRDefault="003247B5" w:rsidP="007F79F5">
            <w:pPr>
              <w:widowControl/>
              <w:spacing w:after="240"/>
              <w:jc w:val="left"/>
              <w:rPr>
                <w:rFonts w:ascii="Times New Roman" w:eastAsia="Times New Roman" w:hAnsi="Times New Roman" w:cs="Times New Roman"/>
                <w:kern w:val="0"/>
                <w:sz w:val="20"/>
                <w:szCs w:val="20"/>
                <w:lang w:val="en-GB"/>
              </w:rPr>
            </w:pPr>
          </w:p>
        </w:tc>
        <w:tc>
          <w:tcPr>
            <w:tcW w:w="0" w:type="auto"/>
            <w:tcBorders>
              <w:top w:val="nil"/>
              <w:left w:val="nil"/>
              <w:bottom w:val="nil"/>
              <w:right w:val="nil"/>
            </w:tcBorders>
            <w:shd w:val="clear" w:color="auto" w:fill="auto"/>
          </w:tcPr>
          <w:p w14:paraId="3AD67F19" w14:textId="5BDD3CA3"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rPr>
            </w:pPr>
            <w:r w:rsidRPr="007F79F5">
              <w:rPr>
                <w:rFonts w:ascii="Times New Roman" w:eastAsia="Times New Roman" w:hAnsi="Times New Roman" w:cs="Times New Roman"/>
                <w:b/>
                <w:bCs/>
                <w:color w:val="000000"/>
                <w:kern w:val="0"/>
                <w:sz w:val="20"/>
                <w:szCs w:val="20"/>
              </w:rPr>
              <w:t>Costs associated with treatment</w:t>
            </w:r>
          </w:p>
        </w:tc>
        <w:tc>
          <w:tcPr>
            <w:tcW w:w="0" w:type="auto"/>
            <w:tcBorders>
              <w:top w:val="nil"/>
              <w:left w:val="nil"/>
              <w:bottom w:val="nil"/>
              <w:right w:val="nil"/>
            </w:tcBorders>
            <w:shd w:val="clear" w:color="auto" w:fill="auto"/>
          </w:tcPr>
          <w:p w14:paraId="51D6A6B7" w14:textId="516C1633" w:rsidR="003247B5" w:rsidRPr="007F79F5" w:rsidRDefault="003247B5" w:rsidP="007F79F5">
            <w:pPr>
              <w:widowControl/>
              <w:spacing w:after="240"/>
              <w:rPr>
                <w:rFonts w:ascii="Times New Roman" w:eastAsia="Times New Roman" w:hAnsi="Times New Roman" w:cs="Times New Roman"/>
                <w:color w:val="000000"/>
                <w:kern w:val="0"/>
                <w:sz w:val="20"/>
                <w:szCs w:val="20"/>
              </w:rPr>
            </w:pPr>
            <w:r w:rsidRPr="007F79F5">
              <w:rPr>
                <w:rFonts w:ascii="Times New Roman" w:eastAsia="Times New Roman" w:hAnsi="Times New Roman" w:cs="Times New Roman"/>
                <w:color w:val="000000"/>
                <w:kern w:val="0"/>
                <w:sz w:val="20"/>
                <w:szCs w:val="20"/>
              </w:rPr>
              <w:t>These costs refer to expenses that, for various reasons (such as policy limitations or items not included in the scope of health insurance), cannot be reimbursed through health insurance during the treatment and management of T2DM. This may include uncovered medications as prescribed by the doctor, over-the-counter medications, nutritional supplements, medical equipment, specialized medical devices, examination fees, and alternative therapies.</w:t>
            </w:r>
          </w:p>
        </w:tc>
      </w:tr>
      <w:tr w:rsidR="003247B5" w:rsidRPr="007F79F5" w14:paraId="14EA4B9A" w14:textId="77777777" w:rsidTr="008B6C25">
        <w:trPr>
          <w:trHeight w:val="930"/>
        </w:trPr>
        <w:tc>
          <w:tcPr>
            <w:tcW w:w="0" w:type="auto"/>
            <w:tcBorders>
              <w:top w:val="nil"/>
              <w:left w:val="nil"/>
              <w:bottom w:val="nil"/>
              <w:right w:val="nil"/>
            </w:tcBorders>
            <w:shd w:val="clear" w:color="auto" w:fill="auto"/>
            <w:hideMark/>
          </w:tcPr>
          <w:p w14:paraId="7CA9B950"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hideMark/>
          </w:tcPr>
          <w:p w14:paraId="16372BF9"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Medication</w:t>
            </w:r>
          </w:p>
        </w:tc>
        <w:tc>
          <w:tcPr>
            <w:tcW w:w="0" w:type="auto"/>
            <w:tcBorders>
              <w:top w:val="nil"/>
              <w:left w:val="nil"/>
              <w:bottom w:val="nil"/>
              <w:right w:val="nil"/>
            </w:tcBorders>
            <w:shd w:val="clear" w:color="auto" w:fill="auto"/>
            <w:hideMark/>
          </w:tcPr>
          <w:p w14:paraId="2AAA5130"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Complexity of medication use</w:t>
            </w:r>
          </w:p>
        </w:tc>
        <w:tc>
          <w:tcPr>
            <w:tcW w:w="0" w:type="auto"/>
            <w:tcBorders>
              <w:top w:val="nil"/>
              <w:left w:val="nil"/>
              <w:bottom w:val="nil"/>
              <w:right w:val="nil"/>
            </w:tcBorders>
            <w:shd w:val="clear" w:color="auto" w:fill="auto"/>
            <w:hideMark/>
          </w:tcPr>
          <w:p w14:paraId="62F966D1" w14:textId="77777777"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Complexity of medication use refers to the difficulties that people face in taking their medications as prescribed. This can include having to take multiple medications every day, having to remember to take medications at specific times, and managing side effects and interactions with other medications.</w:t>
            </w:r>
          </w:p>
        </w:tc>
      </w:tr>
      <w:tr w:rsidR="003247B5" w:rsidRPr="007F79F5" w14:paraId="3C5AFEDE" w14:textId="77777777" w:rsidTr="008B6C25">
        <w:trPr>
          <w:trHeight w:val="930"/>
        </w:trPr>
        <w:tc>
          <w:tcPr>
            <w:tcW w:w="0" w:type="auto"/>
            <w:tcBorders>
              <w:top w:val="nil"/>
              <w:left w:val="nil"/>
              <w:bottom w:val="nil"/>
              <w:right w:val="nil"/>
            </w:tcBorders>
            <w:shd w:val="clear" w:color="auto" w:fill="auto"/>
            <w:hideMark/>
          </w:tcPr>
          <w:p w14:paraId="7B630718"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hideMark/>
          </w:tcPr>
          <w:p w14:paraId="21140DBF" w14:textId="77777777" w:rsidR="003247B5" w:rsidRPr="007F79F5" w:rsidRDefault="003247B5" w:rsidP="007F79F5">
            <w:pPr>
              <w:widowControl/>
              <w:spacing w:after="240"/>
              <w:jc w:val="left"/>
              <w:rPr>
                <w:rFonts w:ascii="Times New Roman" w:eastAsia="Times New Roman" w:hAnsi="Times New Roman" w:cs="Times New Roman"/>
                <w:kern w:val="0"/>
                <w:sz w:val="20"/>
                <w:szCs w:val="20"/>
                <w:lang w:val="en-GB"/>
              </w:rPr>
            </w:pPr>
          </w:p>
        </w:tc>
        <w:tc>
          <w:tcPr>
            <w:tcW w:w="0" w:type="auto"/>
            <w:tcBorders>
              <w:top w:val="nil"/>
              <w:left w:val="nil"/>
              <w:bottom w:val="nil"/>
              <w:right w:val="nil"/>
            </w:tcBorders>
            <w:shd w:val="clear" w:color="auto" w:fill="auto"/>
            <w:hideMark/>
          </w:tcPr>
          <w:p w14:paraId="6E2E018D"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Management of medications</w:t>
            </w:r>
          </w:p>
        </w:tc>
        <w:tc>
          <w:tcPr>
            <w:tcW w:w="0" w:type="auto"/>
            <w:tcBorders>
              <w:top w:val="nil"/>
              <w:left w:val="nil"/>
              <w:bottom w:val="nil"/>
              <w:right w:val="nil"/>
            </w:tcBorders>
            <w:shd w:val="clear" w:color="auto" w:fill="auto"/>
            <w:hideMark/>
          </w:tcPr>
          <w:p w14:paraId="75FE6AFA" w14:textId="77777777"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Management of medications refers to the processes and strategies used to ensure that medications are taken as prescribed and that they are used effectively to manage the condition. This can include medication storage, monitoring interactions, and having support and resources to manage their medications effectively.</w:t>
            </w:r>
          </w:p>
        </w:tc>
      </w:tr>
      <w:tr w:rsidR="003247B5" w:rsidRPr="007F79F5" w14:paraId="7D7F8F5A" w14:textId="77777777" w:rsidTr="008B6C25">
        <w:trPr>
          <w:trHeight w:val="930"/>
        </w:trPr>
        <w:tc>
          <w:tcPr>
            <w:tcW w:w="0" w:type="auto"/>
            <w:tcBorders>
              <w:top w:val="nil"/>
              <w:left w:val="nil"/>
              <w:bottom w:val="nil"/>
              <w:right w:val="nil"/>
            </w:tcBorders>
            <w:shd w:val="clear" w:color="auto" w:fill="auto"/>
            <w:hideMark/>
          </w:tcPr>
          <w:p w14:paraId="09F062D8"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hideMark/>
          </w:tcPr>
          <w:p w14:paraId="660CA3ED" w14:textId="77777777" w:rsidR="003247B5" w:rsidRPr="007F79F5" w:rsidRDefault="003247B5" w:rsidP="007F79F5">
            <w:pPr>
              <w:widowControl/>
              <w:spacing w:after="240"/>
              <w:jc w:val="left"/>
              <w:rPr>
                <w:rFonts w:ascii="Times New Roman" w:eastAsia="Times New Roman" w:hAnsi="Times New Roman" w:cs="Times New Roman"/>
                <w:kern w:val="0"/>
                <w:sz w:val="20"/>
                <w:szCs w:val="20"/>
                <w:lang w:val="en-GB"/>
              </w:rPr>
            </w:pPr>
          </w:p>
        </w:tc>
        <w:tc>
          <w:tcPr>
            <w:tcW w:w="0" w:type="auto"/>
            <w:tcBorders>
              <w:top w:val="nil"/>
              <w:left w:val="nil"/>
              <w:bottom w:val="nil"/>
              <w:right w:val="nil"/>
            </w:tcBorders>
            <w:shd w:val="clear" w:color="auto" w:fill="auto"/>
            <w:hideMark/>
          </w:tcPr>
          <w:p w14:paraId="331AE50E"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Drug dependence</w:t>
            </w:r>
          </w:p>
        </w:tc>
        <w:tc>
          <w:tcPr>
            <w:tcW w:w="0" w:type="auto"/>
            <w:tcBorders>
              <w:top w:val="nil"/>
              <w:left w:val="nil"/>
              <w:bottom w:val="nil"/>
              <w:right w:val="nil"/>
            </w:tcBorders>
            <w:shd w:val="clear" w:color="auto" w:fill="auto"/>
            <w:hideMark/>
          </w:tcPr>
          <w:p w14:paraId="29D2226E" w14:textId="35967664"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Drug dependence in the context of T2DM treatment encompasses not only a physiological need for medication but also a psychological reliance on it. This psychological dependence may lead patients to experience discomfort when discontinuing medication use, even if the medication is not physiologically necessary. This psychological dependence does not necessarily indicate a physiological reliance; however, it can influence patients' medication usage and treatment decision-making.</w:t>
            </w:r>
          </w:p>
        </w:tc>
      </w:tr>
      <w:tr w:rsidR="003247B5" w:rsidRPr="007F79F5" w14:paraId="7D538E36" w14:textId="77777777" w:rsidTr="008B6C25">
        <w:trPr>
          <w:trHeight w:val="1240"/>
        </w:trPr>
        <w:tc>
          <w:tcPr>
            <w:tcW w:w="0" w:type="auto"/>
            <w:tcBorders>
              <w:top w:val="nil"/>
              <w:left w:val="nil"/>
              <w:bottom w:val="nil"/>
              <w:right w:val="nil"/>
            </w:tcBorders>
            <w:shd w:val="clear" w:color="auto" w:fill="auto"/>
            <w:hideMark/>
          </w:tcPr>
          <w:p w14:paraId="21AB7525"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hideMark/>
          </w:tcPr>
          <w:p w14:paraId="49B9D340" w14:textId="77777777" w:rsidR="003247B5" w:rsidRPr="007F79F5" w:rsidRDefault="003247B5" w:rsidP="007F79F5">
            <w:pPr>
              <w:widowControl/>
              <w:spacing w:after="240"/>
              <w:jc w:val="left"/>
              <w:rPr>
                <w:rFonts w:ascii="Times New Roman" w:eastAsia="Times New Roman" w:hAnsi="Times New Roman" w:cs="Times New Roman"/>
                <w:kern w:val="0"/>
                <w:sz w:val="20"/>
                <w:szCs w:val="20"/>
                <w:lang w:val="en-GB"/>
              </w:rPr>
            </w:pPr>
          </w:p>
        </w:tc>
        <w:tc>
          <w:tcPr>
            <w:tcW w:w="0" w:type="auto"/>
            <w:tcBorders>
              <w:top w:val="nil"/>
              <w:left w:val="nil"/>
              <w:bottom w:val="nil"/>
              <w:right w:val="nil"/>
            </w:tcBorders>
            <w:shd w:val="clear" w:color="auto" w:fill="auto"/>
            <w:hideMark/>
          </w:tcPr>
          <w:p w14:paraId="09530D52"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Side effect</w:t>
            </w:r>
          </w:p>
        </w:tc>
        <w:tc>
          <w:tcPr>
            <w:tcW w:w="0" w:type="auto"/>
            <w:tcBorders>
              <w:top w:val="nil"/>
              <w:left w:val="nil"/>
              <w:bottom w:val="nil"/>
              <w:right w:val="nil"/>
            </w:tcBorders>
            <w:shd w:val="clear" w:color="auto" w:fill="auto"/>
            <w:hideMark/>
          </w:tcPr>
          <w:p w14:paraId="5232AE3F" w14:textId="77777777"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Side effects refer to the unwanted or unintended effects that can occur as a result of taking medication. Side effects can vary depending on the medication, dose, and individual, and can include physical symptoms such as nausea, headache, or weight gain, or psychological symptoms such as anxiety or depression. The process of monitoring and managing side effects can also contribute to the overall treatment burden experienced by people with T2DM.</w:t>
            </w:r>
          </w:p>
        </w:tc>
      </w:tr>
      <w:tr w:rsidR="003247B5" w:rsidRPr="007F79F5" w14:paraId="3E817EA8" w14:textId="77777777" w:rsidTr="008B6C25">
        <w:trPr>
          <w:trHeight w:val="1860"/>
        </w:trPr>
        <w:tc>
          <w:tcPr>
            <w:tcW w:w="0" w:type="auto"/>
            <w:tcBorders>
              <w:top w:val="nil"/>
              <w:left w:val="nil"/>
              <w:bottom w:val="nil"/>
              <w:right w:val="nil"/>
            </w:tcBorders>
            <w:shd w:val="clear" w:color="auto" w:fill="auto"/>
            <w:hideMark/>
          </w:tcPr>
          <w:p w14:paraId="098399F8"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hideMark/>
          </w:tcPr>
          <w:p w14:paraId="18B66563"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Administrative</w:t>
            </w:r>
          </w:p>
        </w:tc>
        <w:tc>
          <w:tcPr>
            <w:tcW w:w="0" w:type="auto"/>
            <w:tcBorders>
              <w:top w:val="nil"/>
              <w:left w:val="nil"/>
              <w:bottom w:val="nil"/>
              <w:right w:val="nil"/>
            </w:tcBorders>
            <w:shd w:val="clear" w:color="auto" w:fill="auto"/>
            <w:hideMark/>
          </w:tcPr>
          <w:p w14:paraId="65553EA2"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Challenges of medical regimen</w:t>
            </w:r>
          </w:p>
        </w:tc>
        <w:tc>
          <w:tcPr>
            <w:tcW w:w="0" w:type="auto"/>
            <w:tcBorders>
              <w:top w:val="nil"/>
              <w:left w:val="nil"/>
              <w:bottom w:val="nil"/>
              <w:right w:val="nil"/>
            </w:tcBorders>
            <w:shd w:val="clear" w:color="auto" w:fill="auto"/>
            <w:hideMark/>
          </w:tcPr>
          <w:p w14:paraId="1250BD79" w14:textId="77777777"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Challenges of medical regimen are a significant aspect of self-administrative burden for individuals with T2DM, referring to the difficulties of managing their own treatment and care without external assistance. This burden arises from the complex medical regimen that requires self-monitoring of blood sugar levels and adherence to multiple self-management strategies. The challenges may also include adapting to the necessary changes for maintaining good health. Furthermore, the presence of multi-morbidities and multi-medications can further complicate the medical regimen and increase the burden on individuals with T2DM.</w:t>
            </w:r>
          </w:p>
        </w:tc>
      </w:tr>
      <w:tr w:rsidR="003247B5" w:rsidRPr="007F79F5" w14:paraId="7B035E4C" w14:textId="77777777" w:rsidTr="008B6C25">
        <w:trPr>
          <w:trHeight w:val="930"/>
        </w:trPr>
        <w:tc>
          <w:tcPr>
            <w:tcW w:w="0" w:type="auto"/>
            <w:tcBorders>
              <w:top w:val="nil"/>
              <w:left w:val="nil"/>
              <w:bottom w:val="nil"/>
              <w:right w:val="nil"/>
            </w:tcBorders>
            <w:shd w:val="clear" w:color="auto" w:fill="auto"/>
            <w:hideMark/>
          </w:tcPr>
          <w:p w14:paraId="08E4D99D"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hideMark/>
          </w:tcPr>
          <w:p w14:paraId="4E7D02B3" w14:textId="77777777" w:rsidR="003247B5" w:rsidRPr="007F79F5" w:rsidRDefault="003247B5" w:rsidP="007F79F5">
            <w:pPr>
              <w:widowControl/>
              <w:spacing w:after="240"/>
              <w:jc w:val="left"/>
              <w:rPr>
                <w:rFonts w:ascii="Times New Roman" w:eastAsia="Times New Roman" w:hAnsi="Times New Roman" w:cs="Times New Roman"/>
                <w:kern w:val="0"/>
                <w:sz w:val="20"/>
                <w:szCs w:val="20"/>
                <w:lang w:val="en-GB"/>
              </w:rPr>
            </w:pPr>
          </w:p>
        </w:tc>
        <w:tc>
          <w:tcPr>
            <w:tcW w:w="0" w:type="auto"/>
            <w:tcBorders>
              <w:top w:val="nil"/>
              <w:left w:val="nil"/>
              <w:bottom w:val="nil"/>
              <w:right w:val="nil"/>
            </w:tcBorders>
            <w:shd w:val="clear" w:color="auto" w:fill="auto"/>
            <w:hideMark/>
          </w:tcPr>
          <w:p w14:paraId="5042D448"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Documentation and paperwork</w:t>
            </w:r>
          </w:p>
        </w:tc>
        <w:tc>
          <w:tcPr>
            <w:tcW w:w="0" w:type="auto"/>
            <w:tcBorders>
              <w:top w:val="nil"/>
              <w:left w:val="nil"/>
              <w:bottom w:val="nil"/>
              <w:right w:val="nil"/>
            </w:tcBorders>
            <w:shd w:val="clear" w:color="auto" w:fill="auto"/>
            <w:hideMark/>
          </w:tcPr>
          <w:p w14:paraId="2ED6A1A1" w14:textId="77777777"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Individuals with T2DM often face the burden of managing extensive paperwork related to their treatment and care, such as medical records, insurance forms, and other documentation. This can be a time-consuming and confusing task, and may result in gaps in care if not managed effectively.</w:t>
            </w:r>
          </w:p>
        </w:tc>
      </w:tr>
      <w:tr w:rsidR="003247B5" w:rsidRPr="007F79F5" w14:paraId="5F218946" w14:textId="77777777" w:rsidTr="008B6C25">
        <w:trPr>
          <w:trHeight w:val="930"/>
        </w:trPr>
        <w:tc>
          <w:tcPr>
            <w:tcW w:w="0" w:type="auto"/>
            <w:tcBorders>
              <w:top w:val="nil"/>
              <w:left w:val="nil"/>
              <w:bottom w:val="nil"/>
              <w:right w:val="nil"/>
            </w:tcBorders>
            <w:shd w:val="clear" w:color="auto" w:fill="auto"/>
            <w:hideMark/>
          </w:tcPr>
          <w:p w14:paraId="4B458E62"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hideMark/>
          </w:tcPr>
          <w:p w14:paraId="46741A58" w14:textId="77777777" w:rsidR="003247B5" w:rsidRPr="007F79F5" w:rsidRDefault="003247B5" w:rsidP="007F79F5">
            <w:pPr>
              <w:widowControl/>
              <w:spacing w:after="240"/>
              <w:jc w:val="left"/>
              <w:rPr>
                <w:rFonts w:ascii="Times New Roman" w:eastAsia="Times New Roman" w:hAnsi="Times New Roman" w:cs="Times New Roman"/>
                <w:kern w:val="0"/>
                <w:sz w:val="20"/>
                <w:szCs w:val="20"/>
                <w:lang w:val="en-GB"/>
              </w:rPr>
            </w:pPr>
          </w:p>
        </w:tc>
        <w:tc>
          <w:tcPr>
            <w:tcW w:w="0" w:type="auto"/>
            <w:tcBorders>
              <w:top w:val="nil"/>
              <w:left w:val="nil"/>
              <w:bottom w:val="nil"/>
              <w:right w:val="nil"/>
            </w:tcBorders>
            <w:shd w:val="clear" w:color="auto" w:fill="auto"/>
            <w:hideMark/>
          </w:tcPr>
          <w:p w14:paraId="20DEB0DF"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Arranging appointments</w:t>
            </w:r>
          </w:p>
        </w:tc>
        <w:tc>
          <w:tcPr>
            <w:tcW w:w="0" w:type="auto"/>
            <w:tcBorders>
              <w:top w:val="nil"/>
              <w:left w:val="nil"/>
              <w:bottom w:val="nil"/>
              <w:right w:val="nil"/>
            </w:tcBorders>
            <w:shd w:val="clear" w:color="auto" w:fill="auto"/>
            <w:hideMark/>
          </w:tcPr>
          <w:p w14:paraId="1A342FFC" w14:textId="77777777"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Individuals with T2DM often experience the burden of frequent medical appointments and monitoring, which can be challenging to coordinate and manage. This includes scheduling appointments with healthcare providers, arranging for medical tests, and planning for hospitalizations when necessary.</w:t>
            </w:r>
          </w:p>
        </w:tc>
      </w:tr>
      <w:tr w:rsidR="003247B5" w:rsidRPr="007F79F5" w14:paraId="6D9E4CD9" w14:textId="77777777" w:rsidTr="008B6C25">
        <w:trPr>
          <w:trHeight w:val="1240"/>
        </w:trPr>
        <w:tc>
          <w:tcPr>
            <w:tcW w:w="0" w:type="auto"/>
            <w:tcBorders>
              <w:top w:val="nil"/>
              <w:left w:val="nil"/>
              <w:bottom w:val="nil"/>
              <w:right w:val="nil"/>
            </w:tcBorders>
            <w:shd w:val="clear" w:color="auto" w:fill="auto"/>
            <w:hideMark/>
          </w:tcPr>
          <w:p w14:paraId="249C1B26"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hideMark/>
          </w:tcPr>
          <w:p w14:paraId="13CA36AE"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Lifestyle</w:t>
            </w:r>
          </w:p>
        </w:tc>
        <w:tc>
          <w:tcPr>
            <w:tcW w:w="0" w:type="auto"/>
            <w:tcBorders>
              <w:top w:val="nil"/>
              <w:left w:val="nil"/>
              <w:bottom w:val="nil"/>
              <w:right w:val="nil"/>
            </w:tcBorders>
            <w:shd w:val="clear" w:color="auto" w:fill="auto"/>
            <w:hideMark/>
          </w:tcPr>
          <w:p w14:paraId="0BAB98AC"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Challenges of health behaviours</w:t>
            </w:r>
          </w:p>
        </w:tc>
        <w:tc>
          <w:tcPr>
            <w:tcW w:w="0" w:type="auto"/>
            <w:tcBorders>
              <w:top w:val="nil"/>
              <w:left w:val="nil"/>
              <w:bottom w:val="nil"/>
              <w:right w:val="nil"/>
            </w:tcBorders>
            <w:shd w:val="clear" w:color="auto" w:fill="auto"/>
            <w:hideMark/>
          </w:tcPr>
          <w:p w14:paraId="510CA838" w14:textId="77777777"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Challenges of health behaviours refer to the physical and mental effort required to adopt and maintain healthy behaviours such as changes to diet, exercise, and sleep patterns. This can include challenges such as finding the time and resources to make healthy meals or finding motivation to exercise regularly. For people with T2DM, there may be additional challenges such as limited access to healthy food options or physical limitations that make exercise difficult.</w:t>
            </w:r>
          </w:p>
        </w:tc>
      </w:tr>
      <w:tr w:rsidR="003247B5" w:rsidRPr="007F79F5" w14:paraId="09E60505" w14:textId="77777777" w:rsidTr="008B6C25">
        <w:trPr>
          <w:trHeight w:val="1860"/>
        </w:trPr>
        <w:tc>
          <w:tcPr>
            <w:tcW w:w="0" w:type="auto"/>
            <w:tcBorders>
              <w:top w:val="nil"/>
              <w:left w:val="nil"/>
              <w:bottom w:val="nil"/>
              <w:right w:val="nil"/>
            </w:tcBorders>
            <w:shd w:val="clear" w:color="auto" w:fill="auto"/>
            <w:hideMark/>
          </w:tcPr>
          <w:p w14:paraId="6CF71F3C"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hideMark/>
          </w:tcPr>
          <w:p w14:paraId="5F762B1E" w14:textId="77777777" w:rsidR="003247B5" w:rsidRPr="007F79F5" w:rsidRDefault="003247B5" w:rsidP="007F79F5">
            <w:pPr>
              <w:widowControl/>
              <w:spacing w:after="240"/>
              <w:jc w:val="left"/>
              <w:rPr>
                <w:rFonts w:ascii="Times New Roman" w:eastAsia="Times New Roman" w:hAnsi="Times New Roman" w:cs="Times New Roman"/>
                <w:kern w:val="0"/>
                <w:sz w:val="20"/>
                <w:szCs w:val="20"/>
                <w:lang w:val="en-GB"/>
              </w:rPr>
            </w:pPr>
          </w:p>
        </w:tc>
        <w:tc>
          <w:tcPr>
            <w:tcW w:w="0" w:type="auto"/>
            <w:tcBorders>
              <w:top w:val="nil"/>
              <w:left w:val="nil"/>
              <w:bottom w:val="nil"/>
              <w:right w:val="nil"/>
            </w:tcBorders>
            <w:shd w:val="clear" w:color="auto" w:fill="auto"/>
            <w:hideMark/>
          </w:tcPr>
          <w:p w14:paraId="358EA8B2"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Change of nature behaviour</w:t>
            </w:r>
          </w:p>
        </w:tc>
        <w:tc>
          <w:tcPr>
            <w:tcW w:w="0" w:type="auto"/>
            <w:tcBorders>
              <w:top w:val="nil"/>
              <w:left w:val="nil"/>
              <w:bottom w:val="nil"/>
              <w:right w:val="nil"/>
            </w:tcBorders>
            <w:shd w:val="clear" w:color="auto" w:fill="auto"/>
            <w:hideMark/>
          </w:tcPr>
          <w:p w14:paraId="3CEA770D" w14:textId="77777777"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Change in the nature of behaviour refers to the impact of changes in health behaviours on a person's daily life, interests, and social interactions. For people with T2DM, changes to their diet, exercise routine, and other health behaviours may require them to limit or avoid certain activities or foods they previously enjoyed. For instance, if they are used to a more sedentary lifestyle, adapting to an exercise routine can be challenging. These changes can lead to feelings of guilt or frustration and social isolation if they are unable to participate in activities with friends and family due to their condition.</w:t>
            </w:r>
          </w:p>
        </w:tc>
      </w:tr>
      <w:tr w:rsidR="003247B5" w:rsidRPr="007F79F5" w14:paraId="63EC5DD3" w14:textId="77777777" w:rsidTr="008B6C25">
        <w:trPr>
          <w:trHeight w:val="1240"/>
        </w:trPr>
        <w:tc>
          <w:tcPr>
            <w:tcW w:w="0" w:type="auto"/>
            <w:tcBorders>
              <w:top w:val="nil"/>
              <w:left w:val="nil"/>
              <w:bottom w:val="nil"/>
              <w:right w:val="nil"/>
            </w:tcBorders>
            <w:shd w:val="clear" w:color="auto" w:fill="auto"/>
            <w:hideMark/>
          </w:tcPr>
          <w:p w14:paraId="585B3561"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hideMark/>
          </w:tcPr>
          <w:p w14:paraId="3E1BBCA7"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Healthcare</w:t>
            </w:r>
          </w:p>
        </w:tc>
        <w:tc>
          <w:tcPr>
            <w:tcW w:w="0" w:type="auto"/>
            <w:tcBorders>
              <w:top w:val="nil"/>
              <w:left w:val="nil"/>
              <w:bottom w:val="nil"/>
              <w:right w:val="nil"/>
            </w:tcBorders>
            <w:shd w:val="clear" w:color="auto" w:fill="auto"/>
            <w:hideMark/>
          </w:tcPr>
          <w:p w14:paraId="060F44D6"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Health care fragmentation</w:t>
            </w:r>
          </w:p>
        </w:tc>
        <w:tc>
          <w:tcPr>
            <w:tcW w:w="0" w:type="auto"/>
            <w:tcBorders>
              <w:top w:val="nil"/>
              <w:left w:val="nil"/>
              <w:bottom w:val="nil"/>
              <w:right w:val="nil"/>
            </w:tcBorders>
            <w:shd w:val="clear" w:color="auto" w:fill="auto"/>
            <w:hideMark/>
          </w:tcPr>
          <w:p w14:paraId="12D080DD" w14:textId="77777777"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Healthcare fragmentation refers to the lack of coordination or disconnection between different components of the healthcare system, such as primary care, specialist care, hospital care, and community-based services. This fragmentation can create challenges for people with T2DM in accessing and navigating the healthcare system, as well as in receiving consistent and effective care for their condition.</w:t>
            </w:r>
          </w:p>
        </w:tc>
      </w:tr>
      <w:tr w:rsidR="003247B5" w:rsidRPr="007F79F5" w14:paraId="557A64A5" w14:textId="77777777" w:rsidTr="008B6C25">
        <w:trPr>
          <w:trHeight w:val="1240"/>
        </w:trPr>
        <w:tc>
          <w:tcPr>
            <w:tcW w:w="0" w:type="auto"/>
            <w:tcBorders>
              <w:top w:val="nil"/>
              <w:left w:val="nil"/>
              <w:bottom w:val="nil"/>
              <w:right w:val="nil"/>
            </w:tcBorders>
            <w:shd w:val="clear" w:color="auto" w:fill="auto"/>
            <w:hideMark/>
          </w:tcPr>
          <w:p w14:paraId="7DD842B0"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hideMark/>
          </w:tcPr>
          <w:p w14:paraId="6C834E60" w14:textId="77777777" w:rsidR="003247B5" w:rsidRPr="007F79F5" w:rsidRDefault="003247B5" w:rsidP="007F79F5">
            <w:pPr>
              <w:widowControl/>
              <w:spacing w:after="240"/>
              <w:jc w:val="left"/>
              <w:rPr>
                <w:rFonts w:ascii="Times New Roman" w:eastAsia="Times New Roman" w:hAnsi="Times New Roman" w:cs="Times New Roman"/>
                <w:kern w:val="0"/>
                <w:sz w:val="20"/>
                <w:szCs w:val="20"/>
                <w:lang w:val="en-GB"/>
              </w:rPr>
            </w:pPr>
          </w:p>
        </w:tc>
        <w:tc>
          <w:tcPr>
            <w:tcW w:w="0" w:type="auto"/>
            <w:tcBorders>
              <w:top w:val="nil"/>
              <w:left w:val="nil"/>
              <w:bottom w:val="nil"/>
              <w:right w:val="nil"/>
            </w:tcBorders>
            <w:shd w:val="clear" w:color="auto" w:fill="auto"/>
            <w:hideMark/>
          </w:tcPr>
          <w:p w14:paraId="5B77CEF6"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Health care provider obstacles</w:t>
            </w:r>
          </w:p>
        </w:tc>
        <w:tc>
          <w:tcPr>
            <w:tcW w:w="0" w:type="auto"/>
            <w:tcBorders>
              <w:top w:val="nil"/>
              <w:left w:val="nil"/>
              <w:bottom w:val="nil"/>
              <w:right w:val="nil"/>
            </w:tcBorders>
            <w:shd w:val="clear" w:color="auto" w:fill="auto"/>
            <w:hideMark/>
          </w:tcPr>
          <w:p w14:paraId="1E4B9AB2" w14:textId="77777777"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Obstacles related to healthcare providers can pose challenges for people with T2DM in receiving proper care and effectively managing their condition. These obstacles may include a lack of access to specialists, long wait times, and difficulties in communication with care providers. The limited availability of healthcare providers can result in patients having to make additional efforts to overcome these obstacles.</w:t>
            </w:r>
          </w:p>
        </w:tc>
      </w:tr>
      <w:tr w:rsidR="003247B5" w:rsidRPr="007F79F5" w14:paraId="4B3C19AE" w14:textId="77777777" w:rsidTr="008B6C25">
        <w:trPr>
          <w:trHeight w:val="930"/>
        </w:trPr>
        <w:tc>
          <w:tcPr>
            <w:tcW w:w="0" w:type="auto"/>
            <w:tcBorders>
              <w:top w:val="nil"/>
              <w:left w:val="nil"/>
              <w:bottom w:val="nil"/>
              <w:right w:val="nil"/>
            </w:tcBorders>
            <w:shd w:val="clear" w:color="auto" w:fill="auto"/>
            <w:hideMark/>
          </w:tcPr>
          <w:p w14:paraId="537400CE"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hideMark/>
          </w:tcPr>
          <w:p w14:paraId="244FCA23" w14:textId="77777777" w:rsidR="003247B5" w:rsidRPr="007F79F5" w:rsidRDefault="003247B5" w:rsidP="007F79F5">
            <w:pPr>
              <w:widowControl/>
              <w:spacing w:after="240"/>
              <w:jc w:val="left"/>
              <w:rPr>
                <w:rFonts w:ascii="Times New Roman" w:eastAsia="Times New Roman" w:hAnsi="Times New Roman" w:cs="Times New Roman"/>
                <w:kern w:val="0"/>
                <w:sz w:val="20"/>
                <w:szCs w:val="20"/>
                <w:lang w:val="en-GB"/>
              </w:rPr>
            </w:pPr>
          </w:p>
        </w:tc>
        <w:tc>
          <w:tcPr>
            <w:tcW w:w="0" w:type="auto"/>
            <w:tcBorders>
              <w:top w:val="nil"/>
              <w:left w:val="nil"/>
              <w:bottom w:val="nil"/>
              <w:right w:val="nil"/>
            </w:tcBorders>
            <w:shd w:val="clear" w:color="auto" w:fill="auto"/>
            <w:hideMark/>
          </w:tcPr>
          <w:p w14:paraId="5E71DE5D"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Difficulty navigating the health system</w:t>
            </w:r>
          </w:p>
        </w:tc>
        <w:tc>
          <w:tcPr>
            <w:tcW w:w="0" w:type="auto"/>
            <w:tcBorders>
              <w:top w:val="nil"/>
              <w:left w:val="nil"/>
              <w:bottom w:val="nil"/>
              <w:right w:val="nil"/>
            </w:tcBorders>
            <w:shd w:val="clear" w:color="auto" w:fill="auto"/>
            <w:hideMark/>
          </w:tcPr>
          <w:p w14:paraId="516C8521" w14:textId="77777777"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Navigating the healthcare system can be a challenging and complex process, particularly for individuals with T2DM who require multiple appointments, procedures, and medications. The difficulty in navigating the health system refers to the obstacles and complications patients face when trying to access their healthcare needs within the system.</w:t>
            </w:r>
          </w:p>
        </w:tc>
      </w:tr>
      <w:tr w:rsidR="003247B5" w:rsidRPr="007F79F5" w14:paraId="50439398" w14:textId="77777777" w:rsidTr="008B6C25">
        <w:trPr>
          <w:trHeight w:val="1240"/>
        </w:trPr>
        <w:tc>
          <w:tcPr>
            <w:tcW w:w="0" w:type="auto"/>
            <w:tcBorders>
              <w:top w:val="nil"/>
              <w:left w:val="nil"/>
              <w:bottom w:val="nil"/>
              <w:right w:val="nil"/>
            </w:tcBorders>
            <w:shd w:val="clear" w:color="auto" w:fill="auto"/>
            <w:hideMark/>
          </w:tcPr>
          <w:p w14:paraId="5BB2081E"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hideMark/>
          </w:tcPr>
          <w:p w14:paraId="57EE53EB" w14:textId="77777777" w:rsidR="003247B5" w:rsidRPr="007F79F5" w:rsidRDefault="003247B5" w:rsidP="007F79F5">
            <w:pPr>
              <w:widowControl/>
              <w:spacing w:after="240"/>
              <w:jc w:val="left"/>
              <w:rPr>
                <w:rFonts w:ascii="Times New Roman" w:eastAsia="Times New Roman" w:hAnsi="Times New Roman" w:cs="Times New Roman"/>
                <w:kern w:val="0"/>
                <w:sz w:val="20"/>
                <w:szCs w:val="20"/>
                <w:lang w:val="en-GB"/>
              </w:rPr>
            </w:pPr>
          </w:p>
        </w:tc>
        <w:tc>
          <w:tcPr>
            <w:tcW w:w="0" w:type="auto"/>
            <w:tcBorders>
              <w:top w:val="nil"/>
              <w:left w:val="nil"/>
              <w:bottom w:val="nil"/>
              <w:right w:val="nil"/>
            </w:tcBorders>
            <w:shd w:val="clear" w:color="auto" w:fill="auto"/>
            <w:hideMark/>
          </w:tcPr>
          <w:p w14:paraId="0E7801EC"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Insurance or recourse use</w:t>
            </w:r>
          </w:p>
        </w:tc>
        <w:tc>
          <w:tcPr>
            <w:tcW w:w="0" w:type="auto"/>
            <w:tcBorders>
              <w:top w:val="nil"/>
              <w:left w:val="nil"/>
              <w:bottom w:val="nil"/>
              <w:right w:val="nil"/>
            </w:tcBorders>
            <w:shd w:val="clear" w:color="auto" w:fill="auto"/>
            <w:hideMark/>
          </w:tcPr>
          <w:p w14:paraId="2CEE6273" w14:textId="77777777"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Insurance and resource use can have a significant impact on the healthcare of people with T2DM, but the complex insurance and resource landscape can create difficulties, including challenges in understanding insurance plans, coverage, and the appeals process. Individuals with T2DM may struggle to access the care they need, for instance, they may have difficulty comprehending and utilizing their insurance coverage.</w:t>
            </w:r>
          </w:p>
        </w:tc>
      </w:tr>
      <w:tr w:rsidR="003247B5" w:rsidRPr="007F79F5" w14:paraId="1C9E2B06" w14:textId="77777777" w:rsidTr="008B6C25">
        <w:trPr>
          <w:trHeight w:val="930"/>
        </w:trPr>
        <w:tc>
          <w:tcPr>
            <w:tcW w:w="0" w:type="auto"/>
            <w:tcBorders>
              <w:top w:val="nil"/>
              <w:left w:val="nil"/>
              <w:bottom w:val="nil"/>
              <w:right w:val="nil"/>
            </w:tcBorders>
            <w:shd w:val="clear" w:color="auto" w:fill="auto"/>
            <w:hideMark/>
          </w:tcPr>
          <w:p w14:paraId="4B820270"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hideMark/>
          </w:tcPr>
          <w:p w14:paraId="55A462D2"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Time/travel</w:t>
            </w:r>
          </w:p>
        </w:tc>
        <w:tc>
          <w:tcPr>
            <w:tcW w:w="0" w:type="auto"/>
            <w:tcBorders>
              <w:top w:val="nil"/>
              <w:left w:val="nil"/>
              <w:bottom w:val="nil"/>
              <w:right w:val="nil"/>
            </w:tcBorders>
            <w:shd w:val="clear" w:color="auto" w:fill="auto"/>
            <w:hideMark/>
          </w:tcPr>
          <w:p w14:paraId="46C8B620"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Transport difficulty</w:t>
            </w:r>
          </w:p>
        </w:tc>
        <w:tc>
          <w:tcPr>
            <w:tcW w:w="0" w:type="auto"/>
            <w:tcBorders>
              <w:top w:val="nil"/>
              <w:left w:val="nil"/>
              <w:bottom w:val="nil"/>
              <w:right w:val="nil"/>
            </w:tcBorders>
            <w:shd w:val="clear" w:color="auto" w:fill="auto"/>
            <w:hideMark/>
          </w:tcPr>
          <w:p w14:paraId="1CFFCE68" w14:textId="77777777"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Individuals with T2DM who live far from healthcare services or providers, or have limited access to transportation, may encounter significant challenges when traveling to appointments and procedures. These challenges can result in increased costs and heightened stress and anxiety associated with navigating unfamiliar or distant locations.</w:t>
            </w:r>
          </w:p>
        </w:tc>
      </w:tr>
      <w:tr w:rsidR="003247B5" w:rsidRPr="007F79F5" w14:paraId="792EAED9" w14:textId="77777777" w:rsidTr="008B6C25">
        <w:trPr>
          <w:trHeight w:val="1850"/>
        </w:trPr>
        <w:tc>
          <w:tcPr>
            <w:tcW w:w="0" w:type="auto"/>
            <w:tcBorders>
              <w:top w:val="nil"/>
              <w:left w:val="nil"/>
              <w:bottom w:val="nil"/>
              <w:right w:val="nil"/>
            </w:tcBorders>
            <w:shd w:val="clear" w:color="auto" w:fill="auto"/>
            <w:hideMark/>
          </w:tcPr>
          <w:p w14:paraId="7AE54457"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hideMark/>
          </w:tcPr>
          <w:p w14:paraId="487BC287" w14:textId="77777777" w:rsidR="003247B5" w:rsidRPr="007F79F5" w:rsidRDefault="003247B5" w:rsidP="007F79F5">
            <w:pPr>
              <w:widowControl/>
              <w:spacing w:after="240"/>
              <w:jc w:val="left"/>
              <w:rPr>
                <w:rFonts w:ascii="Times New Roman" w:eastAsia="Times New Roman" w:hAnsi="Times New Roman" w:cs="Times New Roman"/>
                <w:kern w:val="0"/>
                <w:sz w:val="20"/>
                <w:szCs w:val="20"/>
                <w:lang w:val="en-GB"/>
              </w:rPr>
            </w:pPr>
          </w:p>
        </w:tc>
        <w:tc>
          <w:tcPr>
            <w:tcW w:w="0" w:type="auto"/>
            <w:tcBorders>
              <w:top w:val="nil"/>
              <w:left w:val="nil"/>
              <w:bottom w:val="nil"/>
              <w:right w:val="nil"/>
            </w:tcBorders>
            <w:shd w:val="clear" w:color="auto" w:fill="auto"/>
            <w:hideMark/>
          </w:tcPr>
          <w:p w14:paraId="476CD77C" w14:textId="3ED18D5F"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Time spent</w:t>
            </w:r>
          </w:p>
        </w:tc>
        <w:tc>
          <w:tcPr>
            <w:tcW w:w="0" w:type="auto"/>
            <w:tcBorders>
              <w:top w:val="nil"/>
              <w:left w:val="nil"/>
              <w:bottom w:val="nil"/>
              <w:right w:val="nil"/>
            </w:tcBorders>
            <w:shd w:val="clear" w:color="auto" w:fill="auto"/>
            <w:hideMark/>
          </w:tcPr>
          <w:p w14:paraId="35939101" w14:textId="77777777"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Managing T2DM requires ongoing effort, and for some individuals, finding the necessary time can be challenging, especially for those with limited time or resources. Time spent in this context refers to the significant amount of time individuals with T2DM must dedicate to self-management tasks, including monitoring blood sugar levels, taking medication, making healthy choices, and attending medical appointments. Balancing these tasks with other commitments, such as work and family responsibilities, can be difficult.</w:t>
            </w:r>
          </w:p>
        </w:tc>
      </w:tr>
      <w:tr w:rsidR="003247B5" w:rsidRPr="007F79F5" w14:paraId="0028A34B" w14:textId="77777777" w:rsidTr="008B6C25">
        <w:trPr>
          <w:trHeight w:val="3070"/>
        </w:trPr>
        <w:tc>
          <w:tcPr>
            <w:tcW w:w="0" w:type="auto"/>
            <w:tcBorders>
              <w:top w:val="nil"/>
              <w:left w:val="nil"/>
              <w:bottom w:val="nil"/>
              <w:right w:val="nil"/>
            </w:tcBorders>
            <w:shd w:val="clear" w:color="auto" w:fill="auto"/>
            <w:hideMark/>
          </w:tcPr>
          <w:p w14:paraId="0EF6B2B8"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hideMark/>
          </w:tcPr>
          <w:p w14:paraId="2933084C"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Medical information</w:t>
            </w:r>
          </w:p>
        </w:tc>
        <w:tc>
          <w:tcPr>
            <w:tcW w:w="0" w:type="auto"/>
            <w:tcBorders>
              <w:top w:val="nil"/>
              <w:left w:val="nil"/>
              <w:bottom w:val="nil"/>
              <w:right w:val="nil"/>
            </w:tcBorders>
            <w:shd w:val="clear" w:color="auto" w:fill="auto"/>
            <w:hideMark/>
          </w:tcPr>
          <w:p w14:paraId="13904B0F"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Cumbersome medical information</w:t>
            </w:r>
          </w:p>
        </w:tc>
        <w:tc>
          <w:tcPr>
            <w:tcW w:w="0" w:type="auto"/>
            <w:tcBorders>
              <w:top w:val="nil"/>
              <w:left w:val="nil"/>
              <w:bottom w:val="nil"/>
              <w:right w:val="nil"/>
            </w:tcBorders>
            <w:shd w:val="clear" w:color="auto" w:fill="auto"/>
            <w:hideMark/>
          </w:tcPr>
          <w:p w14:paraId="219C31A1" w14:textId="77777777"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The overwhelming amount of medical information for people with T2DM can increase their treatment burden. This information covers condition management, medications, and lifestyle changes. Identifying relevant and accurate details can be challenging for patients, especially those new to the condition or with limited health literacy. This difficulty can lead to confusion, frustration, and lower confidence in managing their condition. Cumbersome medical information refers to the excessive and complex T2DM management information, making it hard for individuals to process and understand, resulting in confusion and negatively affecting their ability to manage their condition effectively.</w:t>
            </w:r>
          </w:p>
        </w:tc>
      </w:tr>
      <w:tr w:rsidR="003247B5" w:rsidRPr="007F79F5" w14:paraId="2B9275AD" w14:textId="77777777" w:rsidTr="008B6C25">
        <w:trPr>
          <w:trHeight w:val="1240"/>
        </w:trPr>
        <w:tc>
          <w:tcPr>
            <w:tcW w:w="0" w:type="auto"/>
            <w:tcBorders>
              <w:top w:val="nil"/>
              <w:left w:val="nil"/>
              <w:bottom w:val="nil"/>
              <w:right w:val="nil"/>
            </w:tcBorders>
            <w:shd w:val="clear" w:color="auto" w:fill="auto"/>
            <w:hideMark/>
          </w:tcPr>
          <w:p w14:paraId="320D1165"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hideMark/>
          </w:tcPr>
          <w:p w14:paraId="3A611C6C" w14:textId="77777777" w:rsidR="003247B5" w:rsidRPr="007F79F5" w:rsidRDefault="003247B5" w:rsidP="007F79F5">
            <w:pPr>
              <w:widowControl/>
              <w:spacing w:after="240"/>
              <w:jc w:val="left"/>
              <w:rPr>
                <w:rFonts w:ascii="Times New Roman" w:eastAsia="Times New Roman" w:hAnsi="Times New Roman" w:cs="Times New Roman"/>
                <w:kern w:val="0"/>
                <w:sz w:val="20"/>
                <w:szCs w:val="20"/>
                <w:lang w:val="en-GB"/>
              </w:rPr>
            </w:pPr>
          </w:p>
        </w:tc>
        <w:tc>
          <w:tcPr>
            <w:tcW w:w="0" w:type="auto"/>
            <w:tcBorders>
              <w:top w:val="nil"/>
              <w:left w:val="nil"/>
              <w:bottom w:val="nil"/>
              <w:right w:val="nil"/>
            </w:tcBorders>
            <w:shd w:val="clear" w:color="auto" w:fill="auto"/>
            <w:hideMark/>
          </w:tcPr>
          <w:p w14:paraId="00F91223"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Lack of effective sources of information</w:t>
            </w:r>
          </w:p>
        </w:tc>
        <w:tc>
          <w:tcPr>
            <w:tcW w:w="0" w:type="auto"/>
            <w:tcBorders>
              <w:top w:val="nil"/>
              <w:left w:val="nil"/>
              <w:bottom w:val="nil"/>
              <w:right w:val="nil"/>
            </w:tcBorders>
            <w:shd w:val="clear" w:color="auto" w:fill="auto"/>
            <w:hideMark/>
          </w:tcPr>
          <w:p w14:paraId="6E396988" w14:textId="77777777"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This refers to the absence of reliable, accessible, and comprehensive sources of information for people with T2DM, particularly for those from under-resourced settings. The lack of such sources can result in misinformation or difficulty obtaining the necessary knowledge to manage the condition effectively.</w:t>
            </w:r>
          </w:p>
        </w:tc>
      </w:tr>
      <w:tr w:rsidR="003247B5" w:rsidRPr="007F79F5" w14:paraId="09F1C65E" w14:textId="77777777" w:rsidTr="00CE38AE">
        <w:trPr>
          <w:trHeight w:val="930"/>
        </w:trPr>
        <w:tc>
          <w:tcPr>
            <w:tcW w:w="0" w:type="auto"/>
            <w:tcBorders>
              <w:top w:val="nil"/>
              <w:left w:val="nil"/>
              <w:right w:val="nil"/>
            </w:tcBorders>
            <w:shd w:val="clear" w:color="auto" w:fill="auto"/>
            <w:hideMark/>
          </w:tcPr>
          <w:p w14:paraId="2CB94930"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right w:val="nil"/>
            </w:tcBorders>
            <w:shd w:val="clear" w:color="auto" w:fill="auto"/>
            <w:hideMark/>
          </w:tcPr>
          <w:p w14:paraId="5B397A06" w14:textId="77777777" w:rsidR="003247B5" w:rsidRPr="007F79F5" w:rsidRDefault="003247B5" w:rsidP="007F79F5">
            <w:pPr>
              <w:widowControl/>
              <w:spacing w:after="240"/>
              <w:jc w:val="left"/>
              <w:rPr>
                <w:rFonts w:ascii="Times New Roman" w:eastAsia="Times New Roman" w:hAnsi="Times New Roman" w:cs="Times New Roman"/>
                <w:kern w:val="0"/>
                <w:sz w:val="20"/>
                <w:szCs w:val="20"/>
                <w:lang w:val="en-GB"/>
              </w:rPr>
            </w:pPr>
          </w:p>
        </w:tc>
        <w:tc>
          <w:tcPr>
            <w:tcW w:w="0" w:type="auto"/>
            <w:tcBorders>
              <w:top w:val="nil"/>
              <w:left w:val="nil"/>
              <w:right w:val="nil"/>
            </w:tcBorders>
            <w:shd w:val="clear" w:color="auto" w:fill="auto"/>
            <w:hideMark/>
          </w:tcPr>
          <w:p w14:paraId="30390B87"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Stigmatization of treatment</w:t>
            </w:r>
          </w:p>
        </w:tc>
        <w:tc>
          <w:tcPr>
            <w:tcW w:w="0" w:type="auto"/>
            <w:tcBorders>
              <w:top w:val="nil"/>
              <w:left w:val="nil"/>
              <w:right w:val="nil"/>
            </w:tcBorders>
            <w:shd w:val="clear" w:color="auto" w:fill="auto"/>
            <w:hideMark/>
          </w:tcPr>
          <w:p w14:paraId="177BF850" w14:textId="77777777"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This refers to the negative attitudes, stereotypes, or social stigma associated with T2DM treatment, which can be a barrier for people seeking proper medical information. This stigmatization can contribute to feelings of isolation from healthcare and reduced self-esteem among people with T2DM.</w:t>
            </w:r>
          </w:p>
        </w:tc>
      </w:tr>
      <w:tr w:rsidR="003247B5" w:rsidRPr="007F79F5" w14:paraId="102D492E" w14:textId="77777777" w:rsidTr="008B6C25">
        <w:trPr>
          <w:trHeight w:val="930"/>
        </w:trPr>
        <w:tc>
          <w:tcPr>
            <w:tcW w:w="0" w:type="auto"/>
            <w:tcBorders>
              <w:top w:val="nil"/>
              <w:left w:val="nil"/>
              <w:bottom w:val="nil"/>
              <w:right w:val="nil"/>
            </w:tcBorders>
            <w:shd w:val="clear" w:color="auto" w:fill="auto"/>
            <w:hideMark/>
          </w:tcPr>
          <w:p w14:paraId="1B53CB8F"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ASSOCIATED Measurements:</w:t>
            </w:r>
          </w:p>
        </w:tc>
        <w:tc>
          <w:tcPr>
            <w:tcW w:w="0" w:type="auto"/>
            <w:tcBorders>
              <w:top w:val="nil"/>
              <w:left w:val="nil"/>
              <w:bottom w:val="nil"/>
              <w:right w:val="nil"/>
            </w:tcBorders>
            <w:shd w:val="clear" w:color="auto" w:fill="auto"/>
            <w:hideMark/>
          </w:tcPr>
          <w:p w14:paraId="78B4E465"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Antecedents</w:t>
            </w:r>
          </w:p>
        </w:tc>
        <w:tc>
          <w:tcPr>
            <w:tcW w:w="0" w:type="auto"/>
            <w:tcBorders>
              <w:top w:val="nil"/>
              <w:left w:val="nil"/>
              <w:bottom w:val="nil"/>
              <w:right w:val="nil"/>
            </w:tcBorders>
            <w:shd w:val="clear" w:color="auto" w:fill="auto"/>
            <w:hideMark/>
          </w:tcPr>
          <w:p w14:paraId="292DF029"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Patient characteristics</w:t>
            </w:r>
          </w:p>
        </w:tc>
        <w:tc>
          <w:tcPr>
            <w:tcW w:w="0" w:type="auto"/>
            <w:tcBorders>
              <w:top w:val="nil"/>
              <w:left w:val="nil"/>
              <w:bottom w:val="nil"/>
              <w:right w:val="nil"/>
            </w:tcBorders>
            <w:shd w:val="clear" w:color="auto" w:fill="auto"/>
            <w:hideMark/>
          </w:tcPr>
          <w:p w14:paraId="62632272" w14:textId="77777777"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There are several patient characteristics that may influence the treatment burden experienced by individuals with T2DM. Some of these factors include age, health literacy, comorbidities, psychological factors, socioeconomic status, etc...</w:t>
            </w:r>
          </w:p>
        </w:tc>
      </w:tr>
      <w:tr w:rsidR="003247B5" w:rsidRPr="007F79F5" w14:paraId="326FFF37" w14:textId="77777777" w:rsidTr="008B6C25">
        <w:trPr>
          <w:trHeight w:val="930"/>
        </w:trPr>
        <w:tc>
          <w:tcPr>
            <w:tcW w:w="0" w:type="auto"/>
            <w:tcBorders>
              <w:top w:val="nil"/>
              <w:left w:val="nil"/>
              <w:bottom w:val="nil"/>
              <w:right w:val="nil"/>
            </w:tcBorders>
            <w:shd w:val="clear" w:color="auto" w:fill="auto"/>
            <w:hideMark/>
          </w:tcPr>
          <w:p w14:paraId="345D346A"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hideMark/>
          </w:tcPr>
          <w:p w14:paraId="76B0A404" w14:textId="77777777" w:rsidR="003247B5" w:rsidRPr="007F79F5" w:rsidRDefault="003247B5" w:rsidP="007F79F5">
            <w:pPr>
              <w:widowControl/>
              <w:spacing w:after="240"/>
              <w:jc w:val="left"/>
              <w:rPr>
                <w:rFonts w:ascii="Times New Roman" w:eastAsia="Times New Roman" w:hAnsi="Times New Roman" w:cs="Times New Roman"/>
                <w:kern w:val="0"/>
                <w:sz w:val="20"/>
                <w:szCs w:val="20"/>
                <w:lang w:val="en-GB"/>
              </w:rPr>
            </w:pPr>
          </w:p>
        </w:tc>
        <w:tc>
          <w:tcPr>
            <w:tcW w:w="0" w:type="auto"/>
            <w:tcBorders>
              <w:top w:val="nil"/>
              <w:left w:val="nil"/>
              <w:bottom w:val="nil"/>
              <w:right w:val="nil"/>
            </w:tcBorders>
            <w:shd w:val="clear" w:color="auto" w:fill="auto"/>
            <w:hideMark/>
          </w:tcPr>
          <w:p w14:paraId="57454BE8"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Living with T2DM</w:t>
            </w:r>
          </w:p>
        </w:tc>
        <w:tc>
          <w:tcPr>
            <w:tcW w:w="0" w:type="auto"/>
            <w:tcBorders>
              <w:top w:val="nil"/>
              <w:left w:val="nil"/>
              <w:bottom w:val="nil"/>
              <w:right w:val="nil"/>
            </w:tcBorders>
            <w:shd w:val="clear" w:color="auto" w:fill="auto"/>
            <w:hideMark/>
          </w:tcPr>
          <w:p w14:paraId="187DF014" w14:textId="77777777"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Living with T2DM can be a complex and challenging experience and can contribute to the treatment burden experienced by individuals with this condition. Some of the ways in which living with T2DM can impact treatment burden include chronicity, symptoms and complications, medication regimen and lifestyle changes, stigma, etc...</w:t>
            </w:r>
          </w:p>
        </w:tc>
      </w:tr>
      <w:tr w:rsidR="003247B5" w:rsidRPr="007F79F5" w14:paraId="18EF377A" w14:textId="77777777" w:rsidTr="008B6C25">
        <w:trPr>
          <w:trHeight w:val="930"/>
        </w:trPr>
        <w:tc>
          <w:tcPr>
            <w:tcW w:w="0" w:type="auto"/>
            <w:tcBorders>
              <w:top w:val="nil"/>
              <w:left w:val="nil"/>
              <w:bottom w:val="nil"/>
              <w:right w:val="nil"/>
            </w:tcBorders>
            <w:shd w:val="clear" w:color="auto" w:fill="auto"/>
            <w:hideMark/>
          </w:tcPr>
          <w:p w14:paraId="0D9EB38E"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hideMark/>
          </w:tcPr>
          <w:p w14:paraId="1C5B0882"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Consequences</w:t>
            </w:r>
          </w:p>
        </w:tc>
        <w:tc>
          <w:tcPr>
            <w:tcW w:w="0" w:type="auto"/>
            <w:tcBorders>
              <w:top w:val="nil"/>
              <w:left w:val="nil"/>
              <w:bottom w:val="nil"/>
              <w:right w:val="nil"/>
            </w:tcBorders>
            <w:shd w:val="clear" w:color="auto" w:fill="auto"/>
            <w:hideMark/>
          </w:tcPr>
          <w:p w14:paraId="2AA181AA"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Adherence to treatment</w:t>
            </w:r>
          </w:p>
        </w:tc>
        <w:tc>
          <w:tcPr>
            <w:tcW w:w="0" w:type="auto"/>
            <w:tcBorders>
              <w:top w:val="nil"/>
              <w:left w:val="nil"/>
              <w:bottom w:val="nil"/>
              <w:right w:val="nil"/>
            </w:tcBorders>
            <w:shd w:val="clear" w:color="auto" w:fill="auto"/>
            <w:hideMark/>
          </w:tcPr>
          <w:p w14:paraId="10F8194C" w14:textId="77777777"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Adherence to treatment is a critical factor in the management of T2DM and can be influenced by the treatment burden experienced by individuals with this condition. Treatment burden can impact adherence to treatment in several ways, such as burning out, psychological distress, financial burden, etc...</w:t>
            </w:r>
          </w:p>
        </w:tc>
      </w:tr>
      <w:tr w:rsidR="003247B5" w:rsidRPr="007F79F5" w14:paraId="7BA62292" w14:textId="77777777" w:rsidTr="008B6C25">
        <w:trPr>
          <w:trHeight w:val="1240"/>
        </w:trPr>
        <w:tc>
          <w:tcPr>
            <w:tcW w:w="0" w:type="auto"/>
            <w:tcBorders>
              <w:top w:val="nil"/>
              <w:left w:val="nil"/>
              <w:bottom w:val="nil"/>
              <w:right w:val="nil"/>
            </w:tcBorders>
            <w:shd w:val="clear" w:color="auto" w:fill="auto"/>
            <w:hideMark/>
          </w:tcPr>
          <w:p w14:paraId="2C300602"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hideMark/>
          </w:tcPr>
          <w:p w14:paraId="49634787" w14:textId="77777777" w:rsidR="003247B5" w:rsidRPr="007F79F5" w:rsidRDefault="003247B5" w:rsidP="007F79F5">
            <w:pPr>
              <w:widowControl/>
              <w:spacing w:after="240"/>
              <w:jc w:val="left"/>
              <w:rPr>
                <w:rFonts w:ascii="Times New Roman" w:eastAsia="Times New Roman" w:hAnsi="Times New Roman" w:cs="Times New Roman"/>
                <w:kern w:val="0"/>
                <w:sz w:val="20"/>
                <w:szCs w:val="20"/>
                <w:lang w:val="en-GB"/>
              </w:rPr>
            </w:pPr>
          </w:p>
        </w:tc>
        <w:tc>
          <w:tcPr>
            <w:tcW w:w="0" w:type="auto"/>
            <w:tcBorders>
              <w:top w:val="nil"/>
              <w:left w:val="nil"/>
              <w:bottom w:val="nil"/>
              <w:right w:val="nil"/>
            </w:tcBorders>
            <w:shd w:val="clear" w:color="auto" w:fill="auto"/>
            <w:hideMark/>
          </w:tcPr>
          <w:p w14:paraId="58300DBC"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Health and wellbeing and quality of life</w:t>
            </w:r>
          </w:p>
        </w:tc>
        <w:tc>
          <w:tcPr>
            <w:tcW w:w="0" w:type="auto"/>
            <w:tcBorders>
              <w:top w:val="nil"/>
              <w:left w:val="nil"/>
              <w:bottom w:val="nil"/>
              <w:right w:val="nil"/>
            </w:tcBorders>
            <w:shd w:val="clear" w:color="auto" w:fill="auto"/>
            <w:hideMark/>
          </w:tcPr>
          <w:p w14:paraId="468BC8E0" w14:textId="08294DC9"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The treatment burden can have a significant impact on a person's daily life and can lead to decreased quality of life, and decreased health and well-being. People with T2DM often have to make significant changes to their lifestyle and daily routines in order to manage their condition, which can be challenging and can lead to increased stress, depression, and anxiety.</w:t>
            </w:r>
          </w:p>
        </w:tc>
      </w:tr>
      <w:tr w:rsidR="003247B5" w:rsidRPr="007F79F5" w14:paraId="274DC8EA" w14:textId="77777777" w:rsidTr="008B6C25">
        <w:trPr>
          <w:trHeight w:val="1240"/>
        </w:trPr>
        <w:tc>
          <w:tcPr>
            <w:tcW w:w="0" w:type="auto"/>
            <w:tcBorders>
              <w:top w:val="nil"/>
              <w:left w:val="nil"/>
              <w:bottom w:val="nil"/>
              <w:right w:val="nil"/>
            </w:tcBorders>
            <w:shd w:val="clear" w:color="auto" w:fill="auto"/>
            <w:hideMark/>
          </w:tcPr>
          <w:p w14:paraId="2F893C24"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hideMark/>
          </w:tcPr>
          <w:p w14:paraId="3ED509B8" w14:textId="77777777" w:rsidR="003247B5" w:rsidRPr="007F79F5" w:rsidRDefault="003247B5" w:rsidP="007F79F5">
            <w:pPr>
              <w:widowControl/>
              <w:spacing w:after="240"/>
              <w:jc w:val="left"/>
              <w:rPr>
                <w:rFonts w:ascii="Times New Roman" w:eastAsia="Times New Roman" w:hAnsi="Times New Roman" w:cs="Times New Roman"/>
                <w:kern w:val="0"/>
                <w:sz w:val="20"/>
                <w:szCs w:val="20"/>
                <w:lang w:val="en-GB"/>
              </w:rPr>
            </w:pPr>
          </w:p>
        </w:tc>
        <w:tc>
          <w:tcPr>
            <w:tcW w:w="0" w:type="auto"/>
            <w:tcBorders>
              <w:top w:val="nil"/>
              <w:left w:val="nil"/>
              <w:bottom w:val="nil"/>
              <w:right w:val="nil"/>
            </w:tcBorders>
            <w:shd w:val="clear" w:color="auto" w:fill="auto"/>
            <w:hideMark/>
          </w:tcPr>
          <w:p w14:paraId="0CF17610"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Interpersonal and social challenges</w:t>
            </w:r>
          </w:p>
        </w:tc>
        <w:tc>
          <w:tcPr>
            <w:tcW w:w="0" w:type="auto"/>
            <w:tcBorders>
              <w:top w:val="nil"/>
              <w:left w:val="nil"/>
              <w:bottom w:val="nil"/>
              <w:right w:val="nil"/>
            </w:tcBorders>
            <w:shd w:val="clear" w:color="auto" w:fill="auto"/>
            <w:hideMark/>
          </w:tcPr>
          <w:p w14:paraId="264B06BA" w14:textId="3399BB16" w:rsidR="003247B5" w:rsidRPr="007F79F5" w:rsidRDefault="003247B5" w:rsidP="007F79F5">
            <w:pPr>
              <w:widowControl/>
              <w:spacing w:after="240"/>
              <w:rPr>
                <w:rFonts w:ascii="Times New Roman" w:eastAsia="Times New Roman" w:hAnsi="Times New Roman" w:cs="Times New Roman"/>
                <w:color w:val="000000"/>
                <w:kern w:val="0"/>
                <w:sz w:val="20"/>
                <w:szCs w:val="20"/>
              </w:rPr>
            </w:pPr>
            <w:r w:rsidRPr="007F79F5">
              <w:rPr>
                <w:rFonts w:ascii="Times New Roman" w:eastAsia="Times New Roman" w:hAnsi="Times New Roman" w:cs="Times New Roman"/>
                <w:color w:val="000000"/>
                <w:kern w:val="0"/>
                <w:sz w:val="20"/>
                <w:szCs w:val="20"/>
              </w:rPr>
              <w:t>The changes in life routines that are often required to effectively manage T2DM can impact relationships with family and friends, leading to feelings of isolation, stigma, and reduced social support. Additionally, the time and effort required to manage the condition, including monitoring blood sugar levels, taking medications, and attending appointments, can also impact a person's ability to participate in social activities and engage with their community.</w:t>
            </w:r>
          </w:p>
        </w:tc>
      </w:tr>
      <w:tr w:rsidR="003247B5" w:rsidRPr="007F79F5" w14:paraId="78D565F6" w14:textId="77777777" w:rsidTr="008B6C25">
        <w:trPr>
          <w:trHeight w:val="930"/>
        </w:trPr>
        <w:tc>
          <w:tcPr>
            <w:tcW w:w="0" w:type="auto"/>
            <w:tcBorders>
              <w:top w:val="nil"/>
              <w:left w:val="nil"/>
              <w:bottom w:val="nil"/>
              <w:right w:val="nil"/>
            </w:tcBorders>
            <w:shd w:val="clear" w:color="auto" w:fill="auto"/>
            <w:hideMark/>
          </w:tcPr>
          <w:p w14:paraId="6E218D73"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hideMark/>
          </w:tcPr>
          <w:p w14:paraId="183C69D1" w14:textId="77777777" w:rsidR="003247B5" w:rsidRPr="007F79F5" w:rsidRDefault="003247B5" w:rsidP="007F79F5">
            <w:pPr>
              <w:widowControl/>
              <w:spacing w:after="240"/>
              <w:jc w:val="left"/>
              <w:rPr>
                <w:rFonts w:ascii="Times New Roman" w:eastAsia="Times New Roman" w:hAnsi="Times New Roman" w:cs="Times New Roman"/>
                <w:kern w:val="0"/>
                <w:sz w:val="20"/>
                <w:szCs w:val="20"/>
                <w:lang w:val="en-GB"/>
              </w:rPr>
            </w:pPr>
          </w:p>
        </w:tc>
        <w:tc>
          <w:tcPr>
            <w:tcW w:w="0" w:type="auto"/>
            <w:tcBorders>
              <w:top w:val="nil"/>
              <w:left w:val="nil"/>
              <w:bottom w:val="nil"/>
              <w:right w:val="nil"/>
            </w:tcBorders>
            <w:shd w:val="clear" w:color="auto" w:fill="auto"/>
            <w:hideMark/>
          </w:tcPr>
          <w:p w14:paraId="5A9632EC" w14:textId="76A2AFDF"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 xml:space="preserve">Satisfaction with treatment </w:t>
            </w:r>
          </w:p>
        </w:tc>
        <w:tc>
          <w:tcPr>
            <w:tcW w:w="0" w:type="auto"/>
            <w:tcBorders>
              <w:top w:val="nil"/>
              <w:left w:val="nil"/>
              <w:bottom w:val="nil"/>
              <w:right w:val="nil"/>
            </w:tcBorders>
            <w:shd w:val="clear" w:color="auto" w:fill="auto"/>
            <w:hideMark/>
          </w:tcPr>
          <w:p w14:paraId="4F2C7D72" w14:textId="71152B05" w:rsidR="003247B5" w:rsidRPr="007F79F5" w:rsidRDefault="003247B5" w:rsidP="007F79F5">
            <w:pPr>
              <w:widowControl/>
              <w:spacing w:after="240"/>
              <w:rPr>
                <w:rFonts w:ascii="Times New Roman" w:eastAsia="Times New Roman" w:hAnsi="Times New Roman" w:cs="Times New Roman"/>
                <w:color w:val="000000"/>
                <w:kern w:val="0"/>
                <w:sz w:val="20"/>
                <w:szCs w:val="20"/>
              </w:rPr>
            </w:pPr>
            <w:r w:rsidRPr="007F79F5">
              <w:rPr>
                <w:rFonts w:ascii="Times New Roman" w:eastAsia="Times New Roman" w:hAnsi="Times New Roman" w:cs="Times New Roman"/>
                <w:color w:val="000000"/>
                <w:kern w:val="0"/>
                <w:sz w:val="20"/>
                <w:szCs w:val="20"/>
              </w:rPr>
              <w:t>Satisfaction with Treatment focuses on the level of contentment and approval patients with T2DM have regarding their specific treatment plans, which may include medications, lifestyle interventions, and other therapeutic approaches. This theme is distinct from satisfaction of various aspects of health care service. </w:t>
            </w:r>
          </w:p>
        </w:tc>
      </w:tr>
      <w:tr w:rsidR="003247B5" w:rsidRPr="007F79F5" w14:paraId="3C6ADC56" w14:textId="77777777" w:rsidTr="008B6C25">
        <w:trPr>
          <w:trHeight w:val="1550"/>
        </w:trPr>
        <w:tc>
          <w:tcPr>
            <w:tcW w:w="0" w:type="auto"/>
            <w:vMerge w:val="restart"/>
            <w:tcBorders>
              <w:top w:val="nil"/>
              <w:left w:val="nil"/>
              <w:bottom w:val="nil"/>
              <w:right w:val="nil"/>
            </w:tcBorders>
            <w:shd w:val="clear" w:color="auto" w:fill="auto"/>
            <w:hideMark/>
          </w:tcPr>
          <w:p w14:paraId="2DB58F9F" w14:textId="004D928A" w:rsidR="003247B5" w:rsidRPr="007F79F5" w:rsidRDefault="008A5132" w:rsidP="007F79F5">
            <w:pPr>
              <w:widowControl/>
              <w:spacing w:after="240"/>
              <w:jc w:val="left"/>
              <w:rPr>
                <w:rFonts w:ascii="Times New Roman" w:eastAsia="Times New Roman" w:hAnsi="Times New Roman" w:cs="Times New Roman"/>
                <w:b/>
                <w:bCs/>
                <w:color w:val="000000"/>
                <w:kern w:val="0"/>
                <w:sz w:val="20"/>
                <w:szCs w:val="20"/>
                <w:lang w:val="en-GB"/>
              </w:rPr>
            </w:pPr>
            <w:r>
              <w:rPr>
                <w:rFonts w:ascii="Times New Roman" w:eastAsia="Times New Roman" w:hAnsi="Times New Roman" w:cs="Times New Roman"/>
                <w:b/>
                <w:bCs/>
                <w:color w:val="000000"/>
                <w:kern w:val="0"/>
                <w:sz w:val="20"/>
                <w:szCs w:val="20"/>
              </w:rPr>
              <w:t>N</w:t>
            </w:r>
            <w:r w:rsidRPr="008A5132">
              <w:rPr>
                <w:rFonts w:ascii="Times New Roman" w:eastAsia="Times New Roman" w:hAnsi="Times New Roman" w:cs="Times New Roman"/>
                <w:b/>
                <w:bCs/>
                <w:color w:val="000000"/>
                <w:kern w:val="0"/>
                <w:sz w:val="20"/>
                <w:szCs w:val="20"/>
              </w:rPr>
              <w:t>ovel themes</w:t>
            </w:r>
            <w:r>
              <w:rPr>
                <w:rFonts w:ascii="Times New Roman" w:eastAsia="Times New Roman" w:hAnsi="Times New Roman" w:cs="Times New Roman"/>
                <w:b/>
                <w:bCs/>
                <w:color w:val="000000"/>
                <w:kern w:val="0"/>
                <w:sz w:val="20"/>
                <w:szCs w:val="20"/>
              </w:rPr>
              <w:t>:</w:t>
            </w:r>
          </w:p>
        </w:tc>
        <w:tc>
          <w:tcPr>
            <w:tcW w:w="0" w:type="auto"/>
            <w:tcBorders>
              <w:top w:val="nil"/>
              <w:left w:val="nil"/>
              <w:bottom w:val="nil"/>
              <w:right w:val="nil"/>
            </w:tcBorders>
            <w:shd w:val="clear" w:color="auto" w:fill="auto"/>
            <w:hideMark/>
          </w:tcPr>
          <w:p w14:paraId="295386FA" w14:textId="172786D6"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Health locus of diabetes control</w:t>
            </w:r>
          </w:p>
        </w:tc>
        <w:tc>
          <w:tcPr>
            <w:tcW w:w="0" w:type="auto"/>
            <w:tcBorders>
              <w:top w:val="nil"/>
              <w:left w:val="nil"/>
              <w:bottom w:val="nil"/>
              <w:right w:val="nil"/>
            </w:tcBorders>
            <w:shd w:val="clear" w:color="auto" w:fill="auto"/>
            <w:hideMark/>
          </w:tcPr>
          <w:p w14:paraId="13C75993"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hideMark/>
          </w:tcPr>
          <w:p w14:paraId="61C42275" w14:textId="2AAA3390" w:rsidR="003247B5" w:rsidRPr="007F79F5" w:rsidRDefault="003247B5" w:rsidP="007F79F5">
            <w:pPr>
              <w:widowControl/>
              <w:spacing w:after="240"/>
              <w:rPr>
                <w:rFonts w:ascii="Times New Roman" w:eastAsia="Times New Roman" w:hAnsi="Times New Roman" w:cs="Times New Roman"/>
                <w:color w:val="000000"/>
                <w:kern w:val="0"/>
                <w:sz w:val="20"/>
                <w:szCs w:val="20"/>
              </w:rPr>
            </w:pPr>
            <w:r w:rsidRPr="007F79F5">
              <w:rPr>
                <w:rFonts w:ascii="Times New Roman" w:eastAsia="Times New Roman" w:hAnsi="Times New Roman" w:cs="Times New Roman"/>
                <w:color w:val="000000"/>
                <w:kern w:val="0"/>
                <w:sz w:val="20"/>
                <w:szCs w:val="20"/>
              </w:rPr>
              <w:t>Health locus of diabetes control encompasses individuals' beliefs about control over their diabetes treatment. External locus involves attributing control to external factors, such as healthcare providers or medications, while internal locus represents individuals' belief in their personal control over the care. This concept influences how individuals perceive, interpretate and cope with treatment burden and may intersect with antecedents and consequences in this conceptual framework.</w:t>
            </w:r>
          </w:p>
        </w:tc>
      </w:tr>
      <w:tr w:rsidR="003247B5" w:rsidRPr="007F79F5" w14:paraId="4F769AA5" w14:textId="77777777" w:rsidTr="008B6C25">
        <w:trPr>
          <w:trHeight w:val="930"/>
        </w:trPr>
        <w:tc>
          <w:tcPr>
            <w:tcW w:w="0" w:type="auto"/>
            <w:vMerge/>
            <w:tcBorders>
              <w:top w:val="nil"/>
              <w:left w:val="nil"/>
              <w:bottom w:val="nil"/>
              <w:right w:val="nil"/>
            </w:tcBorders>
            <w:hideMark/>
          </w:tcPr>
          <w:p w14:paraId="6A93B66B"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p>
        </w:tc>
        <w:tc>
          <w:tcPr>
            <w:tcW w:w="0" w:type="auto"/>
            <w:tcBorders>
              <w:top w:val="nil"/>
              <w:left w:val="nil"/>
              <w:bottom w:val="nil"/>
              <w:right w:val="nil"/>
            </w:tcBorders>
            <w:shd w:val="clear" w:color="auto" w:fill="auto"/>
            <w:hideMark/>
          </w:tcPr>
          <w:p w14:paraId="3FCA0548"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Insulin- or injection-related burden</w:t>
            </w:r>
          </w:p>
        </w:tc>
        <w:tc>
          <w:tcPr>
            <w:tcW w:w="0" w:type="auto"/>
            <w:tcBorders>
              <w:top w:val="nil"/>
              <w:left w:val="nil"/>
              <w:bottom w:val="nil"/>
              <w:right w:val="nil"/>
            </w:tcBorders>
            <w:shd w:val="clear" w:color="auto" w:fill="auto"/>
            <w:hideMark/>
          </w:tcPr>
          <w:p w14:paraId="35F636CA"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nil"/>
              <w:right w:val="nil"/>
            </w:tcBorders>
            <w:shd w:val="clear" w:color="auto" w:fill="auto"/>
            <w:hideMark/>
          </w:tcPr>
          <w:p w14:paraId="41A0C371" w14:textId="30C95F03"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Insulin or injection-related burden refers to physical and psychological challenges associated with managing T2DM, such as pain or discomfort from injections and time-consuming management. This theme may intersect with burden of medication, self-administration, treatment characteristics, and wellbeing.</w:t>
            </w:r>
          </w:p>
        </w:tc>
      </w:tr>
      <w:tr w:rsidR="003247B5" w:rsidRPr="007F79F5" w14:paraId="29ABDDBA" w14:textId="77777777" w:rsidTr="00CE38AE">
        <w:trPr>
          <w:trHeight w:val="930"/>
        </w:trPr>
        <w:tc>
          <w:tcPr>
            <w:tcW w:w="0" w:type="auto"/>
            <w:vMerge/>
            <w:tcBorders>
              <w:top w:val="nil"/>
              <w:left w:val="nil"/>
              <w:bottom w:val="nil"/>
              <w:right w:val="nil"/>
            </w:tcBorders>
            <w:hideMark/>
          </w:tcPr>
          <w:p w14:paraId="1417888E"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p>
        </w:tc>
        <w:tc>
          <w:tcPr>
            <w:tcW w:w="0" w:type="auto"/>
            <w:tcBorders>
              <w:top w:val="nil"/>
              <w:left w:val="nil"/>
              <w:right w:val="nil"/>
            </w:tcBorders>
            <w:shd w:val="clear" w:color="auto" w:fill="auto"/>
            <w:hideMark/>
          </w:tcPr>
          <w:p w14:paraId="65DE768B"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Medication-related Hypoglycaemia</w:t>
            </w:r>
          </w:p>
        </w:tc>
        <w:tc>
          <w:tcPr>
            <w:tcW w:w="0" w:type="auto"/>
            <w:tcBorders>
              <w:top w:val="nil"/>
              <w:left w:val="nil"/>
              <w:right w:val="nil"/>
            </w:tcBorders>
            <w:shd w:val="clear" w:color="auto" w:fill="auto"/>
            <w:hideMark/>
          </w:tcPr>
          <w:p w14:paraId="69B95E7D"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right w:val="nil"/>
            </w:tcBorders>
            <w:shd w:val="clear" w:color="auto" w:fill="auto"/>
            <w:hideMark/>
          </w:tcPr>
          <w:p w14:paraId="076ADCF8" w14:textId="498DA406"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Medication-related hypoglycemia refers to the occurrence of low blood sugar levels as a side effect of certain diabetes medications, which may lead to symptoms such as confusion, irritability, and dizziness. It is essential to distinguish this theme from the fear and burden experienced by individuals who have not undergone hypoglycemic episodes. In these cases, the burden may stem from misinformation regarding medical treatment, such as misunderstandings caused by the stigmatization of treatment.</w:t>
            </w:r>
          </w:p>
        </w:tc>
      </w:tr>
      <w:tr w:rsidR="003247B5" w:rsidRPr="007F79F5" w14:paraId="55D08FC1" w14:textId="77777777" w:rsidTr="007F79F5">
        <w:trPr>
          <w:trHeight w:val="851"/>
        </w:trPr>
        <w:tc>
          <w:tcPr>
            <w:tcW w:w="0" w:type="auto"/>
            <w:vMerge/>
            <w:tcBorders>
              <w:top w:val="nil"/>
              <w:left w:val="nil"/>
              <w:bottom w:val="single" w:sz="4" w:space="0" w:color="auto"/>
              <w:right w:val="nil"/>
            </w:tcBorders>
            <w:hideMark/>
          </w:tcPr>
          <w:p w14:paraId="4165F4EC" w14:textId="77777777"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p>
        </w:tc>
        <w:tc>
          <w:tcPr>
            <w:tcW w:w="0" w:type="auto"/>
            <w:tcBorders>
              <w:top w:val="nil"/>
              <w:left w:val="nil"/>
              <w:bottom w:val="single" w:sz="4" w:space="0" w:color="auto"/>
              <w:right w:val="nil"/>
            </w:tcBorders>
            <w:shd w:val="clear" w:color="auto" w:fill="auto"/>
            <w:hideMark/>
          </w:tcPr>
          <w:p w14:paraId="7F71DF17" w14:textId="2FFE90B4" w:rsidR="003247B5" w:rsidRPr="007F79F5" w:rsidRDefault="003247B5" w:rsidP="007F79F5">
            <w:pPr>
              <w:widowControl/>
              <w:spacing w:after="240"/>
              <w:jc w:val="left"/>
              <w:rPr>
                <w:rFonts w:ascii="Times New Roman" w:eastAsia="Times New Roman" w:hAnsi="Times New Roman" w:cs="Times New Roman"/>
                <w:b/>
                <w:bCs/>
                <w:color w:val="000000"/>
                <w:kern w:val="0"/>
                <w:sz w:val="20"/>
                <w:szCs w:val="20"/>
                <w:lang w:val="en-GB"/>
              </w:rPr>
            </w:pPr>
            <w:r w:rsidRPr="007F79F5">
              <w:rPr>
                <w:rFonts w:ascii="Times New Roman" w:eastAsia="Times New Roman" w:hAnsi="Times New Roman" w:cs="Times New Roman"/>
                <w:b/>
                <w:bCs/>
                <w:color w:val="000000"/>
                <w:kern w:val="0"/>
                <w:sz w:val="20"/>
                <w:szCs w:val="20"/>
              </w:rPr>
              <w:t xml:space="preserve">Glucose meter </w:t>
            </w:r>
          </w:p>
        </w:tc>
        <w:tc>
          <w:tcPr>
            <w:tcW w:w="0" w:type="auto"/>
            <w:tcBorders>
              <w:top w:val="nil"/>
              <w:left w:val="nil"/>
              <w:bottom w:val="single" w:sz="4" w:space="0" w:color="auto"/>
              <w:right w:val="nil"/>
            </w:tcBorders>
            <w:shd w:val="clear" w:color="auto" w:fill="auto"/>
            <w:hideMark/>
          </w:tcPr>
          <w:p w14:paraId="5600C8E6" w14:textId="77777777" w:rsidR="003247B5" w:rsidRPr="007F79F5" w:rsidRDefault="003247B5" w:rsidP="007F79F5">
            <w:pPr>
              <w:widowControl/>
              <w:spacing w:after="240"/>
              <w:jc w:val="left"/>
              <w:rPr>
                <w:rFonts w:ascii="Times New Roman" w:eastAsia="Times New Roman" w:hAnsi="Times New Roman" w:cs="Times New Roman"/>
                <w:color w:val="000000"/>
                <w:kern w:val="0"/>
                <w:sz w:val="20"/>
                <w:szCs w:val="20"/>
                <w:lang w:val="en-GB"/>
              </w:rPr>
            </w:pPr>
          </w:p>
        </w:tc>
        <w:tc>
          <w:tcPr>
            <w:tcW w:w="0" w:type="auto"/>
            <w:tcBorders>
              <w:top w:val="nil"/>
              <w:left w:val="nil"/>
              <w:bottom w:val="single" w:sz="4" w:space="0" w:color="auto"/>
              <w:right w:val="nil"/>
            </w:tcBorders>
            <w:shd w:val="clear" w:color="auto" w:fill="auto"/>
            <w:hideMark/>
          </w:tcPr>
          <w:p w14:paraId="7728083A" w14:textId="7A701AF7" w:rsidR="003247B5" w:rsidRPr="007F79F5" w:rsidRDefault="003247B5" w:rsidP="007F79F5">
            <w:pPr>
              <w:widowControl/>
              <w:spacing w:after="240"/>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rPr>
              <w:t>Perceived health status affects treatment burden, leading to anxiety and frustration. Glucose meters play a vital role in shaping the health perception of people with T2DM by monitoring blood sugar levels and providing psychological feedback. Proper use and understanding of glucose meter data are crucial for self-management and mental health. However, this can also add stress, impacting the treatment burden. If patients feel their health needs are unmet, they may seek additional treatment, increasing their burden. This intersects with healthcare, medical information, lifestyle, and health and well-being outcomes.</w:t>
            </w:r>
          </w:p>
        </w:tc>
      </w:tr>
    </w:tbl>
    <w:p w14:paraId="475E1825" w14:textId="7A497162" w:rsidR="001E1C24" w:rsidRPr="007F79F5" w:rsidRDefault="007F79F5" w:rsidP="001E1C24">
      <w:pPr>
        <w:pStyle w:val="2"/>
        <w:spacing w:before="0" w:after="120"/>
        <w:rPr>
          <w:rFonts w:ascii="Times New Roman" w:hAnsi="Times New Roman" w:cs="Times New Roman"/>
          <w:sz w:val="20"/>
          <w:szCs w:val="20"/>
        </w:rPr>
      </w:pPr>
      <w:r w:rsidRPr="007F79F5">
        <w:rPr>
          <w:rFonts w:ascii="Times New Roman" w:hAnsi="Times New Roman" w:cs="Times New Roman"/>
          <w:sz w:val="20"/>
          <w:szCs w:val="20"/>
        </w:rPr>
        <w:br w:type="page"/>
      </w:r>
      <w:bookmarkStart w:id="17" w:name="_Toc137639165"/>
      <w:bookmarkStart w:id="18" w:name="_Toc144294600"/>
      <w:r w:rsidR="001E1C24" w:rsidRPr="007F79F5">
        <w:rPr>
          <w:rFonts w:ascii="Times New Roman" w:hAnsi="Times New Roman" w:cs="Times New Roman"/>
          <w:sz w:val="20"/>
          <w:szCs w:val="20"/>
        </w:rPr>
        <w:t>Table S</w:t>
      </w:r>
      <w:r w:rsidR="001E1C24">
        <w:rPr>
          <w:rFonts w:ascii="Times New Roman" w:hAnsi="Times New Roman" w:cs="Times New Roman"/>
          <w:sz w:val="20"/>
          <w:szCs w:val="20"/>
        </w:rPr>
        <w:t>4</w:t>
      </w:r>
      <w:r w:rsidR="001E1C24" w:rsidRPr="007F79F5">
        <w:rPr>
          <w:rFonts w:ascii="Times New Roman" w:hAnsi="Times New Roman" w:cs="Times New Roman"/>
          <w:sz w:val="20"/>
          <w:szCs w:val="20"/>
        </w:rPr>
        <w:t xml:space="preserve"> Result of PPI panel feedback evaluation</w:t>
      </w:r>
      <w:bookmarkEnd w:id="17"/>
      <w:bookmarkEnd w:id="18"/>
    </w:p>
    <w:tbl>
      <w:tblPr>
        <w:tblStyle w:val="TableGrid"/>
        <w:tblW w:w="11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1"/>
        <w:gridCol w:w="2094"/>
        <w:gridCol w:w="1443"/>
        <w:gridCol w:w="2083"/>
        <w:gridCol w:w="1583"/>
        <w:gridCol w:w="1709"/>
        <w:gridCol w:w="1300"/>
      </w:tblGrid>
      <w:tr w:rsidR="001E1C24" w:rsidRPr="007F79F5" w14:paraId="31FFC389" w14:textId="77777777" w:rsidTr="00BA6DD9">
        <w:trPr>
          <w:trHeight w:val="20"/>
        </w:trPr>
        <w:tc>
          <w:tcPr>
            <w:tcW w:w="1331" w:type="dxa"/>
            <w:tcBorders>
              <w:top w:val="single" w:sz="4" w:space="0" w:color="auto"/>
              <w:bottom w:val="single" w:sz="4" w:space="0" w:color="auto"/>
            </w:tcBorders>
            <w:vAlign w:val="center"/>
          </w:tcPr>
          <w:p w14:paraId="7FD1316F"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b/>
                <w:bCs/>
                <w:color w:val="000000"/>
                <w:kern w:val="0"/>
                <w:sz w:val="20"/>
                <w:szCs w:val="20"/>
                <w:lang w:val="en-GB"/>
              </w:rPr>
              <w:t>Subjects</w:t>
            </w:r>
          </w:p>
        </w:tc>
        <w:tc>
          <w:tcPr>
            <w:tcW w:w="2094" w:type="dxa"/>
            <w:tcBorders>
              <w:top w:val="single" w:sz="4" w:space="0" w:color="auto"/>
              <w:bottom w:val="single" w:sz="4" w:space="0" w:color="auto"/>
            </w:tcBorders>
            <w:vAlign w:val="center"/>
          </w:tcPr>
          <w:p w14:paraId="1762620B"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b/>
                <w:bCs/>
                <w:color w:val="000000"/>
                <w:kern w:val="0"/>
                <w:sz w:val="20"/>
                <w:szCs w:val="20"/>
                <w:lang w:val="en-GB"/>
              </w:rPr>
              <w:t>Characteristics</w:t>
            </w:r>
          </w:p>
        </w:tc>
        <w:tc>
          <w:tcPr>
            <w:tcW w:w="1443" w:type="dxa"/>
            <w:tcBorders>
              <w:top w:val="single" w:sz="4" w:space="0" w:color="auto"/>
              <w:bottom w:val="single" w:sz="4" w:space="0" w:color="auto"/>
            </w:tcBorders>
            <w:vAlign w:val="center"/>
          </w:tcPr>
          <w:p w14:paraId="3457F712"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b/>
                <w:bCs/>
                <w:color w:val="000000"/>
                <w:kern w:val="0"/>
                <w:sz w:val="20"/>
                <w:szCs w:val="20"/>
                <w:lang w:val="en-GB"/>
              </w:rPr>
              <w:t>F (Feasibility)</w:t>
            </w:r>
          </w:p>
        </w:tc>
        <w:tc>
          <w:tcPr>
            <w:tcW w:w="2083" w:type="dxa"/>
            <w:tcBorders>
              <w:top w:val="single" w:sz="4" w:space="0" w:color="auto"/>
              <w:bottom w:val="single" w:sz="4" w:space="0" w:color="auto"/>
            </w:tcBorders>
            <w:vAlign w:val="center"/>
          </w:tcPr>
          <w:p w14:paraId="2DAE346C"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b/>
                <w:bCs/>
                <w:color w:val="000000"/>
                <w:kern w:val="0"/>
                <w:sz w:val="20"/>
                <w:szCs w:val="20"/>
                <w:lang w:val="en-GB"/>
              </w:rPr>
              <w:t>A (Appropriateness)</w:t>
            </w:r>
          </w:p>
        </w:tc>
        <w:tc>
          <w:tcPr>
            <w:tcW w:w="1583" w:type="dxa"/>
            <w:tcBorders>
              <w:top w:val="single" w:sz="4" w:space="0" w:color="auto"/>
              <w:bottom w:val="single" w:sz="4" w:space="0" w:color="auto"/>
            </w:tcBorders>
            <w:vAlign w:val="center"/>
          </w:tcPr>
          <w:p w14:paraId="0F1DE6A2"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b/>
                <w:bCs/>
                <w:color w:val="000000"/>
                <w:kern w:val="0"/>
                <w:sz w:val="20"/>
                <w:szCs w:val="20"/>
                <w:lang w:val="en-GB"/>
              </w:rPr>
              <w:t>M (Meaningful)</w:t>
            </w:r>
          </w:p>
        </w:tc>
        <w:tc>
          <w:tcPr>
            <w:tcW w:w="1709" w:type="dxa"/>
            <w:tcBorders>
              <w:top w:val="single" w:sz="4" w:space="0" w:color="auto"/>
              <w:bottom w:val="single" w:sz="4" w:space="0" w:color="auto"/>
            </w:tcBorders>
            <w:vAlign w:val="center"/>
          </w:tcPr>
          <w:p w14:paraId="09258EB3"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b/>
                <w:bCs/>
                <w:color w:val="000000"/>
                <w:kern w:val="0"/>
                <w:sz w:val="20"/>
                <w:szCs w:val="20"/>
                <w:lang w:val="en-GB"/>
              </w:rPr>
              <w:t>E (Effectiveness)</w:t>
            </w:r>
          </w:p>
        </w:tc>
        <w:tc>
          <w:tcPr>
            <w:tcW w:w="1300" w:type="dxa"/>
            <w:tcBorders>
              <w:top w:val="single" w:sz="4" w:space="0" w:color="auto"/>
              <w:bottom w:val="single" w:sz="4" w:space="0" w:color="auto"/>
            </w:tcBorders>
            <w:vAlign w:val="center"/>
          </w:tcPr>
          <w:p w14:paraId="00E02533"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b/>
                <w:bCs/>
                <w:color w:val="000000"/>
                <w:kern w:val="0"/>
                <w:sz w:val="20"/>
                <w:szCs w:val="20"/>
                <w:lang w:val="en-GB"/>
              </w:rPr>
              <w:t>TOTAL</w:t>
            </w:r>
          </w:p>
        </w:tc>
      </w:tr>
      <w:tr w:rsidR="001E1C24" w:rsidRPr="007F79F5" w14:paraId="78A89401" w14:textId="77777777" w:rsidTr="00BA6DD9">
        <w:trPr>
          <w:trHeight w:val="20"/>
        </w:trPr>
        <w:tc>
          <w:tcPr>
            <w:tcW w:w="1331" w:type="dxa"/>
            <w:tcBorders>
              <w:top w:val="single" w:sz="4" w:space="0" w:color="auto"/>
            </w:tcBorders>
            <w:vAlign w:val="center"/>
          </w:tcPr>
          <w:p w14:paraId="3BFD267A"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b/>
                <w:bCs/>
                <w:color w:val="000000"/>
                <w:kern w:val="0"/>
                <w:sz w:val="20"/>
                <w:szCs w:val="20"/>
                <w:lang w:val="en-GB"/>
              </w:rPr>
              <w:t>P1</w:t>
            </w:r>
          </w:p>
        </w:tc>
        <w:tc>
          <w:tcPr>
            <w:tcW w:w="2094" w:type="dxa"/>
            <w:tcBorders>
              <w:top w:val="single" w:sz="4" w:space="0" w:color="auto"/>
            </w:tcBorders>
            <w:vAlign w:val="center"/>
          </w:tcPr>
          <w:p w14:paraId="79B9F524"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F, 76 yrs, Y3</w:t>
            </w:r>
          </w:p>
        </w:tc>
        <w:tc>
          <w:tcPr>
            <w:tcW w:w="1443" w:type="dxa"/>
            <w:tcBorders>
              <w:top w:val="single" w:sz="4" w:space="0" w:color="auto"/>
            </w:tcBorders>
            <w:vAlign w:val="center"/>
          </w:tcPr>
          <w:p w14:paraId="6DFE4DED"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4</w:t>
            </w:r>
          </w:p>
        </w:tc>
        <w:tc>
          <w:tcPr>
            <w:tcW w:w="2083" w:type="dxa"/>
            <w:tcBorders>
              <w:top w:val="single" w:sz="4" w:space="0" w:color="auto"/>
            </w:tcBorders>
            <w:vAlign w:val="center"/>
          </w:tcPr>
          <w:p w14:paraId="50007402"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3</w:t>
            </w:r>
          </w:p>
        </w:tc>
        <w:tc>
          <w:tcPr>
            <w:tcW w:w="1583" w:type="dxa"/>
            <w:tcBorders>
              <w:top w:val="single" w:sz="4" w:space="0" w:color="auto"/>
            </w:tcBorders>
            <w:vAlign w:val="center"/>
          </w:tcPr>
          <w:p w14:paraId="3C6F54C2"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4</w:t>
            </w:r>
          </w:p>
        </w:tc>
        <w:tc>
          <w:tcPr>
            <w:tcW w:w="1709" w:type="dxa"/>
            <w:tcBorders>
              <w:top w:val="single" w:sz="4" w:space="0" w:color="auto"/>
            </w:tcBorders>
            <w:vAlign w:val="center"/>
          </w:tcPr>
          <w:p w14:paraId="16135CC3"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3</w:t>
            </w:r>
          </w:p>
        </w:tc>
        <w:tc>
          <w:tcPr>
            <w:tcW w:w="1300" w:type="dxa"/>
            <w:tcBorders>
              <w:top w:val="single" w:sz="4" w:space="0" w:color="auto"/>
            </w:tcBorders>
            <w:vAlign w:val="center"/>
          </w:tcPr>
          <w:p w14:paraId="7FDA66D9"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14</w:t>
            </w:r>
          </w:p>
        </w:tc>
      </w:tr>
      <w:tr w:rsidR="001E1C24" w:rsidRPr="007F79F5" w14:paraId="211E397B" w14:textId="77777777" w:rsidTr="00BA6DD9">
        <w:trPr>
          <w:trHeight w:val="20"/>
        </w:trPr>
        <w:tc>
          <w:tcPr>
            <w:tcW w:w="1331" w:type="dxa"/>
            <w:vAlign w:val="center"/>
          </w:tcPr>
          <w:p w14:paraId="7642F042"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b/>
                <w:bCs/>
                <w:color w:val="000000"/>
                <w:kern w:val="0"/>
                <w:sz w:val="20"/>
                <w:szCs w:val="20"/>
                <w:lang w:val="en-GB"/>
              </w:rPr>
              <w:t>P2</w:t>
            </w:r>
          </w:p>
        </w:tc>
        <w:tc>
          <w:tcPr>
            <w:tcW w:w="2094" w:type="dxa"/>
            <w:vAlign w:val="center"/>
          </w:tcPr>
          <w:p w14:paraId="01080499"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F,72 yrs, Y3</w:t>
            </w:r>
          </w:p>
        </w:tc>
        <w:tc>
          <w:tcPr>
            <w:tcW w:w="1443" w:type="dxa"/>
            <w:vAlign w:val="center"/>
          </w:tcPr>
          <w:p w14:paraId="2BA5155C"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4</w:t>
            </w:r>
          </w:p>
        </w:tc>
        <w:tc>
          <w:tcPr>
            <w:tcW w:w="2083" w:type="dxa"/>
            <w:vAlign w:val="center"/>
          </w:tcPr>
          <w:p w14:paraId="7731319A"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3</w:t>
            </w:r>
          </w:p>
        </w:tc>
        <w:tc>
          <w:tcPr>
            <w:tcW w:w="1583" w:type="dxa"/>
            <w:vAlign w:val="center"/>
          </w:tcPr>
          <w:p w14:paraId="3548DBB7"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4</w:t>
            </w:r>
          </w:p>
        </w:tc>
        <w:tc>
          <w:tcPr>
            <w:tcW w:w="1709" w:type="dxa"/>
            <w:vAlign w:val="center"/>
          </w:tcPr>
          <w:p w14:paraId="4721D9F7"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3</w:t>
            </w:r>
          </w:p>
        </w:tc>
        <w:tc>
          <w:tcPr>
            <w:tcW w:w="1300" w:type="dxa"/>
            <w:vAlign w:val="center"/>
          </w:tcPr>
          <w:p w14:paraId="78B3B471"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14</w:t>
            </w:r>
          </w:p>
        </w:tc>
      </w:tr>
      <w:tr w:rsidR="001E1C24" w:rsidRPr="007F79F5" w14:paraId="3DD0B24B" w14:textId="77777777" w:rsidTr="00BA6DD9">
        <w:trPr>
          <w:trHeight w:val="20"/>
        </w:trPr>
        <w:tc>
          <w:tcPr>
            <w:tcW w:w="1331" w:type="dxa"/>
            <w:vAlign w:val="center"/>
          </w:tcPr>
          <w:p w14:paraId="1F8FE2DA"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b/>
                <w:bCs/>
                <w:color w:val="000000"/>
                <w:kern w:val="0"/>
                <w:sz w:val="20"/>
                <w:szCs w:val="20"/>
                <w:lang w:val="en-GB"/>
              </w:rPr>
              <w:t>P3</w:t>
            </w:r>
          </w:p>
        </w:tc>
        <w:tc>
          <w:tcPr>
            <w:tcW w:w="2094" w:type="dxa"/>
            <w:vAlign w:val="center"/>
          </w:tcPr>
          <w:p w14:paraId="6DFE7D64"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M, 75 yrs, Y3</w:t>
            </w:r>
          </w:p>
        </w:tc>
        <w:tc>
          <w:tcPr>
            <w:tcW w:w="1443" w:type="dxa"/>
            <w:vAlign w:val="center"/>
          </w:tcPr>
          <w:p w14:paraId="571D4802"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3</w:t>
            </w:r>
          </w:p>
        </w:tc>
        <w:tc>
          <w:tcPr>
            <w:tcW w:w="2083" w:type="dxa"/>
            <w:vAlign w:val="center"/>
          </w:tcPr>
          <w:p w14:paraId="1960571C"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4</w:t>
            </w:r>
          </w:p>
        </w:tc>
        <w:tc>
          <w:tcPr>
            <w:tcW w:w="1583" w:type="dxa"/>
            <w:vAlign w:val="center"/>
          </w:tcPr>
          <w:p w14:paraId="1FFA939B"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4</w:t>
            </w:r>
          </w:p>
        </w:tc>
        <w:tc>
          <w:tcPr>
            <w:tcW w:w="1709" w:type="dxa"/>
            <w:vAlign w:val="center"/>
          </w:tcPr>
          <w:p w14:paraId="6AFD7141"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4</w:t>
            </w:r>
          </w:p>
        </w:tc>
        <w:tc>
          <w:tcPr>
            <w:tcW w:w="1300" w:type="dxa"/>
            <w:vAlign w:val="center"/>
          </w:tcPr>
          <w:p w14:paraId="17EEC38D"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15</w:t>
            </w:r>
          </w:p>
        </w:tc>
      </w:tr>
      <w:tr w:rsidR="001E1C24" w:rsidRPr="007F79F5" w14:paraId="79DC99FC" w14:textId="77777777" w:rsidTr="00BA6DD9">
        <w:trPr>
          <w:trHeight w:val="20"/>
        </w:trPr>
        <w:tc>
          <w:tcPr>
            <w:tcW w:w="1331" w:type="dxa"/>
            <w:vAlign w:val="center"/>
          </w:tcPr>
          <w:p w14:paraId="0A54B852"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b/>
                <w:bCs/>
                <w:color w:val="000000"/>
                <w:kern w:val="0"/>
                <w:sz w:val="20"/>
                <w:szCs w:val="20"/>
                <w:lang w:val="en-GB"/>
              </w:rPr>
              <w:t>P4</w:t>
            </w:r>
          </w:p>
        </w:tc>
        <w:tc>
          <w:tcPr>
            <w:tcW w:w="2094" w:type="dxa"/>
            <w:vAlign w:val="center"/>
          </w:tcPr>
          <w:p w14:paraId="6F2FE9CB"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M, 25 yrs, Y1</w:t>
            </w:r>
          </w:p>
        </w:tc>
        <w:tc>
          <w:tcPr>
            <w:tcW w:w="1443" w:type="dxa"/>
            <w:vAlign w:val="center"/>
          </w:tcPr>
          <w:p w14:paraId="1C28FFF1"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4</w:t>
            </w:r>
          </w:p>
        </w:tc>
        <w:tc>
          <w:tcPr>
            <w:tcW w:w="2083" w:type="dxa"/>
            <w:vAlign w:val="center"/>
          </w:tcPr>
          <w:p w14:paraId="6BEF894E"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4</w:t>
            </w:r>
          </w:p>
        </w:tc>
        <w:tc>
          <w:tcPr>
            <w:tcW w:w="1583" w:type="dxa"/>
            <w:vAlign w:val="center"/>
          </w:tcPr>
          <w:p w14:paraId="5F735D7C"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4</w:t>
            </w:r>
          </w:p>
        </w:tc>
        <w:tc>
          <w:tcPr>
            <w:tcW w:w="1709" w:type="dxa"/>
            <w:vAlign w:val="center"/>
          </w:tcPr>
          <w:p w14:paraId="67D64A77"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3</w:t>
            </w:r>
          </w:p>
        </w:tc>
        <w:tc>
          <w:tcPr>
            <w:tcW w:w="1300" w:type="dxa"/>
            <w:vAlign w:val="center"/>
          </w:tcPr>
          <w:p w14:paraId="22F3B111"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15</w:t>
            </w:r>
          </w:p>
        </w:tc>
      </w:tr>
      <w:tr w:rsidR="001E1C24" w:rsidRPr="007F79F5" w14:paraId="3815C969" w14:textId="77777777" w:rsidTr="00BA6DD9">
        <w:trPr>
          <w:trHeight w:val="20"/>
        </w:trPr>
        <w:tc>
          <w:tcPr>
            <w:tcW w:w="1331" w:type="dxa"/>
            <w:vAlign w:val="center"/>
          </w:tcPr>
          <w:p w14:paraId="1F0C5D52"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b/>
                <w:bCs/>
                <w:color w:val="000000"/>
                <w:kern w:val="0"/>
                <w:sz w:val="20"/>
                <w:szCs w:val="20"/>
                <w:lang w:val="en-GB"/>
              </w:rPr>
              <w:t>HP1</w:t>
            </w:r>
          </w:p>
        </w:tc>
        <w:tc>
          <w:tcPr>
            <w:tcW w:w="2094" w:type="dxa"/>
            <w:vAlign w:val="center"/>
          </w:tcPr>
          <w:p w14:paraId="3864E789"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F, 32 yrs, Y1, E2</w:t>
            </w:r>
          </w:p>
        </w:tc>
        <w:tc>
          <w:tcPr>
            <w:tcW w:w="1443" w:type="dxa"/>
            <w:vAlign w:val="center"/>
          </w:tcPr>
          <w:p w14:paraId="121336F5"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4</w:t>
            </w:r>
          </w:p>
        </w:tc>
        <w:tc>
          <w:tcPr>
            <w:tcW w:w="2083" w:type="dxa"/>
            <w:vAlign w:val="center"/>
          </w:tcPr>
          <w:p w14:paraId="063013B9"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3</w:t>
            </w:r>
          </w:p>
        </w:tc>
        <w:tc>
          <w:tcPr>
            <w:tcW w:w="1583" w:type="dxa"/>
            <w:vAlign w:val="center"/>
          </w:tcPr>
          <w:p w14:paraId="7D7154F4"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4</w:t>
            </w:r>
          </w:p>
        </w:tc>
        <w:tc>
          <w:tcPr>
            <w:tcW w:w="1709" w:type="dxa"/>
            <w:vAlign w:val="center"/>
          </w:tcPr>
          <w:p w14:paraId="7FD5100B"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3</w:t>
            </w:r>
          </w:p>
        </w:tc>
        <w:tc>
          <w:tcPr>
            <w:tcW w:w="1300" w:type="dxa"/>
            <w:vAlign w:val="center"/>
          </w:tcPr>
          <w:p w14:paraId="2BD57C7E"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14</w:t>
            </w:r>
          </w:p>
        </w:tc>
      </w:tr>
      <w:tr w:rsidR="001E1C24" w:rsidRPr="007F79F5" w14:paraId="4574514F" w14:textId="77777777" w:rsidTr="00BA6DD9">
        <w:trPr>
          <w:trHeight w:val="20"/>
        </w:trPr>
        <w:tc>
          <w:tcPr>
            <w:tcW w:w="1331" w:type="dxa"/>
            <w:vAlign w:val="center"/>
          </w:tcPr>
          <w:p w14:paraId="36DCA09B"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b/>
                <w:bCs/>
                <w:color w:val="000000"/>
                <w:kern w:val="0"/>
                <w:sz w:val="20"/>
                <w:szCs w:val="20"/>
                <w:lang w:val="en-GB"/>
              </w:rPr>
              <w:t>HP2</w:t>
            </w:r>
          </w:p>
        </w:tc>
        <w:tc>
          <w:tcPr>
            <w:tcW w:w="2094" w:type="dxa"/>
            <w:vAlign w:val="center"/>
          </w:tcPr>
          <w:p w14:paraId="490A1D85"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M, 35 yrs, Y2, E2</w:t>
            </w:r>
          </w:p>
        </w:tc>
        <w:tc>
          <w:tcPr>
            <w:tcW w:w="1443" w:type="dxa"/>
            <w:vAlign w:val="center"/>
          </w:tcPr>
          <w:p w14:paraId="241B4E89"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4</w:t>
            </w:r>
          </w:p>
        </w:tc>
        <w:tc>
          <w:tcPr>
            <w:tcW w:w="2083" w:type="dxa"/>
            <w:vAlign w:val="center"/>
          </w:tcPr>
          <w:p w14:paraId="46A0A1BB"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3</w:t>
            </w:r>
          </w:p>
        </w:tc>
        <w:tc>
          <w:tcPr>
            <w:tcW w:w="1583" w:type="dxa"/>
            <w:vAlign w:val="center"/>
          </w:tcPr>
          <w:p w14:paraId="1B69531C"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4</w:t>
            </w:r>
          </w:p>
        </w:tc>
        <w:tc>
          <w:tcPr>
            <w:tcW w:w="1709" w:type="dxa"/>
            <w:vAlign w:val="center"/>
          </w:tcPr>
          <w:p w14:paraId="32A61A49"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4</w:t>
            </w:r>
          </w:p>
        </w:tc>
        <w:tc>
          <w:tcPr>
            <w:tcW w:w="1300" w:type="dxa"/>
            <w:vAlign w:val="center"/>
          </w:tcPr>
          <w:p w14:paraId="294B3671"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15</w:t>
            </w:r>
          </w:p>
        </w:tc>
      </w:tr>
      <w:tr w:rsidR="001E1C24" w:rsidRPr="007F79F5" w14:paraId="4BD1540A" w14:textId="77777777" w:rsidTr="00BA6DD9">
        <w:trPr>
          <w:trHeight w:val="20"/>
        </w:trPr>
        <w:tc>
          <w:tcPr>
            <w:tcW w:w="1331" w:type="dxa"/>
            <w:vAlign w:val="center"/>
          </w:tcPr>
          <w:p w14:paraId="1A602FC0"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b/>
                <w:bCs/>
                <w:color w:val="000000"/>
                <w:kern w:val="0"/>
                <w:sz w:val="20"/>
                <w:szCs w:val="20"/>
                <w:lang w:val="en-GB"/>
              </w:rPr>
              <w:t>HP3</w:t>
            </w:r>
          </w:p>
        </w:tc>
        <w:tc>
          <w:tcPr>
            <w:tcW w:w="2094" w:type="dxa"/>
            <w:vAlign w:val="center"/>
          </w:tcPr>
          <w:p w14:paraId="77148960"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F, 24 yrs, Y1, E1</w:t>
            </w:r>
          </w:p>
        </w:tc>
        <w:tc>
          <w:tcPr>
            <w:tcW w:w="1443" w:type="dxa"/>
            <w:vAlign w:val="center"/>
          </w:tcPr>
          <w:p w14:paraId="69E723A8"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3</w:t>
            </w:r>
          </w:p>
        </w:tc>
        <w:tc>
          <w:tcPr>
            <w:tcW w:w="2083" w:type="dxa"/>
            <w:vAlign w:val="center"/>
          </w:tcPr>
          <w:p w14:paraId="634FC091"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4</w:t>
            </w:r>
          </w:p>
        </w:tc>
        <w:tc>
          <w:tcPr>
            <w:tcW w:w="1583" w:type="dxa"/>
            <w:vAlign w:val="center"/>
          </w:tcPr>
          <w:p w14:paraId="059B6108"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4</w:t>
            </w:r>
          </w:p>
        </w:tc>
        <w:tc>
          <w:tcPr>
            <w:tcW w:w="1709" w:type="dxa"/>
            <w:vAlign w:val="center"/>
          </w:tcPr>
          <w:p w14:paraId="34E62807"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3</w:t>
            </w:r>
          </w:p>
        </w:tc>
        <w:tc>
          <w:tcPr>
            <w:tcW w:w="1300" w:type="dxa"/>
            <w:vAlign w:val="center"/>
          </w:tcPr>
          <w:p w14:paraId="7C9A7040"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14</w:t>
            </w:r>
          </w:p>
        </w:tc>
      </w:tr>
      <w:tr w:rsidR="001E1C24" w:rsidRPr="007F79F5" w14:paraId="5C4D0F56" w14:textId="77777777" w:rsidTr="00BA6DD9">
        <w:trPr>
          <w:trHeight w:val="20"/>
        </w:trPr>
        <w:tc>
          <w:tcPr>
            <w:tcW w:w="1331" w:type="dxa"/>
            <w:vAlign w:val="center"/>
          </w:tcPr>
          <w:p w14:paraId="3891E929"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b/>
                <w:bCs/>
                <w:color w:val="000000"/>
                <w:kern w:val="0"/>
                <w:sz w:val="20"/>
                <w:szCs w:val="20"/>
                <w:lang w:val="en-GB"/>
              </w:rPr>
              <w:t>HP4</w:t>
            </w:r>
          </w:p>
        </w:tc>
        <w:tc>
          <w:tcPr>
            <w:tcW w:w="2094" w:type="dxa"/>
            <w:vAlign w:val="center"/>
          </w:tcPr>
          <w:p w14:paraId="50AAA874"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F, 28 yrs, Y1, E2</w:t>
            </w:r>
          </w:p>
        </w:tc>
        <w:tc>
          <w:tcPr>
            <w:tcW w:w="1443" w:type="dxa"/>
            <w:vAlign w:val="center"/>
          </w:tcPr>
          <w:p w14:paraId="3E0D4CD2"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4</w:t>
            </w:r>
          </w:p>
        </w:tc>
        <w:tc>
          <w:tcPr>
            <w:tcW w:w="2083" w:type="dxa"/>
            <w:vAlign w:val="center"/>
          </w:tcPr>
          <w:p w14:paraId="1F48F699"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3</w:t>
            </w:r>
          </w:p>
        </w:tc>
        <w:tc>
          <w:tcPr>
            <w:tcW w:w="1583" w:type="dxa"/>
            <w:vAlign w:val="center"/>
          </w:tcPr>
          <w:p w14:paraId="4D290B0C"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4</w:t>
            </w:r>
          </w:p>
        </w:tc>
        <w:tc>
          <w:tcPr>
            <w:tcW w:w="1709" w:type="dxa"/>
            <w:vAlign w:val="center"/>
          </w:tcPr>
          <w:p w14:paraId="3A999F6E"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3</w:t>
            </w:r>
          </w:p>
        </w:tc>
        <w:tc>
          <w:tcPr>
            <w:tcW w:w="1300" w:type="dxa"/>
            <w:vAlign w:val="center"/>
          </w:tcPr>
          <w:p w14:paraId="32861129"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sz w:val="20"/>
                <w:szCs w:val="20"/>
                <w:lang w:val="en-GB"/>
              </w:rPr>
              <w:t>14</w:t>
            </w:r>
          </w:p>
        </w:tc>
      </w:tr>
      <w:tr w:rsidR="001E1C24" w:rsidRPr="007F79F5" w14:paraId="7E4DB047" w14:textId="77777777" w:rsidTr="00BA6DD9">
        <w:trPr>
          <w:trHeight w:val="20"/>
        </w:trPr>
        <w:tc>
          <w:tcPr>
            <w:tcW w:w="1331" w:type="dxa"/>
            <w:tcBorders>
              <w:bottom w:val="single" w:sz="4" w:space="0" w:color="auto"/>
            </w:tcBorders>
            <w:vAlign w:val="center"/>
          </w:tcPr>
          <w:p w14:paraId="13522DFC"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b/>
                <w:bCs/>
                <w:color w:val="000000"/>
                <w:kern w:val="0"/>
                <w:sz w:val="20"/>
                <w:szCs w:val="20"/>
                <w:lang w:val="en-GB"/>
              </w:rPr>
              <w:t>CVI</w:t>
            </w:r>
          </w:p>
        </w:tc>
        <w:tc>
          <w:tcPr>
            <w:tcW w:w="2094" w:type="dxa"/>
            <w:tcBorders>
              <w:bottom w:val="single" w:sz="4" w:space="0" w:color="auto"/>
            </w:tcBorders>
            <w:vAlign w:val="center"/>
          </w:tcPr>
          <w:p w14:paraId="52BAEAEC" w14:textId="77777777" w:rsidR="001E1C24" w:rsidRPr="007F79F5" w:rsidRDefault="001E1C24" w:rsidP="00BA6DD9">
            <w:pPr>
              <w:jc w:val="center"/>
              <w:rPr>
                <w:rFonts w:ascii="Times New Roman" w:eastAsiaTheme="minorHAnsi" w:hAnsi="Times New Roman" w:cs="Times New Roman"/>
                <w:sz w:val="20"/>
                <w:szCs w:val="20"/>
                <w:lang w:val="en-GB"/>
              </w:rPr>
            </w:pPr>
          </w:p>
        </w:tc>
        <w:tc>
          <w:tcPr>
            <w:tcW w:w="1443" w:type="dxa"/>
            <w:tcBorders>
              <w:bottom w:val="single" w:sz="4" w:space="0" w:color="auto"/>
            </w:tcBorders>
            <w:vAlign w:val="center"/>
          </w:tcPr>
          <w:p w14:paraId="67D3396C"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kern w:val="0"/>
                <w:sz w:val="20"/>
                <w:szCs w:val="20"/>
                <w:lang w:val="en-GB"/>
              </w:rPr>
              <w:t>0.94</w:t>
            </w:r>
          </w:p>
        </w:tc>
        <w:tc>
          <w:tcPr>
            <w:tcW w:w="2083" w:type="dxa"/>
            <w:tcBorders>
              <w:bottom w:val="single" w:sz="4" w:space="0" w:color="auto"/>
            </w:tcBorders>
            <w:vAlign w:val="center"/>
          </w:tcPr>
          <w:p w14:paraId="2D4ECE56"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kern w:val="0"/>
                <w:sz w:val="20"/>
                <w:szCs w:val="20"/>
                <w:lang w:val="en-GB"/>
              </w:rPr>
              <w:t>0.84</w:t>
            </w:r>
          </w:p>
        </w:tc>
        <w:tc>
          <w:tcPr>
            <w:tcW w:w="1583" w:type="dxa"/>
            <w:tcBorders>
              <w:bottom w:val="single" w:sz="4" w:space="0" w:color="auto"/>
            </w:tcBorders>
            <w:vAlign w:val="center"/>
          </w:tcPr>
          <w:p w14:paraId="434E7483"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kern w:val="0"/>
                <w:sz w:val="20"/>
                <w:szCs w:val="20"/>
                <w:lang w:val="en-GB"/>
              </w:rPr>
              <w:t>1.00</w:t>
            </w:r>
          </w:p>
        </w:tc>
        <w:tc>
          <w:tcPr>
            <w:tcW w:w="1709" w:type="dxa"/>
            <w:tcBorders>
              <w:bottom w:val="single" w:sz="4" w:space="0" w:color="auto"/>
            </w:tcBorders>
            <w:vAlign w:val="center"/>
          </w:tcPr>
          <w:p w14:paraId="33D89311"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kern w:val="0"/>
                <w:sz w:val="20"/>
                <w:szCs w:val="20"/>
                <w:lang w:val="en-GB"/>
              </w:rPr>
              <w:t>0.81</w:t>
            </w:r>
          </w:p>
        </w:tc>
        <w:tc>
          <w:tcPr>
            <w:tcW w:w="1300" w:type="dxa"/>
            <w:tcBorders>
              <w:bottom w:val="single" w:sz="4" w:space="0" w:color="auto"/>
            </w:tcBorders>
            <w:vAlign w:val="center"/>
          </w:tcPr>
          <w:p w14:paraId="168EC5F9" w14:textId="77777777" w:rsidR="001E1C24" w:rsidRPr="007F79F5" w:rsidRDefault="001E1C24" w:rsidP="00BA6DD9">
            <w:pPr>
              <w:jc w:val="center"/>
              <w:rPr>
                <w:rFonts w:ascii="Times New Roman" w:eastAsiaTheme="minorHAnsi" w:hAnsi="Times New Roman" w:cs="Times New Roman"/>
                <w:sz w:val="20"/>
                <w:szCs w:val="20"/>
                <w:lang w:val="en-GB"/>
              </w:rPr>
            </w:pPr>
            <w:r w:rsidRPr="007F79F5">
              <w:rPr>
                <w:rFonts w:ascii="Times New Roman" w:eastAsia="Times New Roman" w:hAnsi="Times New Roman" w:cs="Times New Roman"/>
                <w:color w:val="000000"/>
                <w:kern w:val="0"/>
                <w:sz w:val="20"/>
                <w:szCs w:val="20"/>
                <w:lang w:val="en-GB"/>
              </w:rPr>
              <w:t>0.90</w:t>
            </w:r>
          </w:p>
        </w:tc>
      </w:tr>
      <w:tr w:rsidR="001E1C24" w:rsidRPr="007F79F5" w14:paraId="4B68E9B1" w14:textId="77777777" w:rsidTr="00BA6DD9">
        <w:trPr>
          <w:trHeight w:val="20"/>
        </w:trPr>
        <w:tc>
          <w:tcPr>
            <w:tcW w:w="11543" w:type="dxa"/>
            <w:gridSpan w:val="7"/>
            <w:tcBorders>
              <w:top w:val="single" w:sz="4" w:space="0" w:color="auto"/>
            </w:tcBorders>
            <w:vAlign w:val="center"/>
          </w:tcPr>
          <w:p w14:paraId="0570974C" w14:textId="77777777" w:rsidR="001E1C24" w:rsidRPr="007F79F5" w:rsidRDefault="001E1C24" w:rsidP="00BA6DD9">
            <w:pPr>
              <w:widowControl/>
              <w:contextualSpacing/>
              <w:jc w:val="left"/>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lang w:val="en-GB"/>
              </w:rPr>
              <w:t>scores: 1=not relevant, 2=weakly relevant, 3=relevant, 4=strongly relevant</w:t>
            </w:r>
          </w:p>
        </w:tc>
      </w:tr>
      <w:tr w:rsidR="001E1C24" w:rsidRPr="007F79F5" w14:paraId="6B1A0F51" w14:textId="77777777" w:rsidTr="00BA6DD9">
        <w:trPr>
          <w:trHeight w:val="20"/>
        </w:trPr>
        <w:tc>
          <w:tcPr>
            <w:tcW w:w="11543" w:type="dxa"/>
            <w:gridSpan w:val="7"/>
          </w:tcPr>
          <w:p w14:paraId="12DA1627" w14:textId="77777777" w:rsidR="001E1C24" w:rsidRPr="007F79F5" w:rsidRDefault="001E1C24" w:rsidP="00BA6DD9">
            <w:pPr>
              <w:widowControl/>
              <w:pBdr>
                <w:bottom w:val="single" w:sz="4" w:space="1" w:color="auto"/>
              </w:pBdr>
              <w:contextualSpacing/>
              <w:jc w:val="left"/>
              <w:rPr>
                <w:rFonts w:ascii="Times New Roman" w:eastAsia="Times New Roman" w:hAnsi="Times New Roman" w:cs="Times New Roman"/>
                <w:color w:val="000000"/>
                <w:kern w:val="0"/>
                <w:sz w:val="20"/>
                <w:szCs w:val="20"/>
                <w:lang w:val="en-GB"/>
              </w:rPr>
            </w:pPr>
            <w:r w:rsidRPr="007F79F5">
              <w:rPr>
                <w:rFonts w:ascii="Times New Roman" w:eastAsia="Times New Roman" w:hAnsi="Times New Roman" w:cs="Times New Roman"/>
                <w:color w:val="000000"/>
                <w:kern w:val="0"/>
                <w:sz w:val="20"/>
                <w:szCs w:val="20"/>
                <w:lang w:val="en-GB"/>
              </w:rPr>
              <w:t xml:space="preserve">Gender, M= male, F= female; </w:t>
            </w:r>
            <w:r w:rsidRPr="007F79F5">
              <w:rPr>
                <w:rFonts w:ascii="Times New Roman" w:eastAsia="Times New Roman" w:hAnsi="Times New Roman" w:cs="Times New Roman"/>
                <w:color w:val="000000"/>
                <w:kern w:val="0"/>
                <w:sz w:val="20"/>
                <w:szCs w:val="20"/>
                <w:lang w:val="en-GB"/>
              </w:rPr>
              <w:br/>
              <w:t xml:space="preserve">Years in practice or durantion, Y1= &lt;5 years in practice, Y2= 5-10 years in practice, Y3= &gt;10 years in practice; </w:t>
            </w:r>
            <w:r w:rsidRPr="007F79F5">
              <w:rPr>
                <w:rFonts w:ascii="Times New Roman" w:eastAsia="Times New Roman" w:hAnsi="Times New Roman" w:cs="Times New Roman"/>
                <w:color w:val="000000"/>
                <w:kern w:val="0"/>
                <w:sz w:val="20"/>
                <w:szCs w:val="20"/>
                <w:lang w:val="en-GB"/>
              </w:rPr>
              <w:br/>
              <w:t xml:space="preserve">Educational background, E1= bachelor’s degree, E2= Master's degree, E3= PhD degree; </w:t>
            </w:r>
            <w:r w:rsidRPr="007F79F5">
              <w:rPr>
                <w:rFonts w:ascii="Times New Roman" w:eastAsia="Times New Roman" w:hAnsi="Times New Roman" w:cs="Times New Roman"/>
                <w:color w:val="000000"/>
                <w:kern w:val="0"/>
                <w:sz w:val="20"/>
                <w:szCs w:val="20"/>
                <w:lang w:val="en-GB"/>
              </w:rPr>
              <w:br/>
              <w:t>- indicates no participants in this group</w:t>
            </w:r>
          </w:p>
          <w:p w14:paraId="53908A64" w14:textId="77777777" w:rsidR="001E1C24" w:rsidRPr="007F79F5" w:rsidRDefault="001E1C24" w:rsidP="00BA6DD9">
            <w:pPr>
              <w:rPr>
                <w:rFonts w:ascii="Times New Roman" w:eastAsiaTheme="minorHAnsi" w:hAnsi="Times New Roman" w:cs="Times New Roman"/>
                <w:sz w:val="20"/>
                <w:szCs w:val="20"/>
                <w:lang w:val="en-GB"/>
              </w:rPr>
            </w:pPr>
          </w:p>
        </w:tc>
      </w:tr>
    </w:tbl>
    <w:p w14:paraId="61CA9354" w14:textId="77777777" w:rsidR="001E1C24" w:rsidRPr="007F79F5" w:rsidRDefault="001E1C24" w:rsidP="001E1C24">
      <w:pPr>
        <w:pStyle w:val="CitaviBibliographyEntry"/>
        <w:rPr>
          <w:rFonts w:ascii="Times New Roman" w:hAnsi="Times New Roman" w:cs="Times New Roman"/>
          <w:sz w:val="20"/>
          <w:szCs w:val="20"/>
        </w:rPr>
      </w:pPr>
    </w:p>
    <w:p w14:paraId="0BE6DB40" w14:textId="37694CF0" w:rsidR="00177744" w:rsidRPr="007F79F5" w:rsidRDefault="00177744" w:rsidP="00177744">
      <w:pPr>
        <w:pStyle w:val="2"/>
        <w:spacing w:before="0" w:after="120"/>
        <w:rPr>
          <w:rFonts w:ascii="Times New Roman" w:hAnsi="Times New Roman" w:cs="Times New Roman"/>
          <w:sz w:val="20"/>
          <w:szCs w:val="20"/>
        </w:rPr>
      </w:pPr>
      <w:bookmarkStart w:id="19" w:name="_Toc144294601"/>
      <w:r w:rsidRPr="007F79F5">
        <w:rPr>
          <w:rFonts w:ascii="Times New Roman" w:hAnsi="Times New Roman" w:cs="Times New Roman"/>
          <w:sz w:val="20"/>
          <w:szCs w:val="20"/>
        </w:rPr>
        <w:t>Table S</w:t>
      </w:r>
      <w:r w:rsidR="001E1C24">
        <w:rPr>
          <w:rFonts w:ascii="Times New Roman" w:hAnsi="Times New Roman" w:cs="Times New Roman"/>
          <w:sz w:val="20"/>
          <w:szCs w:val="20"/>
        </w:rPr>
        <w:t>5</w:t>
      </w:r>
      <w:r w:rsidRPr="007F79F5">
        <w:rPr>
          <w:rFonts w:ascii="Times New Roman" w:hAnsi="Times New Roman" w:cs="Times New Roman"/>
          <w:sz w:val="20"/>
          <w:szCs w:val="20"/>
        </w:rPr>
        <w:t xml:space="preserve"> </w:t>
      </w:r>
      <w:r w:rsidR="00BC0FB2" w:rsidRPr="00BC0FB2">
        <w:rPr>
          <w:rFonts w:ascii="Times New Roman" w:hAnsi="Times New Roman" w:cs="Times New Roman"/>
          <w:sz w:val="20"/>
          <w:szCs w:val="20"/>
        </w:rPr>
        <w:t>Number of conceptual framework themes covered</w:t>
      </w:r>
      <w:bookmarkEnd w:id="19"/>
    </w:p>
    <w:tbl>
      <w:tblPr>
        <w:tblW w:w="0" w:type="auto"/>
        <w:tblLook w:val="04A0" w:firstRow="1" w:lastRow="0" w:firstColumn="1" w:lastColumn="0" w:noHBand="0" w:noVBand="1"/>
      </w:tblPr>
      <w:tblGrid>
        <w:gridCol w:w="3054"/>
        <w:gridCol w:w="717"/>
        <w:gridCol w:w="639"/>
        <w:gridCol w:w="828"/>
        <w:gridCol w:w="783"/>
        <w:gridCol w:w="1150"/>
        <w:gridCol w:w="839"/>
        <w:gridCol w:w="839"/>
        <w:gridCol w:w="839"/>
        <w:gridCol w:w="839"/>
        <w:gridCol w:w="839"/>
      </w:tblGrid>
      <w:tr w:rsidR="00DA1F99" w:rsidRPr="00462538" w14:paraId="748A623E" w14:textId="77777777" w:rsidTr="00DA1F99">
        <w:trPr>
          <w:trHeight w:val="61"/>
        </w:trPr>
        <w:tc>
          <w:tcPr>
            <w:tcW w:w="0" w:type="auto"/>
            <w:tcBorders>
              <w:top w:val="single" w:sz="4" w:space="0" w:color="auto"/>
              <w:left w:val="nil"/>
              <w:bottom w:val="single" w:sz="4" w:space="0" w:color="auto"/>
              <w:right w:val="nil"/>
            </w:tcBorders>
            <w:shd w:val="clear" w:color="auto" w:fill="EDEDED" w:themeFill="accent3" w:themeFillTint="33"/>
            <w:hideMark/>
          </w:tcPr>
          <w:p w14:paraId="4876FB02" w14:textId="6A181F3A" w:rsidR="00AA4983" w:rsidRPr="00462538" w:rsidRDefault="00AA4983" w:rsidP="00AA4983">
            <w:pPr>
              <w:widowControl/>
              <w:jc w:val="left"/>
              <w:rPr>
                <w:rFonts w:ascii="Times New Roman" w:hAnsi="Times New Roman" w:cs="Times New Roman"/>
                <w:b/>
                <w:bCs/>
                <w:color w:val="000000"/>
                <w:kern w:val="0"/>
                <w:sz w:val="20"/>
                <w:szCs w:val="20"/>
              </w:rPr>
            </w:pPr>
            <w:r w:rsidRPr="00753FF3">
              <w:rPr>
                <w:rFonts w:ascii="Times New Roman" w:hAnsi="Times New Roman" w:cs="Times New Roman"/>
                <w:b/>
                <w:bCs/>
                <w:color w:val="000000"/>
                <w:kern w:val="0"/>
                <w:sz w:val="20"/>
                <w:szCs w:val="20"/>
              </w:rPr>
              <w:t>Instrument</w:t>
            </w:r>
          </w:p>
        </w:tc>
        <w:tc>
          <w:tcPr>
            <w:tcW w:w="0" w:type="auto"/>
            <w:tcBorders>
              <w:top w:val="single" w:sz="4" w:space="0" w:color="auto"/>
              <w:left w:val="nil"/>
              <w:bottom w:val="single" w:sz="4" w:space="0" w:color="auto"/>
              <w:right w:val="nil"/>
            </w:tcBorders>
            <w:shd w:val="clear" w:color="auto" w:fill="EDEDED" w:themeFill="accent3" w:themeFillTint="33"/>
            <w:noWrap/>
            <w:hideMark/>
          </w:tcPr>
          <w:p w14:paraId="17884EC0" w14:textId="6CA3B853" w:rsidR="00AA4983" w:rsidRPr="00462538" w:rsidRDefault="00124D99" w:rsidP="00AA4983">
            <w:pPr>
              <w:widowControl/>
              <w:jc w:val="left"/>
              <w:rPr>
                <w:rFonts w:ascii="Times New Roman" w:hAnsi="Times New Roman" w:cs="Times New Roman"/>
                <w:b/>
                <w:bCs/>
                <w:color w:val="000000"/>
                <w:kern w:val="0"/>
                <w:sz w:val="20"/>
                <w:szCs w:val="20"/>
              </w:rPr>
            </w:pPr>
            <w:r w:rsidRPr="00753FF3">
              <w:rPr>
                <w:rFonts w:ascii="Times New Roman" w:hAnsi="Times New Roman" w:cs="Times New Roman"/>
                <w:b/>
                <w:bCs/>
                <w:color w:val="000000"/>
                <w:kern w:val="0"/>
                <w:sz w:val="20"/>
                <w:szCs w:val="20"/>
              </w:rPr>
              <w:t>PETS</w:t>
            </w:r>
          </w:p>
        </w:tc>
        <w:tc>
          <w:tcPr>
            <w:tcW w:w="0" w:type="auto"/>
            <w:tcBorders>
              <w:top w:val="single" w:sz="4" w:space="0" w:color="auto"/>
              <w:left w:val="nil"/>
              <w:bottom w:val="single" w:sz="4" w:space="0" w:color="auto"/>
              <w:right w:val="nil"/>
            </w:tcBorders>
            <w:shd w:val="clear" w:color="auto" w:fill="EDEDED" w:themeFill="accent3" w:themeFillTint="33"/>
            <w:noWrap/>
            <w:hideMark/>
          </w:tcPr>
          <w:p w14:paraId="6341D91D" w14:textId="182EF22A" w:rsidR="00AA4983" w:rsidRPr="00462538" w:rsidRDefault="00124D99" w:rsidP="00AA4983">
            <w:pPr>
              <w:widowControl/>
              <w:jc w:val="left"/>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TBQ</w:t>
            </w:r>
          </w:p>
        </w:tc>
        <w:tc>
          <w:tcPr>
            <w:tcW w:w="0" w:type="auto"/>
            <w:tcBorders>
              <w:top w:val="single" w:sz="4" w:space="0" w:color="auto"/>
              <w:left w:val="nil"/>
              <w:bottom w:val="single" w:sz="4" w:space="0" w:color="auto"/>
              <w:right w:val="nil"/>
            </w:tcBorders>
            <w:shd w:val="clear" w:color="auto" w:fill="EDEDED" w:themeFill="accent3" w:themeFillTint="33"/>
            <w:noWrap/>
          </w:tcPr>
          <w:p w14:paraId="703324AB" w14:textId="15C6A7AD" w:rsidR="00AA4983" w:rsidRPr="00462538" w:rsidRDefault="00124D99" w:rsidP="00AA4983">
            <w:pPr>
              <w:widowControl/>
              <w:jc w:val="left"/>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MTBQ</w:t>
            </w:r>
          </w:p>
        </w:tc>
        <w:tc>
          <w:tcPr>
            <w:tcW w:w="0" w:type="auto"/>
            <w:tcBorders>
              <w:top w:val="single" w:sz="4" w:space="0" w:color="auto"/>
              <w:left w:val="nil"/>
              <w:bottom w:val="single" w:sz="4" w:space="0" w:color="auto"/>
              <w:right w:val="nil"/>
            </w:tcBorders>
            <w:shd w:val="clear" w:color="auto" w:fill="EDEDED" w:themeFill="accent3" w:themeFillTint="33"/>
            <w:noWrap/>
          </w:tcPr>
          <w:p w14:paraId="7512ACFA" w14:textId="79539D09" w:rsidR="00AA4983" w:rsidRPr="00462538" w:rsidRDefault="00DD3A3C" w:rsidP="00AA4983">
            <w:pPr>
              <w:widowControl/>
              <w:jc w:val="left"/>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DTBQ</w:t>
            </w:r>
          </w:p>
        </w:tc>
        <w:tc>
          <w:tcPr>
            <w:tcW w:w="0" w:type="auto"/>
            <w:tcBorders>
              <w:top w:val="single" w:sz="4" w:space="0" w:color="auto"/>
              <w:left w:val="nil"/>
              <w:bottom w:val="single" w:sz="4" w:space="0" w:color="auto"/>
              <w:right w:val="nil"/>
            </w:tcBorders>
            <w:shd w:val="clear" w:color="auto" w:fill="EDEDED" w:themeFill="accent3" w:themeFillTint="33"/>
            <w:noWrap/>
          </w:tcPr>
          <w:p w14:paraId="6882F292" w14:textId="10F81A43" w:rsidR="00AA4983" w:rsidRPr="00462538" w:rsidRDefault="00CE70CF" w:rsidP="00AA4983">
            <w:pPr>
              <w:widowControl/>
              <w:jc w:val="left"/>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DTR-QOL</w:t>
            </w:r>
          </w:p>
        </w:tc>
        <w:tc>
          <w:tcPr>
            <w:tcW w:w="0" w:type="auto"/>
            <w:tcBorders>
              <w:top w:val="single" w:sz="4" w:space="0" w:color="auto"/>
              <w:left w:val="nil"/>
              <w:bottom w:val="single" w:sz="4" w:space="0" w:color="auto"/>
              <w:right w:val="nil"/>
            </w:tcBorders>
            <w:shd w:val="clear" w:color="auto" w:fill="EDEDED" w:themeFill="accent3" w:themeFillTint="33"/>
            <w:noWrap/>
          </w:tcPr>
          <w:p w14:paraId="02A0BFB5" w14:textId="3AC25A1E" w:rsidR="00AA4983" w:rsidRPr="00462538" w:rsidRDefault="009336AC" w:rsidP="00AA4983">
            <w:pPr>
              <w:widowControl/>
              <w:jc w:val="left"/>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TRIMs</w:t>
            </w:r>
          </w:p>
        </w:tc>
        <w:tc>
          <w:tcPr>
            <w:tcW w:w="0" w:type="auto"/>
            <w:tcBorders>
              <w:top w:val="single" w:sz="4" w:space="0" w:color="auto"/>
              <w:left w:val="nil"/>
              <w:bottom w:val="single" w:sz="4" w:space="0" w:color="auto"/>
              <w:right w:val="nil"/>
            </w:tcBorders>
            <w:shd w:val="clear" w:color="auto" w:fill="EDEDED" w:themeFill="accent3" w:themeFillTint="33"/>
            <w:noWrap/>
          </w:tcPr>
          <w:p w14:paraId="6BE72F1C" w14:textId="76414301" w:rsidR="00AA4983" w:rsidRPr="00462538" w:rsidRDefault="004E3407" w:rsidP="00AA4983">
            <w:pPr>
              <w:widowControl/>
              <w:jc w:val="left"/>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SMQ-1</w:t>
            </w:r>
          </w:p>
        </w:tc>
        <w:tc>
          <w:tcPr>
            <w:tcW w:w="0" w:type="auto"/>
            <w:tcBorders>
              <w:top w:val="single" w:sz="4" w:space="0" w:color="auto"/>
              <w:left w:val="nil"/>
              <w:bottom w:val="single" w:sz="4" w:space="0" w:color="auto"/>
              <w:right w:val="nil"/>
            </w:tcBorders>
            <w:shd w:val="clear" w:color="auto" w:fill="EDEDED" w:themeFill="accent3" w:themeFillTint="33"/>
            <w:noWrap/>
          </w:tcPr>
          <w:p w14:paraId="1F073365" w14:textId="211A7FD9" w:rsidR="00AA4983" w:rsidRPr="00462538" w:rsidRDefault="00753FF3" w:rsidP="00AA4983">
            <w:pPr>
              <w:widowControl/>
              <w:jc w:val="left"/>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SMQ-</w:t>
            </w:r>
            <w:r w:rsidR="00975E43">
              <w:rPr>
                <w:rFonts w:ascii="Times New Roman" w:hAnsi="Times New Roman" w:cs="Times New Roman"/>
                <w:b/>
                <w:bCs/>
                <w:color w:val="000000"/>
                <w:kern w:val="0"/>
                <w:sz w:val="20"/>
                <w:szCs w:val="20"/>
              </w:rPr>
              <w:t>2</w:t>
            </w:r>
          </w:p>
        </w:tc>
        <w:tc>
          <w:tcPr>
            <w:tcW w:w="0" w:type="auto"/>
            <w:tcBorders>
              <w:top w:val="single" w:sz="4" w:space="0" w:color="auto"/>
              <w:left w:val="nil"/>
              <w:bottom w:val="single" w:sz="4" w:space="0" w:color="auto"/>
              <w:right w:val="nil"/>
            </w:tcBorders>
            <w:shd w:val="clear" w:color="auto" w:fill="EDEDED" w:themeFill="accent3" w:themeFillTint="33"/>
            <w:noWrap/>
          </w:tcPr>
          <w:p w14:paraId="724B7B96" w14:textId="386630DE" w:rsidR="00AA4983" w:rsidRPr="00462538" w:rsidRDefault="00753FF3" w:rsidP="00AA4983">
            <w:pPr>
              <w:widowControl/>
              <w:jc w:val="left"/>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SMQ-</w:t>
            </w:r>
            <w:r w:rsidR="00975E43">
              <w:rPr>
                <w:rFonts w:ascii="Times New Roman" w:hAnsi="Times New Roman" w:cs="Times New Roman"/>
                <w:b/>
                <w:bCs/>
                <w:color w:val="000000"/>
                <w:kern w:val="0"/>
                <w:sz w:val="20"/>
                <w:szCs w:val="20"/>
              </w:rPr>
              <w:t>3</w:t>
            </w:r>
          </w:p>
        </w:tc>
        <w:tc>
          <w:tcPr>
            <w:tcW w:w="0" w:type="auto"/>
            <w:tcBorders>
              <w:top w:val="single" w:sz="4" w:space="0" w:color="auto"/>
              <w:left w:val="nil"/>
              <w:bottom w:val="single" w:sz="4" w:space="0" w:color="auto"/>
              <w:right w:val="nil"/>
            </w:tcBorders>
            <w:shd w:val="clear" w:color="auto" w:fill="EDEDED" w:themeFill="accent3" w:themeFillTint="33"/>
            <w:noWrap/>
          </w:tcPr>
          <w:p w14:paraId="54D117C9" w14:textId="297EE8A7" w:rsidR="00AA4983" w:rsidRPr="00462538" w:rsidRDefault="00975E43" w:rsidP="00AA4983">
            <w:pPr>
              <w:widowControl/>
              <w:jc w:val="left"/>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SMQ-4</w:t>
            </w:r>
          </w:p>
        </w:tc>
      </w:tr>
      <w:tr w:rsidR="001B54D1" w:rsidRPr="00462538" w14:paraId="6E5FDC77" w14:textId="77777777" w:rsidTr="00DA1F99">
        <w:trPr>
          <w:trHeight w:val="356"/>
        </w:trPr>
        <w:tc>
          <w:tcPr>
            <w:tcW w:w="0" w:type="auto"/>
            <w:tcBorders>
              <w:top w:val="single" w:sz="4" w:space="0" w:color="auto"/>
              <w:left w:val="nil"/>
              <w:bottom w:val="nil"/>
              <w:right w:val="nil"/>
            </w:tcBorders>
            <w:shd w:val="clear" w:color="auto" w:fill="auto"/>
            <w:vAlign w:val="center"/>
          </w:tcPr>
          <w:p w14:paraId="3ED435E2" w14:textId="44FBD160" w:rsidR="001B54D1" w:rsidRPr="001B54D1" w:rsidRDefault="00BC0FB2" w:rsidP="001B54D1">
            <w:pPr>
              <w:widowControl/>
              <w:jc w:val="left"/>
              <w:rPr>
                <w:rFonts w:ascii="Times New Roman" w:eastAsia="Times New Roman" w:hAnsi="Times New Roman" w:cs="Times New Roman"/>
                <w:b/>
                <w:bCs/>
                <w:kern w:val="0"/>
                <w:sz w:val="20"/>
                <w:szCs w:val="20"/>
              </w:rPr>
            </w:pPr>
            <w:r>
              <w:rPr>
                <w:rFonts w:ascii="Times New Roman" w:eastAsia="Times New Roman" w:hAnsi="Times New Roman" w:cs="Times New Roman"/>
                <w:b/>
                <w:bCs/>
                <w:kern w:val="0"/>
                <w:sz w:val="20"/>
                <w:szCs w:val="20"/>
              </w:rPr>
              <w:t>Total themes</w:t>
            </w:r>
          </w:p>
        </w:tc>
        <w:tc>
          <w:tcPr>
            <w:tcW w:w="0" w:type="auto"/>
            <w:tcBorders>
              <w:top w:val="single" w:sz="4" w:space="0" w:color="auto"/>
              <w:left w:val="nil"/>
              <w:bottom w:val="nil"/>
              <w:right w:val="nil"/>
            </w:tcBorders>
            <w:shd w:val="clear" w:color="auto" w:fill="auto"/>
            <w:noWrap/>
            <w:vAlign w:val="center"/>
          </w:tcPr>
          <w:p w14:paraId="6E240693" w14:textId="23C218FF" w:rsidR="001B54D1" w:rsidRPr="001B54D1" w:rsidRDefault="001B54D1" w:rsidP="001B54D1">
            <w:pPr>
              <w:widowControl/>
              <w:jc w:val="center"/>
              <w:rPr>
                <w:rFonts w:ascii="Times New Roman" w:eastAsia="Times New Roman" w:hAnsi="Times New Roman" w:cs="Times New Roman"/>
                <w:b/>
                <w:bCs/>
                <w:kern w:val="0"/>
                <w:sz w:val="20"/>
                <w:szCs w:val="20"/>
              </w:rPr>
            </w:pPr>
            <w:r w:rsidRPr="00462538">
              <w:rPr>
                <w:rFonts w:ascii="Times New Roman" w:hAnsi="Times New Roman" w:cs="Times New Roman"/>
                <w:color w:val="000000"/>
                <w:sz w:val="20"/>
                <w:szCs w:val="20"/>
              </w:rPr>
              <w:t>8</w:t>
            </w:r>
          </w:p>
        </w:tc>
        <w:tc>
          <w:tcPr>
            <w:tcW w:w="0" w:type="auto"/>
            <w:tcBorders>
              <w:top w:val="single" w:sz="4" w:space="0" w:color="auto"/>
              <w:left w:val="nil"/>
              <w:bottom w:val="nil"/>
              <w:right w:val="nil"/>
            </w:tcBorders>
            <w:shd w:val="clear" w:color="auto" w:fill="auto"/>
            <w:noWrap/>
            <w:vAlign w:val="center"/>
          </w:tcPr>
          <w:p w14:paraId="771D2FAF" w14:textId="6845A27C" w:rsidR="001B54D1" w:rsidRPr="001B54D1" w:rsidRDefault="001B54D1" w:rsidP="001B54D1">
            <w:pPr>
              <w:widowControl/>
              <w:jc w:val="center"/>
              <w:rPr>
                <w:rFonts w:ascii="Times New Roman" w:eastAsia="Times New Roman" w:hAnsi="Times New Roman" w:cs="Times New Roman"/>
                <w:b/>
                <w:bCs/>
                <w:kern w:val="0"/>
                <w:sz w:val="20"/>
                <w:szCs w:val="20"/>
              </w:rPr>
            </w:pPr>
            <w:r w:rsidRPr="00462538">
              <w:rPr>
                <w:rFonts w:ascii="Times New Roman" w:hAnsi="Times New Roman" w:cs="Times New Roman"/>
                <w:color w:val="000000"/>
                <w:sz w:val="20"/>
                <w:szCs w:val="20"/>
              </w:rPr>
              <w:t>9</w:t>
            </w:r>
          </w:p>
        </w:tc>
        <w:tc>
          <w:tcPr>
            <w:tcW w:w="0" w:type="auto"/>
            <w:tcBorders>
              <w:top w:val="single" w:sz="4" w:space="0" w:color="auto"/>
              <w:left w:val="nil"/>
              <w:bottom w:val="nil"/>
              <w:right w:val="nil"/>
            </w:tcBorders>
            <w:shd w:val="clear" w:color="auto" w:fill="auto"/>
            <w:noWrap/>
            <w:vAlign w:val="center"/>
          </w:tcPr>
          <w:p w14:paraId="35BB3733" w14:textId="5277638F" w:rsidR="001B54D1" w:rsidRPr="001B54D1" w:rsidRDefault="001B54D1" w:rsidP="001B54D1">
            <w:pPr>
              <w:widowControl/>
              <w:jc w:val="center"/>
              <w:rPr>
                <w:rFonts w:ascii="Times New Roman" w:eastAsia="Times New Roman" w:hAnsi="Times New Roman" w:cs="Times New Roman"/>
                <w:b/>
                <w:bCs/>
                <w:kern w:val="0"/>
                <w:sz w:val="20"/>
                <w:szCs w:val="20"/>
              </w:rPr>
            </w:pPr>
            <w:r w:rsidRPr="00462538">
              <w:rPr>
                <w:rFonts w:ascii="Times New Roman" w:hAnsi="Times New Roman" w:cs="Times New Roman"/>
                <w:color w:val="000000"/>
                <w:sz w:val="20"/>
                <w:szCs w:val="20"/>
              </w:rPr>
              <w:t>8</w:t>
            </w:r>
          </w:p>
        </w:tc>
        <w:tc>
          <w:tcPr>
            <w:tcW w:w="0" w:type="auto"/>
            <w:tcBorders>
              <w:top w:val="single" w:sz="4" w:space="0" w:color="auto"/>
              <w:left w:val="nil"/>
              <w:bottom w:val="nil"/>
              <w:right w:val="nil"/>
            </w:tcBorders>
            <w:shd w:val="clear" w:color="auto" w:fill="auto"/>
            <w:noWrap/>
            <w:vAlign w:val="center"/>
          </w:tcPr>
          <w:p w14:paraId="6A416549" w14:textId="49335019" w:rsidR="001B54D1" w:rsidRPr="001B54D1" w:rsidRDefault="001B54D1" w:rsidP="001B54D1">
            <w:pPr>
              <w:widowControl/>
              <w:jc w:val="center"/>
              <w:rPr>
                <w:rFonts w:ascii="Times New Roman" w:eastAsia="Times New Roman" w:hAnsi="Times New Roman" w:cs="Times New Roman"/>
                <w:b/>
                <w:bCs/>
                <w:kern w:val="0"/>
                <w:sz w:val="20"/>
                <w:szCs w:val="20"/>
              </w:rPr>
            </w:pPr>
            <w:r w:rsidRPr="00462538">
              <w:rPr>
                <w:rFonts w:ascii="Times New Roman" w:hAnsi="Times New Roman" w:cs="Times New Roman"/>
                <w:color w:val="000000"/>
                <w:sz w:val="20"/>
                <w:szCs w:val="20"/>
              </w:rPr>
              <w:t>5</w:t>
            </w:r>
          </w:p>
        </w:tc>
        <w:tc>
          <w:tcPr>
            <w:tcW w:w="0" w:type="auto"/>
            <w:tcBorders>
              <w:top w:val="single" w:sz="4" w:space="0" w:color="auto"/>
              <w:left w:val="nil"/>
              <w:bottom w:val="nil"/>
              <w:right w:val="nil"/>
            </w:tcBorders>
            <w:shd w:val="clear" w:color="auto" w:fill="auto"/>
            <w:noWrap/>
            <w:vAlign w:val="center"/>
          </w:tcPr>
          <w:p w14:paraId="69D77F7A" w14:textId="50949F2E" w:rsidR="001B54D1" w:rsidRPr="001B54D1" w:rsidRDefault="001B54D1" w:rsidP="001B54D1">
            <w:pPr>
              <w:widowControl/>
              <w:jc w:val="center"/>
              <w:rPr>
                <w:rFonts w:ascii="Times New Roman" w:eastAsia="Times New Roman" w:hAnsi="Times New Roman" w:cs="Times New Roman"/>
                <w:b/>
                <w:bCs/>
                <w:kern w:val="0"/>
                <w:sz w:val="20"/>
                <w:szCs w:val="20"/>
              </w:rPr>
            </w:pPr>
            <w:r w:rsidRPr="00462538">
              <w:rPr>
                <w:rFonts w:ascii="Times New Roman" w:hAnsi="Times New Roman" w:cs="Times New Roman"/>
                <w:color w:val="000000"/>
                <w:sz w:val="20"/>
                <w:szCs w:val="20"/>
              </w:rPr>
              <w:t>6</w:t>
            </w:r>
          </w:p>
        </w:tc>
        <w:tc>
          <w:tcPr>
            <w:tcW w:w="0" w:type="auto"/>
            <w:tcBorders>
              <w:top w:val="single" w:sz="4" w:space="0" w:color="auto"/>
              <w:left w:val="nil"/>
              <w:bottom w:val="nil"/>
              <w:right w:val="nil"/>
            </w:tcBorders>
            <w:shd w:val="clear" w:color="auto" w:fill="auto"/>
            <w:noWrap/>
            <w:vAlign w:val="center"/>
          </w:tcPr>
          <w:p w14:paraId="0B4262FC" w14:textId="70AB8837" w:rsidR="001B54D1" w:rsidRPr="001B54D1" w:rsidRDefault="001B54D1" w:rsidP="001B54D1">
            <w:pPr>
              <w:widowControl/>
              <w:jc w:val="center"/>
              <w:rPr>
                <w:rFonts w:ascii="Times New Roman" w:eastAsia="Times New Roman" w:hAnsi="Times New Roman" w:cs="Times New Roman"/>
                <w:b/>
                <w:bCs/>
                <w:kern w:val="0"/>
                <w:sz w:val="20"/>
                <w:szCs w:val="20"/>
              </w:rPr>
            </w:pPr>
            <w:r w:rsidRPr="00462538">
              <w:rPr>
                <w:rFonts w:ascii="Times New Roman" w:hAnsi="Times New Roman" w:cs="Times New Roman"/>
                <w:color w:val="000000"/>
                <w:sz w:val="20"/>
                <w:szCs w:val="20"/>
              </w:rPr>
              <w:t>4</w:t>
            </w:r>
          </w:p>
        </w:tc>
        <w:tc>
          <w:tcPr>
            <w:tcW w:w="0" w:type="auto"/>
            <w:tcBorders>
              <w:top w:val="single" w:sz="4" w:space="0" w:color="auto"/>
              <w:left w:val="nil"/>
              <w:bottom w:val="nil"/>
              <w:right w:val="nil"/>
            </w:tcBorders>
            <w:shd w:val="clear" w:color="auto" w:fill="auto"/>
            <w:noWrap/>
            <w:vAlign w:val="center"/>
          </w:tcPr>
          <w:p w14:paraId="0CDC1419" w14:textId="7F95A462" w:rsidR="001B54D1" w:rsidRPr="001B54D1" w:rsidRDefault="001B54D1" w:rsidP="001B54D1">
            <w:pPr>
              <w:widowControl/>
              <w:jc w:val="center"/>
              <w:rPr>
                <w:rFonts w:ascii="Times New Roman" w:eastAsia="Times New Roman" w:hAnsi="Times New Roman" w:cs="Times New Roman"/>
                <w:b/>
                <w:bCs/>
                <w:kern w:val="0"/>
                <w:sz w:val="20"/>
                <w:szCs w:val="20"/>
              </w:rPr>
            </w:pPr>
            <w:r w:rsidRPr="00462538">
              <w:rPr>
                <w:rFonts w:ascii="Times New Roman" w:hAnsi="Times New Roman" w:cs="Times New Roman"/>
                <w:color w:val="000000"/>
                <w:sz w:val="20"/>
                <w:szCs w:val="20"/>
              </w:rPr>
              <w:t>3</w:t>
            </w:r>
          </w:p>
        </w:tc>
        <w:tc>
          <w:tcPr>
            <w:tcW w:w="0" w:type="auto"/>
            <w:tcBorders>
              <w:top w:val="single" w:sz="4" w:space="0" w:color="auto"/>
              <w:left w:val="nil"/>
              <w:bottom w:val="nil"/>
              <w:right w:val="nil"/>
            </w:tcBorders>
            <w:shd w:val="clear" w:color="auto" w:fill="auto"/>
            <w:noWrap/>
            <w:vAlign w:val="center"/>
          </w:tcPr>
          <w:p w14:paraId="71FBBF8C" w14:textId="2AD02DED" w:rsidR="001B54D1" w:rsidRPr="001B54D1" w:rsidRDefault="001B54D1" w:rsidP="001B54D1">
            <w:pPr>
              <w:widowControl/>
              <w:jc w:val="center"/>
              <w:rPr>
                <w:rFonts w:ascii="Times New Roman" w:eastAsia="Times New Roman" w:hAnsi="Times New Roman" w:cs="Times New Roman"/>
                <w:b/>
                <w:bCs/>
                <w:kern w:val="0"/>
                <w:sz w:val="20"/>
                <w:szCs w:val="20"/>
              </w:rPr>
            </w:pPr>
            <w:r w:rsidRPr="00462538">
              <w:rPr>
                <w:rFonts w:ascii="Times New Roman" w:hAnsi="Times New Roman" w:cs="Times New Roman"/>
                <w:color w:val="000000"/>
                <w:sz w:val="20"/>
                <w:szCs w:val="20"/>
              </w:rPr>
              <w:t>3</w:t>
            </w:r>
          </w:p>
        </w:tc>
        <w:tc>
          <w:tcPr>
            <w:tcW w:w="0" w:type="auto"/>
            <w:tcBorders>
              <w:top w:val="single" w:sz="4" w:space="0" w:color="auto"/>
              <w:left w:val="nil"/>
              <w:bottom w:val="nil"/>
              <w:right w:val="nil"/>
            </w:tcBorders>
            <w:shd w:val="clear" w:color="auto" w:fill="auto"/>
            <w:noWrap/>
            <w:vAlign w:val="center"/>
          </w:tcPr>
          <w:p w14:paraId="61F04E1A" w14:textId="0F7EAD59" w:rsidR="001B54D1" w:rsidRPr="001B54D1" w:rsidRDefault="001B54D1" w:rsidP="001B54D1">
            <w:pPr>
              <w:widowControl/>
              <w:jc w:val="center"/>
              <w:rPr>
                <w:rFonts w:ascii="Times New Roman" w:eastAsia="Times New Roman" w:hAnsi="Times New Roman" w:cs="Times New Roman"/>
                <w:b/>
                <w:bCs/>
                <w:kern w:val="0"/>
                <w:sz w:val="20"/>
                <w:szCs w:val="20"/>
              </w:rPr>
            </w:pPr>
            <w:r w:rsidRPr="00462538">
              <w:rPr>
                <w:rFonts w:ascii="Times New Roman" w:hAnsi="Times New Roman" w:cs="Times New Roman"/>
                <w:color w:val="000000"/>
                <w:sz w:val="20"/>
                <w:szCs w:val="20"/>
              </w:rPr>
              <w:t>6</w:t>
            </w:r>
          </w:p>
        </w:tc>
        <w:tc>
          <w:tcPr>
            <w:tcW w:w="0" w:type="auto"/>
            <w:tcBorders>
              <w:top w:val="single" w:sz="4" w:space="0" w:color="auto"/>
              <w:left w:val="nil"/>
              <w:bottom w:val="nil"/>
              <w:right w:val="nil"/>
            </w:tcBorders>
            <w:shd w:val="clear" w:color="auto" w:fill="auto"/>
            <w:noWrap/>
            <w:vAlign w:val="center"/>
          </w:tcPr>
          <w:p w14:paraId="5AF1192E" w14:textId="09CCF76B" w:rsidR="001B54D1" w:rsidRPr="001B54D1" w:rsidRDefault="001B54D1" w:rsidP="001B54D1">
            <w:pPr>
              <w:widowControl/>
              <w:jc w:val="center"/>
              <w:rPr>
                <w:rFonts w:ascii="Times New Roman" w:eastAsia="Times New Roman" w:hAnsi="Times New Roman" w:cs="Times New Roman"/>
                <w:b/>
                <w:bCs/>
                <w:kern w:val="0"/>
                <w:sz w:val="20"/>
                <w:szCs w:val="20"/>
              </w:rPr>
            </w:pPr>
            <w:r w:rsidRPr="00462538">
              <w:rPr>
                <w:rFonts w:ascii="Times New Roman" w:hAnsi="Times New Roman" w:cs="Times New Roman"/>
                <w:color w:val="000000"/>
                <w:sz w:val="20"/>
                <w:szCs w:val="20"/>
              </w:rPr>
              <w:t>1</w:t>
            </w:r>
          </w:p>
        </w:tc>
      </w:tr>
      <w:tr w:rsidR="00DA1F99" w:rsidRPr="00462538" w14:paraId="40104CC2" w14:textId="77777777" w:rsidTr="00DA1F99">
        <w:trPr>
          <w:trHeight w:val="356"/>
        </w:trPr>
        <w:tc>
          <w:tcPr>
            <w:tcW w:w="0" w:type="auto"/>
            <w:gridSpan w:val="2"/>
            <w:tcBorders>
              <w:left w:val="nil"/>
              <w:bottom w:val="nil"/>
              <w:right w:val="nil"/>
            </w:tcBorders>
            <w:shd w:val="clear" w:color="auto" w:fill="auto"/>
            <w:vAlign w:val="center"/>
          </w:tcPr>
          <w:p w14:paraId="6E99AA81" w14:textId="77777777" w:rsidR="001B54D1" w:rsidRPr="001B54D1" w:rsidRDefault="001B54D1" w:rsidP="001B54D1">
            <w:pPr>
              <w:widowControl/>
              <w:jc w:val="left"/>
              <w:rPr>
                <w:rFonts w:ascii="Times New Roman" w:eastAsia="Times New Roman" w:hAnsi="Times New Roman" w:cs="Times New Roman"/>
                <w:b/>
                <w:bCs/>
                <w:kern w:val="0"/>
                <w:sz w:val="20"/>
                <w:szCs w:val="20"/>
              </w:rPr>
            </w:pPr>
            <w:r w:rsidRPr="00462538">
              <w:rPr>
                <w:rFonts w:ascii="Times New Roman" w:eastAsia="Times New Roman" w:hAnsi="Times New Roman" w:cs="Times New Roman"/>
                <w:b/>
                <w:bCs/>
                <w:kern w:val="0"/>
                <w:sz w:val="20"/>
                <w:szCs w:val="20"/>
              </w:rPr>
              <w:t>CORE Measurements</w:t>
            </w:r>
          </w:p>
        </w:tc>
        <w:tc>
          <w:tcPr>
            <w:tcW w:w="0" w:type="auto"/>
            <w:tcBorders>
              <w:left w:val="nil"/>
              <w:bottom w:val="nil"/>
              <w:right w:val="nil"/>
            </w:tcBorders>
            <w:shd w:val="clear" w:color="auto" w:fill="auto"/>
            <w:noWrap/>
            <w:vAlign w:val="center"/>
          </w:tcPr>
          <w:p w14:paraId="182EF8A6" w14:textId="77777777" w:rsidR="001B54D1" w:rsidRPr="001B54D1" w:rsidRDefault="001B54D1" w:rsidP="001B54D1">
            <w:pPr>
              <w:widowControl/>
              <w:jc w:val="center"/>
              <w:rPr>
                <w:rFonts w:ascii="Times New Roman" w:eastAsia="Times New Roman" w:hAnsi="Times New Roman" w:cs="Times New Roman"/>
                <w:b/>
                <w:bCs/>
                <w:kern w:val="0"/>
                <w:sz w:val="20"/>
                <w:szCs w:val="20"/>
              </w:rPr>
            </w:pPr>
          </w:p>
        </w:tc>
        <w:tc>
          <w:tcPr>
            <w:tcW w:w="0" w:type="auto"/>
            <w:tcBorders>
              <w:left w:val="nil"/>
              <w:bottom w:val="nil"/>
              <w:right w:val="nil"/>
            </w:tcBorders>
            <w:shd w:val="clear" w:color="auto" w:fill="auto"/>
            <w:noWrap/>
            <w:vAlign w:val="center"/>
          </w:tcPr>
          <w:p w14:paraId="5D05AD6D" w14:textId="77777777" w:rsidR="001B54D1" w:rsidRPr="001B54D1" w:rsidRDefault="001B54D1" w:rsidP="001B54D1">
            <w:pPr>
              <w:widowControl/>
              <w:jc w:val="center"/>
              <w:rPr>
                <w:rFonts w:ascii="Times New Roman" w:eastAsia="Times New Roman" w:hAnsi="Times New Roman" w:cs="Times New Roman"/>
                <w:b/>
                <w:bCs/>
                <w:kern w:val="0"/>
                <w:sz w:val="20"/>
                <w:szCs w:val="20"/>
              </w:rPr>
            </w:pPr>
          </w:p>
        </w:tc>
        <w:tc>
          <w:tcPr>
            <w:tcW w:w="0" w:type="auto"/>
            <w:tcBorders>
              <w:left w:val="nil"/>
              <w:bottom w:val="nil"/>
              <w:right w:val="nil"/>
            </w:tcBorders>
            <w:shd w:val="clear" w:color="auto" w:fill="auto"/>
            <w:noWrap/>
            <w:vAlign w:val="center"/>
          </w:tcPr>
          <w:p w14:paraId="3DDB267C" w14:textId="77777777" w:rsidR="001B54D1" w:rsidRPr="001B54D1" w:rsidRDefault="001B54D1" w:rsidP="001B54D1">
            <w:pPr>
              <w:widowControl/>
              <w:jc w:val="center"/>
              <w:rPr>
                <w:rFonts w:ascii="Times New Roman" w:eastAsia="Times New Roman" w:hAnsi="Times New Roman" w:cs="Times New Roman"/>
                <w:b/>
                <w:bCs/>
                <w:kern w:val="0"/>
                <w:sz w:val="20"/>
                <w:szCs w:val="20"/>
              </w:rPr>
            </w:pPr>
          </w:p>
        </w:tc>
        <w:tc>
          <w:tcPr>
            <w:tcW w:w="0" w:type="auto"/>
            <w:tcBorders>
              <w:left w:val="nil"/>
              <w:bottom w:val="nil"/>
              <w:right w:val="nil"/>
            </w:tcBorders>
            <w:shd w:val="clear" w:color="auto" w:fill="auto"/>
            <w:noWrap/>
            <w:vAlign w:val="center"/>
          </w:tcPr>
          <w:p w14:paraId="1B602E81" w14:textId="77777777" w:rsidR="001B54D1" w:rsidRPr="001B54D1" w:rsidRDefault="001B54D1" w:rsidP="001B54D1">
            <w:pPr>
              <w:widowControl/>
              <w:jc w:val="center"/>
              <w:rPr>
                <w:rFonts w:ascii="Times New Roman" w:eastAsia="Times New Roman" w:hAnsi="Times New Roman" w:cs="Times New Roman"/>
                <w:b/>
                <w:bCs/>
                <w:kern w:val="0"/>
                <w:sz w:val="20"/>
                <w:szCs w:val="20"/>
              </w:rPr>
            </w:pPr>
          </w:p>
        </w:tc>
        <w:tc>
          <w:tcPr>
            <w:tcW w:w="0" w:type="auto"/>
            <w:tcBorders>
              <w:left w:val="nil"/>
              <w:bottom w:val="nil"/>
              <w:right w:val="nil"/>
            </w:tcBorders>
            <w:shd w:val="clear" w:color="auto" w:fill="auto"/>
            <w:noWrap/>
            <w:vAlign w:val="center"/>
          </w:tcPr>
          <w:p w14:paraId="53E4BAF7" w14:textId="77777777" w:rsidR="001B54D1" w:rsidRPr="001B54D1" w:rsidRDefault="001B54D1" w:rsidP="001B54D1">
            <w:pPr>
              <w:widowControl/>
              <w:jc w:val="center"/>
              <w:rPr>
                <w:rFonts w:ascii="Times New Roman" w:eastAsia="Times New Roman" w:hAnsi="Times New Roman" w:cs="Times New Roman"/>
                <w:b/>
                <w:bCs/>
                <w:kern w:val="0"/>
                <w:sz w:val="20"/>
                <w:szCs w:val="20"/>
              </w:rPr>
            </w:pPr>
          </w:p>
        </w:tc>
        <w:tc>
          <w:tcPr>
            <w:tcW w:w="0" w:type="auto"/>
            <w:tcBorders>
              <w:left w:val="nil"/>
              <w:bottom w:val="nil"/>
              <w:right w:val="nil"/>
            </w:tcBorders>
            <w:shd w:val="clear" w:color="auto" w:fill="auto"/>
            <w:noWrap/>
            <w:vAlign w:val="center"/>
          </w:tcPr>
          <w:p w14:paraId="08E5871A" w14:textId="77777777" w:rsidR="001B54D1" w:rsidRPr="001B54D1" w:rsidRDefault="001B54D1" w:rsidP="001B54D1">
            <w:pPr>
              <w:widowControl/>
              <w:jc w:val="center"/>
              <w:rPr>
                <w:rFonts w:ascii="Times New Roman" w:eastAsia="Times New Roman" w:hAnsi="Times New Roman" w:cs="Times New Roman"/>
                <w:b/>
                <w:bCs/>
                <w:kern w:val="0"/>
                <w:sz w:val="20"/>
                <w:szCs w:val="20"/>
              </w:rPr>
            </w:pPr>
          </w:p>
        </w:tc>
        <w:tc>
          <w:tcPr>
            <w:tcW w:w="0" w:type="auto"/>
            <w:tcBorders>
              <w:left w:val="nil"/>
              <w:bottom w:val="nil"/>
              <w:right w:val="nil"/>
            </w:tcBorders>
            <w:shd w:val="clear" w:color="auto" w:fill="auto"/>
            <w:noWrap/>
            <w:vAlign w:val="center"/>
          </w:tcPr>
          <w:p w14:paraId="687C9D1A" w14:textId="77777777" w:rsidR="001B54D1" w:rsidRPr="001B54D1" w:rsidRDefault="001B54D1" w:rsidP="001B54D1">
            <w:pPr>
              <w:widowControl/>
              <w:jc w:val="center"/>
              <w:rPr>
                <w:rFonts w:ascii="Times New Roman" w:eastAsia="Times New Roman" w:hAnsi="Times New Roman" w:cs="Times New Roman"/>
                <w:b/>
                <w:bCs/>
                <w:kern w:val="0"/>
                <w:sz w:val="20"/>
                <w:szCs w:val="20"/>
              </w:rPr>
            </w:pPr>
          </w:p>
        </w:tc>
        <w:tc>
          <w:tcPr>
            <w:tcW w:w="0" w:type="auto"/>
            <w:tcBorders>
              <w:left w:val="nil"/>
              <w:bottom w:val="nil"/>
              <w:right w:val="nil"/>
            </w:tcBorders>
            <w:shd w:val="clear" w:color="auto" w:fill="auto"/>
            <w:noWrap/>
            <w:vAlign w:val="center"/>
          </w:tcPr>
          <w:p w14:paraId="0FA3D22E" w14:textId="77777777" w:rsidR="001B54D1" w:rsidRPr="001B54D1" w:rsidRDefault="001B54D1" w:rsidP="001B54D1">
            <w:pPr>
              <w:widowControl/>
              <w:jc w:val="center"/>
              <w:rPr>
                <w:rFonts w:ascii="Times New Roman" w:eastAsia="Times New Roman" w:hAnsi="Times New Roman" w:cs="Times New Roman"/>
                <w:b/>
                <w:bCs/>
                <w:kern w:val="0"/>
                <w:sz w:val="20"/>
                <w:szCs w:val="20"/>
              </w:rPr>
            </w:pPr>
          </w:p>
        </w:tc>
        <w:tc>
          <w:tcPr>
            <w:tcW w:w="0" w:type="auto"/>
            <w:tcBorders>
              <w:left w:val="nil"/>
              <w:bottom w:val="nil"/>
              <w:right w:val="nil"/>
            </w:tcBorders>
            <w:shd w:val="clear" w:color="auto" w:fill="auto"/>
            <w:noWrap/>
            <w:vAlign w:val="center"/>
          </w:tcPr>
          <w:p w14:paraId="1AC2D91F" w14:textId="77777777" w:rsidR="001B54D1" w:rsidRPr="001B54D1" w:rsidRDefault="001B54D1" w:rsidP="001B54D1">
            <w:pPr>
              <w:widowControl/>
              <w:jc w:val="center"/>
              <w:rPr>
                <w:rFonts w:ascii="Times New Roman" w:eastAsia="Times New Roman" w:hAnsi="Times New Roman" w:cs="Times New Roman"/>
                <w:b/>
                <w:bCs/>
                <w:kern w:val="0"/>
                <w:sz w:val="20"/>
                <w:szCs w:val="20"/>
              </w:rPr>
            </w:pPr>
          </w:p>
        </w:tc>
      </w:tr>
      <w:tr w:rsidR="00DA1F99" w:rsidRPr="00462538" w14:paraId="331D2F93" w14:textId="77777777" w:rsidTr="00DA1F99">
        <w:trPr>
          <w:trHeight w:val="356"/>
        </w:trPr>
        <w:tc>
          <w:tcPr>
            <w:tcW w:w="0" w:type="auto"/>
            <w:tcBorders>
              <w:left w:val="nil"/>
              <w:bottom w:val="nil"/>
              <w:right w:val="nil"/>
            </w:tcBorders>
            <w:shd w:val="clear" w:color="auto" w:fill="auto"/>
            <w:vAlign w:val="center"/>
            <w:hideMark/>
          </w:tcPr>
          <w:p w14:paraId="4C5D87CA" w14:textId="77777777" w:rsidR="001B54D1" w:rsidRPr="00462538" w:rsidRDefault="001B54D1" w:rsidP="001B54D1">
            <w:pPr>
              <w:widowControl/>
              <w:jc w:val="right"/>
              <w:rPr>
                <w:rFonts w:ascii="Times New Roman" w:hAnsi="Times New Roman" w:cs="Times New Roman"/>
                <w:b/>
                <w:bCs/>
                <w:color w:val="000000"/>
                <w:kern w:val="0"/>
                <w:sz w:val="20"/>
                <w:szCs w:val="20"/>
              </w:rPr>
            </w:pPr>
            <w:r w:rsidRPr="00462538">
              <w:rPr>
                <w:rFonts w:ascii="Times New Roman" w:eastAsia="Times New Roman" w:hAnsi="Times New Roman" w:cs="Times New Roman"/>
                <w:color w:val="000000"/>
                <w:kern w:val="0"/>
                <w:sz w:val="20"/>
                <w:szCs w:val="20"/>
              </w:rPr>
              <w:t>Financial</w:t>
            </w:r>
          </w:p>
        </w:tc>
        <w:tc>
          <w:tcPr>
            <w:tcW w:w="0" w:type="auto"/>
            <w:tcBorders>
              <w:left w:val="nil"/>
              <w:bottom w:val="nil"/>
              <w:right w:val="nil"/>
            </w:tcBorders>
            <w:shd w:val="clear" w:color="auto" w:fill="auto"/>
            <w:noWrap/>
            <w:vAlign w:val="center"/>
            <w:hideMark/>
          </w:tcPr>
          <w:p w14:paraId="3B2F3E01"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left w:val="nil"/>
              <w:bottom w:val="nil"/>
              <w:right w:val="nil"/>
            </w:tcBorders>
            <w:shd w:val="clear" w:color="auto" w:fill="auto"/>
            <w:noWrap/>
            <w:vAlign w:val="center"/>
            <w:hideMark/>
          </w:tcPr>
          <w:p w14:paraId="1E6A7C3D"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left w:val="nil"/>
              <w:bottom w:val="nil"/>
              <w:right w:val="nil"/>
            </w:tcBorders>
            <w:shd w:val="clear" w:color="auto" w:fill="auto"/>
            <w:noWrap/>
            <w:vAlign w:val="center"/>
            <w:hideMark/>
          </w:tcPr>
          <w:p w14:paraId="762CFBC3"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left w:val="nil"/>
              <w:bottom w:val="nil"/>
              <w:right w:val="nil"/>
            </w:tcBorders>
            <w:shd w:val="clear" w:color="auto" w:fill="auto"/>
            <w:noWrap/>
            <w:vAlign w:val="center"/>
            <w:hideMark/>
          </w:tcPr>
          <w:p w14:paraId="36C34C3F"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left w:val="nil"/>
              <w:bottom w:val="nil"/>
              <w:right w:val="nil"/>
            </w:tcBorders>
            <w:shd w:val="clear" w:color="auto" w:fill="auto"/>
            <w:noWrap/>
            <w:vAlign w:val="center"/>
            <w:hideMark/>
          </w:tcPr>
          <w:p w14:paraId="7D50CFA5"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left w:val="nil"/>
              <w:bottom w:val="nil"/>
              <w:right w:val="nil"/>
            </w:tcBorders>
            <w:shd w:val="clear" w:color="auto" w:fill="auto"/>
            <w:noWrap/>
            <w:vAlign w:val="center"/>
            <w:hideMark/>
          </w:tcPr>
          <w:p w14:paraId="203AE714"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left w:val="nil"/>
              <w:bottom w:val="nil"/>
              <w:right w:val="nil"/>
            </w:tcBorders>
            <w:shd w:val="clear" w:color="auto" w:fill="auto"/>
            <w:noWrap/>
            <w:vAlign w:val="center"/>
            <w:hideMark/>
          </w:tcPr>
          <w:p w14:paraId="0EBFA0BE"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left w:val="nil"/>
              <w:bottom w:val="nil"/>
              <w:right w:val="nil"/>
            </w:tcBorders>
            <w:shd w:val="clear" w:color="auto" w:fill="auto"/>
            <w:noWrap/>
            <w:vAlign w:val="center"/>
            <w:hideMark/>
          </w:tcPr>
          <w:p w14:paraId="68864E85"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left w:val="nil"/>
              <w:bottom w:val="nil"/>
              <w:right w:val="nil"/>
            </w:tcBorders>
            <w:shd w:val="clear" w:color="auto" w:fill="auto"/>
            <w:noWrap/>
            <w:vAlign w:val="center"/>
            <w:hideMark/>
          </w:tcPr>
          <w:p w14:paraId="037F38AF"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left w:val="nil"/>
              <w:bottom w:val="nil"/>
              <w:right w:val="nil"/>
            </w:tcBorders>
            <w:shd w:val="clear" w:color="auto" w:fill="auto"/>
            <w:noWrap/>
            <w:vAlign w:val="center"/>
            <w:hideMark/>
          </w:tcPr>
          <w:p w14:paraId="42AE486C"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r>
      <w:tr w:rsidR="00DA1F99" w:rsidRPr="00462538" w14:paraId="4AAC464F" w14:textId="77777777" w:rsidTr="00DA1F99">
        <w:trPr>
          <w:trHeight w:val="356"/>
        </w:trPr>
        <w:tc>
          <w:tcPr>
            <w:tcW w:w="0" w:type="auto"/>
            <w:tcBorders>
              <w:top w:val="nil"/>
              <w:left w:val="nil"/>
              <w:bottom w:val="nil"/>
              <w:right w:val="nil"/>
            </w:tcBorders>
            <w:shd w:val="clear" w:color="auto" w:fill="auto"/>
            <w:vAlign w:val="center"/>
            <w:hideMark/>
          </w:tcPr>
          <w:p w14:paraId="01B6FA2A" w14:textId="77777777" w:rsidR="001B54D1" w:rsidRPr="00462538" w:rsidRDefault="001B54D1" w:rsidP="001B54D1">
            <w:pPr>
              <w:widowControl/>
              <w:jc w:val="right"/>
              <w:rPr>
                <w:rFonts w:ascii="Times New Roman" w:hAnsi="Times New Roman" w:cs="Times New Roman"/>
                <w:b/>
                <w:bCs/>
                <w:color w:val="000000"/>
                <w:kern w:val="0"/>
                <w:sz w:val="20"/>
                <w:szCs w:val="20"/>
              </w:rPr>
            </w:pPr>
            <w:r w:rsidRPr="00462538">
              <w:rPr>
                <w:rFonts w:ascii="Times New Roman" w:eastAsia="Times New Roman" w:hAnsi="Times New Roman" w:cs="Times New Roman"/>
                <w:color w:val="000000"/>
                <w:kern w:val="0"/>
                <w:sz w:val="20"/>
                <w:szCs w:val="20"/>
              </w:rPr>
              <w:t>Medication</w:t>
            </w:r>
          </w:p>
        </w:tc>
        <w:tc>
          <w:tcPr>
            <w:tcW w:w="0" w:type="auto"/>
            <w:tcBorders>
              <w:top w:val="nil"/>
              <w:left w:val="nil"/>
              <w:bottom w:val="nil"/>
              <w:right w:val="nil"/>
            </w:tcBorders>
            <w:shd w:val="clear" w:color="auto" w:fill="auto"/>
            <w:noWrap/>
            <w:vAlign w:val="center"/>
            <w:hideMark/>
          </w:tcPr>
          <w:p w14:paraId="63A7D5FA"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38C8C4EB"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093747D6"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28CB95C4"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253D3C73"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3944BCC1"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1D09FBB3"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2309D5B9"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4B58EFED"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2DF92925"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r>
      <w:tr w:rsidR="00DA1F99" w:rsidRPr="00462538" w14:paraId="7C051EA0" w14:textId="77777777" w:rsidTr="00DA1F99">
        <w:trPr>
          <w:trHeight w:val="356"/>
        </w:trPr>
        <w:tc>
          <w:tcPr>
            <w:tcW w:w="0" w:type="auto"/>
            <w:tcBorders>
              <w:top w:val="nil"/>
              <w:left w:val="nil"/>
              <w:bottom w:val="nil"/>
              <w:right w:val="nil"/>
            </w:tcBorders>
            <w:shd w:val="clear" w:color="auto" w:fill="auto"/>
            <w:vAlign w:val="center"/>
            <w:hideMark/>
          </w:tcPr>
          <w:p w14:paraId="4E1224AF" w14:textId="77777777" w:rsidR="001B54D1" w:rsidRPr="00462538" w:rsidRDefault="001B54D1" w:rsidP="001B54D1">
            <w:pPr>
              <w:widowControl/>
              <w:jc w:val="right"/>
              <w:rPr>
                <w:rFonts w:ascii="Times New Roman" w:hAnsi="Times New Roman" w:cs="Times New Roman"/>
                <w:b/>
                <w:bCs/>
                <w:color w:val="000000"/>
                <w:kern w:val="0"/>
                <w:sz w:val="20"/>
                <w:szCs w:val="20"/>
              </w:rPr>
            </w:pPr>
            <w:r w:rsidRPr="00462538">
              <w:rPr>
                <w:rFonts w:ascii="Times New Roman" w:eastAsia="Times New Roman" w:hAnsi="Times New Roman" w:cs="Times New Roman"/>
                <w:color w:val="000000"/>
                <w:kern w:val="0"/>
                <w:sz w:val="20"/>
                <w:szCs w:val="20"/>
              </w:rPr>
              <w:t>Administrative</w:t>
            </w:r>
          </w:p>
        </w:tc>
        <w:tc>
          <w:tcPr>
            <w:tcW w:w="0" w:type="auto"/>
            <w:tcBorders>
              <w:top w:val="nil"/>
              <w:left w:val="nil"/>
              <w:bottom w:val="nil"/>
              <w:right w:val="nil"/>
            </w:tcBorders>
            <w:shd w:val="clear" w:color="auto" w:fill="auto"/>
            <w:noWrap/>
            <w:vAlign w:val="center"/>
            <w:hideMark/>
          </w:tcPr>
          <w:p w14:paraId="29161B34"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501E5442"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369354EC"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4D2DBF9E"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6F1D0117"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46BFB063"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42DEA87F"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72F2E481"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6B3516EE"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6EBDA238"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r>
      <w:tr w:rsidR="00DA1F99" w:rsidRPr="00462538" w14:paraId="2E72D8F5" w14:textId="77777777" w:rsidTr="00DA1F99">
        <w:trPr>
          <w:trHeight w:val="356"/>
        </w:trPr>
        <w:tc>
          <w:tcPr>
            <w:tcW w:w="0" w:type="auto"/>
            <w:tcBorders>
              <w:top w:val="nil"/>
              <w:left w:val="nil"/>
              <w:bottom w:val="nil"/>
              <w:right w:val="nil"/>
            </w:tcBorders>
            <w:shd w:val="clear" w:color="auto" w:fill="auto"/>
            <w:vAlign w:val="center"/>
            <w:hideMark/>
          </w:tcPr>
          <w:p w14:paraId="6B74C9B2" w14:textId="77777777" w:rsidR="001B54D1" w:rsidRPr="00462538" w:rsidRDefault="001B54D1" w:rsidP="001B54D1">
            <w:pPr>
              <w:widowControl/>
              <w:jc w:val="right"/>
              <w:rPr>
                <w:rFonts w:ascii="Times New Roman" w:hAnsi="Times New Roman" w:cs="Times New Roman"/>
                <w:b/>
                <w:bCs/>
                <w:color w:val="000000"/>
                <w:kern w:val="0"/>
                <w:sz w:val="20"/>
                <w:szCs w:val="20"/>
              </w:rPr>
            </w:pPr>
            <w:r w:rsidRPr="00462538">
              <w:rPr>
                <w:rFonts w:ascii="Times New Roman" w:eastAsia="Times New Roman" w:hAnsi="Times New Roman" w:cs="Times New Roman"/>
                <w:color w:val="000000"/>
                <w:kern w:val="0"/>
                <w:sz w:val="20"/>
                <w:szCs w:val="20"/>
              </w:rPr>
              <w:t>Lifestyle</w:t>
            </w:r>
          </w:p>
        </w:tc>
        <w:tc>
          <w:tcPr>
            <w:tcW w:w="0" w:type="auto"/>
            <w:tcBorders>
              <w:top w:val="nil"/>
              <w:left w:val="nil"/>
              <w:bottom w:val="nil"/>
              <w:right w:val="nil"/>
            </w:tcBorders>
            <w:shd w:val="clear" w:color="auto" w:fill="auto"/>
            <w:noWrap/>
            <w:vAlign w:val="center"/>
            <w:hideMark/>
          </w:tcPr>
          <w:p w14:paraId="7A6AAF51"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69D4A7CA"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1E35E9D8"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1558C7CE"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09F5F67E"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3BFDEC48"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175E5BF4"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19FA524B"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3333D8FE"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671868A1"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r>
      <w:tr w:rsidR="00DA1F99" w:rsidRPr="00462538" w14:paraId="7A326E4E" w14:textId="77777777" w:rsidTr="00DA1F99">
        <w:trPr>
          <w:trHeight w:val="356"/>
        </w:trPr>
        <w:tc>
          <w:tcPr>
            <w:tcW w:w="0" w:type="auto"/>
            <w:tcBorders>
              <w:top w:val="nil"/>
              <w:left w:val="nil"/>
              <w:bottom w:val="nil"/>
              <w:right w:val="nil"/>
            </w:tcBorders>
            <w:shd w:val="clear" w:color="auto" w:fill="auto"/>
            <w:vAlign w:val="center"/>
            <w:hideMark/>
          </w:tcPr>
          <w:p w14:paraId="06F9FB23" w14:textId="77777777" w:rsidR="001B54D1" w:rsidRPr="00462538" w:rsidRDefault="001B54D1" w:rsidP="001B54D1">
            <w:pPr>
              <w:widowControl/>
              <w:jc w:val="right"/>
              <w:rPr>
                <w:rFonts w:ascii="Times New Roman" w:hAnsi="Times New Roman" w:cs="Times New Roman"/>
                <w:b/>
                <w:bCs/>
                <w:color w:val="000000"/>
                <w:kern w:val="0"/>
                <w:sz w:val="20"/>
                <w:szCs w:val="20"/>
              </w:rPr>
            </w:pPr>
            <w:r w:rsidRPr="00462538">
              <w:rPr>
                <w:rFonts w:ascii="Times New Roman" w:eastAsia="Times New Roman" w:hAnsi="Times New Roman" w:cs="Times New Roman"/>
                <w:color w:val="000000"/>
                <w:kern w:val="0"/>
                <w:sz w:val="20"/>
                <w:szCs w:val="20"/>
              </w:rPr>
              <w:t>Healthcare</w:t>
            </w:r>
          </w:p>
        </w:tc>
        <w:tc>
          <w:tcPr>
            <w:tcW w:w="0" w:type="auto"/>
            <w:tcBorders>
              <w:top w:val="nil"/>
              <w:left w:val="nil"/>
              <w:bottom w:val="nil"/>
              <w:right w:val="nil"/>
            </w:tcBorders>
            <w:shd w:val="clear" w:color="auto" w:fill="auto"/>
            <w:noWrap/>
            <w:vAlign w:val="center"/>
            <w:hideMark/>
          </w:tcPr>
          <w:p w14:paraId="3F240FCF"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657F4479"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5E72D2B6"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760A7A83"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0B0AF119" w14:textId="77777777" w:rsidR="001B54D1" w:rsidRPr="00462538" w:rsidRDefault="001B54D1" w:rsidP="001B54D1">
            <w:pPr>
              <w:widowControl/>
              <w:jc w:val="center"/>
              <w:rPr>
                <w:rFonts w:ascii="Times New Roman" w:hAnsi="Times New Roman" w:cs="Times New Roman"/>
                <w:color w:val="FF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3DD00926" w14:textId="77777777" w:rsidR="001B54D1" w:rsidRPr="00462538" w:rsidRDefault="001B54D1" w:rsidP="001B54D1">
            <w:pPr>
              <w:widowControl/>
              <w:jc w:val="center"/>
              <w:rPr>
                <w:rFonts w:ascii="Times New Roman" w:hAnsi="Times New Roman" w:cs="Times New Roman"/>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70FBD211" w14:textId="77777777" w:rsidR="001B54D1" w:rsidRPr="00462538" w:rsidRDefault="001B54D1" w:rsidP="001B54D1">
            <w:pPr>
              <w:widowControl/>
              <w:jc w:val="center"/>
              <w:rPr>
                <w:rFonts w:ascii="Times New Roman" w:hAnsi="Times New Roman" w:cs="Times New Roman"/>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07B6B929" w14:textId="77777777" w:rsidR="001B54D1" w:rsidRPr="00462538" w:rsidRDefault="001B54D1" w:rsidP="001B54D1">
            <w:pPr>
              <w:widowControl/>
              <w:jc w:val="center"/>
              <w:rPr>
                <w:rFonts w:ascii="Times New Roman" w:hAnsi="Times New Roman" w:cs="Times New Roman"/>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07EA0B6D"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38C50A8C"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r>
      <w:tr w:rsidR="00DA1F99" w:rsidRPr="00462538" w14:paraId="1C741A06" w14:textId="77777777" w:rsidTr="00DA1F99">
        <w:trPr>
          <w:trHeight w:val="356"/>
        </w:trPr>
        <w:tc>
          <w:tcPr>
            <w:tcW w:w="0" w:type="auto"/>
            <w:tcBorders>
              <w:top w:val="nil"/>
              <w:left w:val="nil"/>
              <w:bottom w:val="nil"/>
              <w:right w:val="nil"/>
            </w:tcBorders>
            <w:shd w:val="clear" w:color="auto" w:fill="auto"/>
            <w:vAlign w:val="center"/>
            <w:hideMark/>
          </w:tcPr>
          <w:p w14:paraId="7BBE912E" w14:textId="77777777" w:rsidR="001B54D1" w:rsidRPr="00462538" w:rsidRDefault="001B54D1" w:rsidP="001B54D1">
            <w:pPr>
              <w:widowControl/>
              <w:jc w:val="right"/>
              <w:rPr>
                <w:rFonts w:ascii="Times New Roman" w:hAnsi="Times New Roman" w:cs="Times New Roman"/>
                <w:b/>
                <w:bCs/>
                <w:color w:val="000000"/>
                <w:kern w:val="0"/>
                <w:sz w:val="20"/>
                <w:szCs w:val="20"/>
              </w:rPr>
            </w:pPr>
            <w:r w:rsidRPr="00462538">
              <w:rPr>
                <w:rFonts w:ascii="Times New Roman" w:eastAsia="Times New Roman" w:hAnsi="Times New Roman" w:cs="Times New Roman"/>
                <w:color w:val="000000"/>
                <w:kern w:val="0"/>
                <w:sz w:val="20"/>
                <w:szCs w:val="20"/>
              </w:rPr>
              <w:t>Time/travel</w:t>
            </w:r>
          </w:p>
        </w:tc>
        <w:tc>
          <w:tcPr>
            <w:tcW w:w="0" w:type="auto"/>
            <w:tcBorders>
              <w:top w:val="nil"/>
              <w:left w:val="nil"/>
              <w:bottom w:val="nil"/>
              <w:right w:val="nil"/>
            </w:tcBorders>
            <w:shd w:val="clear" w:color="auto" w:fill="auto"/>
            <w:vAlign w:val="center"/>
            <w:hideMark/>
          </w:tcPr>
          <w:p w14:paraId="58D492D0"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vAlign w:val="center"/>
            <w:hideMark/>
          </w:tcPr>
          <w:p w14:paraId="6E110E33"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vAlign w:val="center"/>
            <w:hideMark/>
          </w:tcPr>
          <w:p w14:paraId="1F5AB629"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vAlign w:val="center"/>
            <w:hideMark/>
          </w:tcPr>
          <w:p w14:paraId="760B11A4"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vAlign w:val="center"/>
            <w:hideMark/>
          </w:tcPr>
          <w:p w14:paraId="21B0BD1C"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vAlign w:val="center"/>
            <w:hideMark/>
          </w:tcPr>
          <w:p w14:paraId="1453B0D1"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vAlign w:val="center"/>
            <w:hideMark/>
          </w:tcPr>
          <w:p w14:paraId="69B30D00"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vAlign w:val="center"/>
            <w:hideMark/>
          </w:tcPr>
          <w:p w14:paraId="1506B95B"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vAlign w:val="center"/>
            <w:hideMark/>
          </w:tcPr>
          <w:p w14:paraId="3E01914E"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vAlign w:val="center"/>
            <w:hideMark/>
          </w:tcPr>
          <w:p w14:paraId="5D302E7B"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r>
      <w:tr w:rsidR="00DA1F99" w:rsidRPr="00462538" w14:paraId="42D3099B" w14:textId="77777777" w:rsidTr="00DA1F99">
        <w:trPr>
          <w:trHeight w:val="356"/>
        </w:trPr>
        <w:tc>
          <w:tcPr>
            <w:tcW w:w="0" w:type="auto"/>
            <w:tcBorders>
              <w:top w:val="nil"/>
              <w:left w:val="nil"/>
              <w:bottom w:val="nil"/>
              <w:right w:val="nil"/>
            </w:tcBorders>
            <w:shd w:val="clear" w:color="auto" w:fill="auto"/>
            <w:vAlign w:val="center"/>
            <w:hideMark/>
          </w:tcPr>
          <w:p w14:paraId="2D171CE4" w14:textId="77777777" w:rsidR="001B54D1" w:rsidRPr="00462538" w:rsidRDefault="001B54D1" w:rsidP="001B54D1">
            <w:pPr>
              <w:widowControl/>
              <w:jc w:val="right"/>
              <w:rPr>
                <w:rFonts w:ascii="Times New Roman" w:hAnsi="Times New Roman" w:cs="Times New Roman"/>
                <w:b/>
                <w:bCs/>
                <w:color w:val="000000"/>
                <w:kern w:val="0"/>
                <w:sz w:val="20"/>
                <w:szCs w:val="20"/>
              </w:rPr>
            </w:pPr>
            <w:r w:rsidRPr="00462538">
              <w:rPr>
                <w:rFonts w:ascii="Times New Roman" w:eastAsia="Times New Roman" w:hAnsi="Times New Roman" w:cs="Times New Roman"/>
                <w:color w:val="000000"/>
                <w:kern w:val="0"/>
                <w:sz w:val="20"/>
                <w:szCs w:val="20"/>
              </w:rPr>
              <w:t>Medical information</w:t>
            </w:r>
          </w:p>
        </w:tc>
        <w:tc>
          <w:tcPr>
            <w:tcW w:w="0" w:type="auto"/>
            <w:tcBorders>
              <w:top w:val="nil"/>
              <w:left w:val="nil"/>
              <w:bottom w:val="nil"/>
              <w:right w:val="nil"/>
            </w:tcBorders>
            <w:shd w:val="clear" w:color="auto" w:fill="auto"/>
            <w:noWrap/>
            <w:vAlign w:val="center"/>
            <w:hideMark/>
          </w:tcPr>
          <w:p w14:paraId="6ABC1FF5"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4E22DEA2"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2AC3C485"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3356E9B9"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28513C05"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4F784F2D"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55825680"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043D4E96"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3EFC7B0D"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77098227"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r>
      <w:tr w:rsidR="00DA1F99" w:rsidRPr="00462538" w14:paraId="66CB22E1" w14:textId="77777777" w:rsidTr="00DA1F99">
        <w:trPr>
          <w:trHeight w:val="356"/>
        </w:trPr>
        <w:tc>
          <w:tcPr>
            <w:tcW w:w="0" w:type="auto"/>
            <w:gridSpan w:val="2"/>
            <w:tcBorders>
              <w:top w:val="nil"/>
              <w:left w:val="nil"/>
              <w:bottom w:val="nil"/>
              <w:right w:val="nil"/>
            </w:tcBorders>
            <w:shd w:val="clear" w:color="auto" w:fill="auto"/>
            <w:vAlign w:val="center"/>
          </w:tcPr>
          <w:p w14:paraId="35244777" w14:textId="77777777" w:rsidR="001B54D1" w:rsidRPr="00462538" w:rsidRDefault="001B54D1" w:rsidP="001B54D1">
            <w:pPr>
              <w:widowControl/>
              <w:jc w:val="left"/>
              <w:rPr>
                <w:rFonts w:ascii="Times New Roman" w:hAnsi="Times New Roman" w:cs="Times New Roman"/>
                <w:color w:val="000000"/>
                <w:sz w:val="20"/>
                <w:szCs w:val="20"/>
              </w:rPr>
            </w:pPr>
            <w:r w:rsidRPr="00462538">
              <w:rPr>
                <w:rFonts w:ascii="Times New Roman" w:eastAsia="Times New Roman" w:hAnsi="Times New Roman" w:cs="Times New Roman"/>
                <w:b/>
                <w:bCs/>
                <w:kern w:val="0"/>
                <w:sz w:val="20"/>
                <w:szCs w:val="20"/>
              </w:rPr>
              <w:t>ASSOCIATED Measurements</w:t>
            </w:r>
          </w:p>
        </w:tc>
        <w:tc>
          <w:tcPr>
            <w:tcW w:w="0" w:type="auto"/>
            <w:tcBorders>
              <w:top w:val="nil"/>
              <w:left w:val="nil"/>
              <w:bottom w:val="nil"/>
              <w:right w:val="nil"/>
            </w:tcBorders>
            <w:shd w:val="clear" w:color="auto" w:fill="auto"/>
            <w:noWrap/>
            <w:vAlign w:val="center"/>
          </w:tcPr>
          <w:p w14:paraId="4BD676FF" w14:textId="77777777" w:rsidR="001B54D1" w:rsidRPr="00462538" w:rsidRDefault="001B54D1" w:rsidP="001B54D1">
            <w:pPr>
              <w:widowControl/>
              <w:jc w:val="center"/>
              <w:rPr>
                <w:rFonts w:ascii="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tcPr>
          <w:p w14:paraId="7D9FFB83" w14:textId="77777777" w:rsidR="001B54D1" w:rsidRPr="00462538" w:rsidRDefault="001B54D1" w:rsidP="001B54D1">
            <w:pPr>
              <w:widowControl/>
              <w:jc w:val="center"/>
              <w:rPr>
                <w:rFonts w:ascii="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tcPr>
          <w:p w14:paraId="7D80B97C" w14:textId="77777777" w:rsidR="001B54D1" w:rsidRPr="00462538" w:rsidRDefault="001B54D1" w:rsidP="001B54D1">
            <w:pPr>
              <w:widowControl/>
              <w:jc w:val="center"/>
              <w:rPr>
                <w:rFonts w:ascii="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tcPr>
          <w:p w14:paraId="4E58D5A3" w14:textId="77777777" w:rsidR="001B54D1" w:rsidRPr="00462538" w:rsidRDefault="001B54D1" w:rsidP="001B54D1">
            <w:pPr>
              <w:widowControl/>
              <w:jc w:val="center"/>
              <w:rPr>
                <w:rFonts w:ascii="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tcPr>
          <w:p w14:paraId="4108B757" w14:textId="77777777" w:rsidR="001B54D1" w:rsidRPr="00462538" w:rsidRDefault="001B54D1" w:rsidP="001B54D1">
            <w:pPr>
              <w:widowControl/>
              <w:jc w:val="center"/>
              <w:rPr>
                <w:rFonts w:ascii="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tcPr>
          <w:p w14:paraId="066E5861" w14:textId="77777777" w:rsidR="001B54D1" w:rsidRPr="00462538" w:rsidRDefault="001B54D1" w:rsidP="001B54D1">
            <w:pPr>
              <w:widowControl/>
              <w:jc w:val="center"/>
              <w:rPr>
                <w:rFonts w:ascii="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tcPr>
          <w:p w14:paraId="5241378F" w14:textId="77777777" w:rsidR="001B54D1" w:rsidRPr="00462538" w:rsidRDefault="001B54D1" w:rsidP="001B54D1">
            <w:pPr>
              <w:widowControl/>
              <w:jc w:val="center"/>
              <w:rPr>
                <w:rFonts w:ascii="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tcPr>
          <w:p w14:paraId="2AFD5D3D" w14:textId="77777777" w:rsidR="001B54D1" w:rsidRPr="00462538" w:rsidRDefault="001B54D1" w:rsidP="001B54D1">
            <w:pPr>
              <w:widowControl/>
              <w:jc w:val="center"/>
              <w:rPr>
                <w:rFonts w:ascii="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tcPr>
          <w:p w14:paraId="54EEC367" w14:textId="77777777" w:rsidR="001B54D1" w:rsidRPr="00462538" w:rsidRDefault="001B54D1" w:rsidP="001B54D1">
            <w:pPr>
              <w:widowControl/>
              <w:jc w:val="center"/>
              <w:rPr>
                <w:rFonts w:ascii="Times New Roman" w:hAnsi="Times New Roman" w:cs="Times New Roman"/>
                <w:color w:val="000000"/>
                <w:sz w:val="20"/>
                <w:szCs w:val="20"/>
              </w:rPr>
            </w:pPr>
          </w:p>
        </w:tc>
      </w:tr>
      <w:tr w:rsidR="00DA1F99" w:rsidRPr="00462538" w14:paraId="0CBB92F8" w14:textId="77777777" w:rsidTr="00DA1F99">
        <w:trPr>
          <w:trHeight w:val="303"/>
        </w:trPr>
        <w:tc>
          <w:tcPr>
            <w:tcW w:w="0" w:type="auto"/>
            <w:tcBorders>
              <w:top w:val="nil"/>
              <w:left w:val="nil"/>
              <w:bottom w:val="nil"/>
              <w:right w:val="nil"/>
            </w:tcBorders>
            <w:shd w:val="clear" w:color="auto" w:fill="auto"/>
            <w:vAlign w:val="center"/>
            <w:hideMark/>
          </w:tcPr>
          <w:p w14:paraId="1A05F120" w14:textId="77777777" w:rsidR="001B54D1" w:rsidRPr="00462538" w:rsidRDefault="001B54D1" w:rsidP="001B54D1">
            <w:pPr>
              <w:widowControl/>
              <w:jc w:val="right"/>
              <w:rPr>
                <w:rFonts w:ascii="Times New Roman" w:hAnsi="Times New Roman" w:cs="Times New Roman"/>
                <w:b/>
                <w:bCs/>
                <w:color w:val="000000"/>
                <w:kern w:val="0"/>
                <w:sz w:val="20"/>
                <w:szCs w:val="20"/>
              </w:rPr>
            </w:pPr>
            <w:r w:rsidRPr="00462538">
              <w:rPr>
                <w:rFonts w:ascii="Times New Roman" w:eastAsia="Times New Roman" w:hAnsi="Times New Roman" w:cs="Times New Roman"/>
                <w:color w:val="000000"/>
                <w:kern w:val="0"/>
                <w:sz w:val="20"/>
                <w:szCs w:val="20"/>
              </w:rPr>
              <w:t>Antecedents</w:t>
            </w:r>
          </w:p>
        </w:tc>
        <w:tc>
          <w:tcPr>
            <w:tcW w:w="0" w:type="auto"/>
            <w:tcBorders>
              <w:top w:val="nil"/>
              <w:left w:val="nil"/>
              <w:bottom w:val="nil"/>
              <w:right w:val="nil"/>
            </w:tcBorders>
            <w:shd w:val="clear" w:color="auto" w:fill="auto"/>
            <w:noWrap/>
            <w:vAlign w:val="center"/>
            <w:hideMark/>
          </w:tcPr>
          <w:p w14:paraId="710014DD"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2B2D63FD"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0761A493"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47F34FB4"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5C457DFC"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70FF2554"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0748003B"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703D7C85"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01DEF727"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61BC37F5"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r>
      <w:tr w:rsidR="00DA1F99" w:rsidRPr="00462538" w14:paraId="5CA8CD50" w14:textId="77777777" w:rsidTr="00DA1F99">
        <w:trPr>
          <w:trHeight w:val="303"/>
        </w:trPr>
        <w:tc>
          <w:tcPr>
            <w:tcW w:w="0" w:type="auto"/>
            <w:tcBorders>
              <w:top w:val="nil"/>
              <w:left w:val="nil"/>
              <w:bottom w:val="nil"/>
              <w:right w:val="nil"/>
            </w:tcBorders>
            <w:shd w:val="clear" w:color="auto" w:fill="auto"/>
            <w:vAlign w:val="center"/>
            <w:hideMark/>
          </w:tcPr>
          <w:p w14:paraId="1301D9DC" w14:textId="77777777" w:rsidR="001B54D1" w:rsidRPr="00462538" w:rsidRDefault="001B54D1" w:rsidP="001B54D1">
            <w:pPr>
              <w:widowControl/>
              <w:jc w:val="right"/>
              <w:rPr>
                <w:rFonts w:ascii="Times New Roman" w:hAnsi="Times New Roman" w:cs="Times New Roman"/>
                <w:b/>
                <w:bCs/>
                <w:color w:val="000000"/>
                <w:kern w:val="0"/>
                <w:sz w:val="20"/>
                <w:szCs w:val="20"/>
              </w:rPr>
            </w:pPr>
            <w:r w:rsidRPr="00462538">
              <w:rPr>
                <w:rFonts w:ascii="Times New Roman" w:eastAsia="Times New Roman" w:hAnsi="Times New Roman" w:cs="Times New Roman"/>
                <w:color w:val="000000"/>
                <w:kern w:val="0"/>
                <w:sz w:val="20"/>
                <w:szCs w:val="20"/>
              </w:rPr>
              <w:t>Consequences</w:t>
            </w:r>
          </w:p>
        </w:tc>
        <w:tc>
          <w:tcPr>
            <w:tcW w:w="0" w:type="auto"/>
            <w:tcBorders>
              <w:top w:val="nil"/>
              <w:left w:val="nil"/>
              <w:bottom w:val="nil"/>
              <w:right w:val="nil"/>
            </w:tcBorders>
            <w:shd w:val="clear" w:color="auto" w:fill="auto"/>
            <w:noWrap/>
            <w:vAlign w:val="center"/>
            <w:hideMark/>
          </w:tcPr>
          <w:p w14:paraId="490F9561"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75E27683"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0BE97C59"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17542672"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12539B2A"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2C745321"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05A5EDA9"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hideMark/>
          </w:tcPr>
          <w:p w14:paraId="499B299C"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60982EDF"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494AFBC0"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r>
      <w:tr w:rsidR="00DA1F99" w:rsidRPr="00462538" w14:paraId="13AA11FE" w14:textId="77777777" w:rsidTr="00DA1F99">
        <w:trPr>
          <w:trHeight w:val="356"/>
        </w:trPr>
        <w:tc>
          <w:tcPr>
            <w:tcW w:w="0" w:type="auto"/>
            <w:tcBorders>
              <w:top w:val="nil"/>
              <w:left w:val="nil"/>
              <w:bottom w:val="nil"/>
              <w:right w:val="nil"/>
            </w:tcBorders>
            <w:shd w:val="clear" w:color="auto" w:fill="auto"/>
            <w:vAlign w:val="center"/>
          </w:tcPr>
          <w:p w14:paraId="52D96ABA" w14:textId="77777777" w:rsidR="001B54D1" w:rsidRPr="00462538" w:rsidRDefault="001B54D1" w:rsidP="001B54D1">
            <w:pPr>
              <w:widowControl/>
              <w:jc w:val="right"/>
              <w:rPr>
                <w:rFonts w:ascii="Times New Roman" w:eastAsia="Times New Roman" w:hAnsi="Times New Roman" w:cs="Times New Roman"/>
                <w:b/>
                <w:bCs/>
                <w:kern w:val="0"/>
                <w:sz w:val="20"/>
                <w:szCs w:val="20"/>
              </w:rPr>
            </w:pPr>
            <w:r w:rsidRPr="00462538">
              <w:rPr>
                <w:rFonts w:ascii="Times New Roman" w:hAnsi="Times New Roman" w:cs="Times New Roman"/>
                <w:color w:val="000000"/>
                <w:sz w:val="20"/>
                <w:szCs w:val="20"/>
              </w:rPr>
              <w:t>Health locus of diabetes control</w:t>
            </w:r>
          </w:p>
        </w:tc>
        <w:tc>
          <w:tcPr>
            <w:tcW w:w="0" w:type="auto"/>
            <w:tcBorders>
              <w:top w:val="nil"/>
              <w:left w:val="nil"/>
              <w:bottom w:val="nil"/>
              <w:right w:val="nil"/>
            </w:tcBorders>
            <w:shd w:val="clear" w:color="auto" w:fill="auto"/>
            <w:noWrap/>
            <w:vAlign w:val="center"/>
          </w:tcPr>
          <w:p w14:paraId="79E0344A"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tcPr>
          <w:p w14:paraId="2942E91B"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tcPr>
          <w:p w14:paraId="06F56BC8"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tcPr>
          <w:p w14:paraId="10348943"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tcPr>
          <w:p w14:paraId="4A828C42"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tcPr>
          <w:p w14:paraId="0D4B8D4E"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tcPr>
          <w:p w14:paraId="2678AE32"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tcPr>
          <w:p w14:paraId="7EBF8B3A"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tcPr>
          <w:p w14:paraId="154D32D3"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tcPr>
          <w:p w14:paraId="4DA37AC7"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r>
      <w:tr w:rsidR="00DA1F99" w:rsidRPr="00462538" w14:paraId="06BFBD3C" w14:textId="77777777" w:rsidTr="00DA1F99">
        <w:trPr>
          <w:trHeight w:val="356"/>
        </w:trPr>
        <w:tc>
          <w:tcPr>
            <w:tcW w:w="0" w:type="auto"/>
            <w:tcBorders>
              <w:top w:val="nil"/>
              <w:left w:val="nil"/>
              <w:bottom w:val="nil"/>
              <w:right w:val="nil"/>
            </w:tcBorders>
            <w:shd w:val="clear" w:color="auto" w:fill="auto"/>
            <w:vAlign w:val="center"/>
          </w:tcPr>
          <w:p w14:paraId="7E80EDC0" w14:textId="77777777" w:rsidR="001B54D1" w:rsidRPr="00462538" w:rsidRDefault="001B54D1" w:rsidP="001B54D1">
            <w:pPr>
              <w:widowControl/>
              <w:jc w:val="right"/>
              <w:rPr>
                <w:rFonts w:ascii="Times New Roman" w:eastAsia="Times New Roman" w:hAnsi="Times New Roman" w:cs="Times New Roman"/>
                <w:b/>
                <w:bCs/>
                <w:kern w:val="0"/>
                <w:sz w:val="20"/>
                <w:szCs w:val="20"/>
              </w:rPr>
            </w:pPr>
            <w:r w:rsidRPr="00462538">
              <w:rPr>
                <w:rFonts w:ascii="Times New Roman" w:hAnsi="Times New Roman" w:cs="Times New Roman"/>
                <w:color w:val="000000"/>
                <w:sz w:val="20"/>
                <w:szCs w:val="20"/>
              </w:rPr>
              <w:t>Insulin- or injection-related burden</w:t>
            </w:r>
          </w:p>
        </w:tc>
        <w:tc>
          <w:tcPr>
            <w:tcW w:w="0" w:type="auto"/>
            <w:tcBorders>
              <w:top w:val="nil"/>
              <w:left w:val="nil"/>
              <w:bottom w:val="nil"/>
              <w:right w:val="nil"/>
            </w:tcBorders>
            <w:shd w:val="clear" w:color="auto" w:fill="auto"/>
            <w:noWrap/>
            <w:vAlign w:val="center"/>
          </w:tcPr>
          <w:p w14:paraId="332DCC99"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tcPr>
          <w:p w14:paraId="7F0EC825"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tcPr>
          <w:p w14:paraId="752126FA"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tcPr>
          <w:p w14:paraId="13E1489F"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tcPr>
          <w:p w14:paraId="44ABC2B8"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tcPr>
          <w:p w14:paraId="0C59E736"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tcPr>
          <w:p w14:paraId="7007B857"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tcPr>
          <w:p w14:paraId="7337C482"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center"/>
          </w:tcPr>
          <w:p w14:paraId="3D7AA670"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tcPr>
          <w:p w14:paraId="254FF03B"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r>
      <w:tr w:rsidR="00DA1F99" w:rsidRPr="00462538" w14:paraId="6369CBC4" w14:textId="77777777" w:rsidTr="00BC0FB2">
        <w:trPr>
          <w:trHeight w:val="356"/>
        </w:trPr>
        <w:tc>
          <w:tcPr>
            <w:tcW w:w="0" w:type="auto"/>
            <w:tcBorders>
              <w:top w:val="nil"/>
              <w:left w:val="nil"/>
              <w:right w:val="nil"/>
            </w:tcBorders>
            <w:shd w:val="clear" w:color="auto" w:fill="auto"/>
            <w:vAlign w:val="center"/>
          </w:tcPr>
          <w:p w14:paraId="04CB6A50" w14:textId="77777777" w:rsidR="001B54D1" w:rsidRPr="00462538" w:rsidRDefault="001B54D1" w:rsidP="001B54D1">
            <w:pPr>
              <w:widowControl/>
              <w:jc w:val="right"/>
              <w:rPr>
                <w:rFonts w:ascii="Times New Roman" w:hAnsi="Times New Roman" w:cs="Times New Roman"/>
                <w:color w:val="000000"/>
                <w:sz w:val="20"/>
                <w:szCs w:val="20"/>
              </w:rPr>
            </w:pPr>
            <w:r w:rsidRPr="00462538">
              <w:rPr>
                <w:rFonts w:ascii="Times New Roman" w:hAnsi="Times New Roman" w:cs="Times New Roman"/>
                <w:color w:val="000000"/>
                <w:sz w:val="20"/>
                <w:szCs w:val="20"/>
              </w:rPr>
              <w:t>Medication-related Hypoglycaemia</w:t>
            </w:r>
          </w:p>
        </w:tc>
        <w:tc>
          <w:tcPr>
            <w:tcW w:w="0" w:type="auto"/>
            <w:tcBorders>
              <w:top w:val="nil"/>
              <w:left w:val="nil"/>
              <w:right w:val="nil"/>
            </w:tcBorders>
            <w:shd w:val="clear" w:color="auto" w:fill="auto"/>
            <w:noWrap/>
            <w:vAlign w:val="center"/>
          </w:tcPr>
          <w:p w14:paraId="0ABA256E"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right w:val="nil"/>
            </w:tcBorders>
            <w:shd w:val="clear" w:color="auto" w:fill="auto"/>
            <w:noWrap/>
            <w:vAlign w:val="center"/>
          </w:tcPr>
          <w:p w14:paraId="223AA070"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right w:val="nil"/>
            </w:tcBorders>
            <w:shd w:val="clear" w:color="auto" w:fill="auto"/>
            <w:noWrap/>
            <w:vAlign w:val="center"/>
          </w:tcPr>
          <w:p w14:paraId="3E29BA5C"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right w:val="nil"/>
            </w:tcBorders>
            <w:shd w:val="clear" w:color="auto" w:fill="auto"/>
            <w:noWrap/>
            <w:vAlign w:val="center"/>
          </w:tcPr>
          <w:p w14:paraId="61DF34CF"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right w:val="nil"/>
            </w:tcBorders>
            <w:shd w:val="clear" w:color="auto" w:fill="auto"/>
            <w:noWrap/>
            <w:vAlign w:val="center"/>
          </w:tcPr>
          <w:p w14:paraId="4AF9DDCA"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right w:val="nil"/>
            </w:tcBorders>
            <w:shd w:val="clear" w:color="auto" w:fill="auto"/>
            <w:noWrap/>
            <w:vAlign w:val="center"/>
          </w:tcPr>
          <w:p w14:paraId="6EBE5A22"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right w:val="nil"/>
            </w:tcBorders>
            <w:shd w:val="clear" w:color="auto" w:fill="auto"/>
            <w:noWrap/>
            <w:vAlign w:val="center"/>
          </w:tcPr>
          <w:p w14:paraId="1794BCB2"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right w:val="nil"/>
            </w:tcBorders>
            <w:shd w:val="clear" w:color="auto" w:fill="auto"/>
            <w:noWrap/>
            <w:vAlign w:val="center"/>
          </w:tcPr>
          <w:p w14:paraId="4017B355"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right w:val="nil"/>
            </w:tcBorders>
            <w:shd w:val="clear" w:color="auto" w:fill="auto"/>
            <w:noWrap/>
            <w:vAlign w:val="center"/>
          </w:tcPr>
          <w:p w14:paraId="6847A655"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right w:val="nil"/>
            </w:tcBorders>
            <w:shd w:val="clear" w:color="auto" w:fill="auto"/>
            <w:noWrap/>
            <w:vAlign w:val="center"/>
          </w:tcPr>
          <w:p w14:paraId="1FC4FEA5" w14:textId="77777777" w:rsidR="001B54D1" w:rsidRPr="00462538" w:rsidRDefault="001B54D1" w:rsidP="001B54D1">
            <w:pPr>
              <w:widowControl/>
              <w:jc w:val="center"/>
              <w:rPr>
                <w:rFonts w:ascii="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r>
      <w:tr w:rsidR="00DA1F99" w:rsidRPr="00462538" w14:paraId="68AE93E1" w14:textId="77777777" w:rsidTr="00BC0FB2">
        <w:trPr>
          <w:trHeight w:val="356"/>
        </w:trPr>
        <w:tc>
          <w:tcPr>
            <w:tcW w:w="0" w:type="auto"/>
            <w:tcBorders>
              <w:top w:val="nil"/>
              <w:left w:val="nil"/>
              <w:bottom w:val="single" w:sz="4" w:space="0" w:color="auto"/>
              <w:right w:val="nil"/>
            </w:tcBorders>
            <w:shd w:val="clear" w:color="auto" w:fill="auto"/>
            <w:vAlign w:val="center"/>
          </w:tcPr>
          <w:p w14:paraId="6CBB1782" w14:textId="77777777" w:rsidR="001B54D1" w:rsidRPr="00462538" w:rsidRDefault="001B54D1" w:rsidP="001B54D1">
            <w:pPr>
              <w:widowControl/>
              <w:jc w:val="right"/>
              <w:rPr>
                <w:rFonts w:ascii="Times New Roman" w:hAnsi="Times New Roman" w:cs="Times New Roman"/>
                <w:color w:val="000000"/>
                <w:sz w:val="20"/>
                <w:szCs w:val="20"/>
              </w:rPr>
            </w:pPr>
            <w:r w:rsidRPr="00462538">
              <w:rPr>
                <w:rFonts w:ascii="Times New Roman" w:hAnsi="Times New Roman" w:cs="Times New Roman"/>
                <w:color w:val="000000"/>
                <w:sz w:val="20"/>
                <w:szCs w:val="20"/>
              </w:rPr>
              <w:t>Glucose meter</w:t>
            </w:r>
          </w:p>
        </w:tc>
        <w:tc>
          <w:tcPr>
            <w:tcW w:w="0" w:type="auto"/>
            <w:tcBorders>
              <w:top w:val="nil"/>
              <w:left w:val="nil"/>
              <w:bottom w:val="single" w:sz="4" w:space="0" w:color="auto"/>
              <w:right w:val="nil"/>
            </w:tcBorders>
            <w:shd w:val="clear" w:color="auto" w:fill="auto"/>
            <w:noWrap/>
            <w:vAlign w:val="center"/>
          </w:tcPr>
          <w:p w14:paraId="6081D959" w14:textId="77777777" w:rsidR="001B54D1" w:rsidRPr="00462538" w:rsidRDefault="001B54D1" w:rsidP="001B54D1">
            <w:pPr>
              <w:widowControl/>
              <w:jc w:val="center"/>
              <w:rPr>
                <w:rFonts w:ascii="Times New Roman" w:eastAsia="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single" w:sz="4" w:space="0" w:color="auto"/>
              <w:right w:val="nil"/>
            </w:tcBorders>
            <w:shd w:val="clear" w:color="auto" w:fill="auto"/>
            <w:noWrap/>
            <w:vAlign w:val="center"/>
          </w:tcPr>
          <w:p w14:paraId="707C26BC" w14:textId="77777777" w:rsidR="001B54D1" w:rsidRPr="00462538" w:rsidRDefault="001B54D1" w:rsidP="001B54D1">
            <w:pPr>
              <w:widowControl/>
              <w:jc w:val="center"/>
              <w:rPr>
                <w:rFonts w:ascii="Times New Roman" w:eastAsia="Times New Roman" w:hAnsi="Times New Roman" w:cs="Times New Roman"/>
                <w:color w:val="000000"/>
                <w:kern w:val="0"/>
                <w:sz w:val="20"/>
                <w:szCs w:val="20"/>
              </w:rPr>
            </w:pPr>
            <w:r w:rsidRPr="00462538">
              <w:rPr>
                <w:rFonts w:ascii="Times New Roman" w:hAnsi="Times New Roman" w:cs="Times New Roman"/>
                <w:color w:val="000000"/>
                <w:sz w:val="20"/>
                <w:szCs w:val="20"/>
              </w:rPr>
              <w:t>1</w:t>
            </w:r>
          </w:p>
        </w:tc>
        <w:tc>
          <w:tcPr>
            <w:tcW w:w="0" w:type="auto"/>
            <w:tcBorders>
              <w:top w:val="nil"/>
              <w:left w:val="nil"/>
              <w:bottom w:val="single" w:sz="4" w:space="0" w:color="auto"/>
              <w:right w:val="nil"/>
            </w:tcBorders>
            <w:shd w:val="clear" w:color="auto" w:fill="auto"/>
            <w:noWrap/>
            <w:vAlign w:val="center"/>
          </w:tcPr>
          <w:p w14:paraId="65E700B7" w14:textId="77777777" w:rsidR="001B54D1" w:rsidRPr="00462538" w:rsidRDefault="001B54D1" w:rsidP="001B54D1">
            <w:pPr>
              <w:widowControl/>
              <w:jc w:val="center"/>
              <w:rPr>
                <w:rFonts w:ascii="Times New Roman" w:eastAsia="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single" w:sz="4" w:space="0" w:color="auto"/>
              <w:right w:val="nil"/>
            </w:tcBorders>
            <w:shd w:val="clear" w:color="auto" w:fill="auto"/>
            <w:noWrap/>
            <w:vAlign w:val="center"/>
          </w:tcPr>
          <w:p w14:paraId="6A136796" w14:textId="77777777" w:rsidR="001B54D1" w:rsidRPr="00462538" w:rsidRDefault="001B54D1" w:rsidP="001B54D1">
            <w:pPr>
              <w:widowControl/>
              <w:jc w:val="center"/>
              <w:rPr>
                <w:rFonts w:ascii="Times New Roman" w:eastAsia="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single" w:sz="4" w:space="0" w:color="auto"/>
              <w:right w:val="nil"/>
            </w:tcBorders>
            <w:shd w:val="clear" w:color="auto" w:fill="auto"/>
            <w:noWrap/>
            <w:vAlign w:val="center"/>
          </w:tcPr>
          <w:p w14:paraId="0579D00B" w14:textId="77777777" w:rsidR="001B54D1" w:rsidRPr="00462538" w:rsidRDefault="001B54D1" w:rsidP="001B54D1">
            <w:pPr>
              <w:widowControl/>
              <w:jc w:val="center"/>
              <w:rPr>
                <w:rFonts w:ascii="Times New Roman" w:eastAsia="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single" w:sz="4" w:space="0" w:color="auto"/>
              <w:right w:val="nil"/>
            </w:tcBorders>
            <w:shd w:val="clear" w:color="auto" w:fill="auto"/>
            <w:noWrap/>
            <w:vAlign w:val="center"/>
          </w:tcPr>
          <w:p w14:paraId="2D2EF4B6" w14:textId="77777777" w:rsidR="001B54D1" w:rsidRPr="00462538" w:rsidRDefault="001B54D1" w:rsidP="001B54D1">
            <w:pPr>
              <w:widowControl/>
              <w:jc w:val="center"/>
              <w:rPr>
                <w:rFonts w:ascii="Times New Roman" w:eastAsia="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single" w:sz="4" w:space="0" w:color="auto"/>
              <w:right w:val="nil"/>
            </w:tcBorders>
            <w:shd w:val="clear" w:color="auto" w:fill="auto"/>
            <w:noWrap/>
            <w:vAlign w:val="center"/>
          </w:tcPr>
          <w:p w14:paraId="7D6EC53A" w14:textId="77777777" w:rsidR="001B54D1" w:rsidRPr="00462538" w:rsidRDefault="001B54D1" w:rsidP="001B54D1">
            <w:pPr>
              <w:widowControl/>
              <w:jc w:val="center"/>
              <w:rPr>
                <w:rFonts w:ascii="Times New Roman" w:eastAsia="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single" w:sz="4" w:space="0" w:color="auto"/>
              <w:right w:val="nil"/>
            </w:tcBorders>
            <w:shd w:val="clear" w:color="auto" w:fill="auto"/>
            <w:noWrap/>
            <w:vAlign w:val="center"/>
          </w:tcPr>
          <w:p w14:paraId="1D913D7B" w14:textId="77777777" w:rsidR="001B54D1" w:rsidRPr="00462538" w:rsidRDefault="001B54D1" w:rsidP="001B54D1">
            <w:pPr>
              <w:widowControl/>
              <w:jc w:val="center"/>
              <w:rPr>
                <w:rFonts w:ascii="Times New Roman" w:eastAsia="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single" w:sz="4" w:space="0" w:color="auto"/>
              <w:right w:val="nil"/>
            </w:tcBorders>
            <w:shd w:val="clear" w:color="auto" w:fill="auto"/>
            <w:noWrap/>
            <w:vAlign w:val="center"/>
          </w:tcPr>
          <w:p w14:paraId="67F05174" w14:textId="77777777" w:rsidR="001B54D1" w:rsidRPr="00462538" w:rsidRDefault="001B54D1" w:rsidP="001B54D1">
            <w:pPr>
              <w:widowControl/>
              <w:jc w:val="center"/>
              <w:rPr>
                <w:rFonts w:ascii="Times New Roman" w:eastAsia="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c>
          <w:tcPr>
            <w:tcW w:w="0" w:type="auto"/>
            <w:tcBorders>
              <w:top w:val="nil"/>
              <w:left w:val="nil"/>
              <w:bottom w:val="single" w:sz="4" w:space="0" w:color="auto"/>
              <w:right w:val="nil"/>
            </w:tcBorders>
            <w:shd w:val="clear" w:color="auto" w:fill="auto"/>
            <w:noWrap/>
            <w:vAlign w:val="center"/>
          </w:tcPr>
          <w:p w14:paraId="0971AAB5" w14:textId="77777777" w:rsidR="001B54D1" w:rsidRPr="00462538" w:rsidRDefault="001B54D1" w:rsidP="001B54D1">
            <w:pPr>
              <w:widowControl/>
              <w:jc w:val="center"/>
              <w:rPr>
                <w:rFonts w:ascii="Times New Roman" w:eastAsia="Times New Roman" w:hAnsi="Times New Roman" w:cs="Times New Roman"/>
                <w:color w:val="000000"/>
                <w:kern w:val="0"/>
                <w:sz w:val="20"/>
                <w:szCs w:val="20"/>
              </w:rPr>
            </w:pPr>
            <w:r w:rsidRPr="00462538">
              <w:rPr>
                <w:rFonts w:ascii="Times New Roman" w:hAnsi="Times New Roman" w:cs="Times New Roman"/>
                <w:color w:val="000000"/>
                <w:sz w:val="20"/>
                <w:szCs w:val="20"/>
              </w:rPr>
              <w:t>0</w:t>
            </w:r>
          </w:p>
        </w:tc>
      </w:tr>
    </w:tbl>
    <w:p w14:paraId="3C680077" w14:textId="5F7A4DDF" w:rsidR="00E51B9D" w:rsidRPr="007F79F5" w:rsidRDefault="00E51B9D" w:rsidP="001E1C24">
      <w:pPr>
        <w:pStyle w:val="1"/>
        <w:spacing w:before="240"/>
        <w:rPr>
          <w:rFonts w:ascii="Times New Roman" w:hAnsi="Times New Roman" w:cs="Times New Roman"/>
          <w:sz w:val="20"/>
          <w:szCs w:val="20"/>
        </w:rPr>
      </w:pPr>
    </w:p>
    <w:sectPr w:rsidR="00E51B9D" w:rsidRPr="007F79F5" w:rsidSect="00247EA4">
      <w:headerReference w:type="even" r:id="rId8"/>
      <w:headerReference w:type="default" r:id="rId9"/>
      <w:footerReference w:type="even" r:id="rId10"/>
      <w:footerReference w:type="default" r:id="rId11"/>
      <w:headerReference w:type="first" r:id="rId12"/>
      <w:footerReference w:type="first" r:id="rId13"/>
      <w:pgSz w:w="15840" w:h="12240" w:orient="landscape" w:code="119"/>
      <w:pgMar w:top="1797" w:right="1440" w:bottom="1797" w:left="1440" w:header="720" w:footer="720" w:gutter="0"/>
      <w:lnNumType w:countBy="1" w:restart="continuous"/>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F933D" w14:textId="77777777" w:rsidR="000216B4" w:rsidRDefault="000216B4" w:rsidP="009B482E">
      <w:r>
        <w:separator/>
      </w:r>
    </w:p>
  </w:endnote>
  <w:endnote w:type="continuationSeparator" w:id="0">
    <w:p w14:paraId="5126C81A" w14:textId="77777777" w:rsidR="000216B4" w:rsidRDefault="000216B4" w:rsidP="009B4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45622" w14:textId="77777777" w:rsidR="006A0474" w:rsidRDefault="006A04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92A7D" w14:textId="77777777" w:rsidR="006A0474" w:rsidRDefault="006A04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D60B3" w14:textId="77777777" w:rsidR="006A0474" w:rsidRDefault="006A0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0362C" w14:textId="77777777" w:rsidR="000216B4" w:rsidRDefault="000216B4" w:rsidP="009B482E">
      <w:r>
        <w:separator/>
      </w:r>
    </w:p>
  </w:footnote>
  <w:footnote w:type="continuationSeparator" w:id="0">
    <w:p w14:paraId="01641606" w14:textId="77777777" w:rsidR="000216B4" w:rsidRDefault="000216B4" w:rsidP="009B4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6497C" w14:textId="77777777" w:rsidR="006A0474" w:rsidRDefault="006A04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730BC" w14:textId="77777777" w:rsidR="006A0474" w:rsidRDefault="006A04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9B7B6" w14:textId="77777777" w:rsidR="006A0474" w:rsidRDefault="006A04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374C9"/>
    <w:multiLevelType w:val="hybridMultilevel"/>
    <w:tmpl w:val="40D24AAE"/>
    <w:lvl w:ilvl="0" w:tplc="7E76D5E6">
      <w:start w:val="1"/>
      <w:numFmt w:val="decimal"/>
      <w:lvlText w:val="%1."/>
      <w:lvlJc w:val="left"/>
      <w:pPr>
        <w:ind w:left="720" w:hanging="360"/>
      </w:pPr>
    </w:lvl>
    <w:lvl w:ilvl="1" w:tplc="8206C376">
      <w:start w:val="1"/>
      <w:numFmt w:val="decimal"/>
      <w:lvlText w:val="%2."/>
      <w:lvlJc w:val="left"/>
      <w:pPr>
        <w:ind w:left="720" w:hanging="360"/>
      </w:pPr>
    </w:lvl>
    <w:lvl w:ilvl="2" w:tplc="42E80AD8">
      <w:start w:val="1"/>
      <w:numFmt w:val="decimal"/>
      <w:lvlText w:val="%3."/>
      <w:lvlJc w:val="left"/>
      <w:pPr>
        <w:ind w:left="720" w:hanging="360"/>
      </w:pPr>
    </w:lvl>
    <w:lvl w:ilvl="3" w:tplc="771E4A14">
      <w:start w:val="1"/>
      <w:numFmt w:val="decimal"/>
      <w:lvlText w:val="%4."/>
      <w:lvlJc w:val="left"/>
      <w:pPr>
        <w:ind w:left="720" w:hanging="360"/>
      </w:pPr>
    </w:lvl>
    <w:lvl w:ilvl="4" w:tplc="7A30EC76">
      <w:start w:val="1"/>
      <w:numFmt w:val="decimal"/>
      <w:lvlText w:val="%5."/>
      <w:lvlJc w:val="left"/>
      <w:pPr>
        <w:ind w:left="720" w:hanging="360"/>
      </w:pPr>
    </w:lvl>
    <w:lvl w:ilvl="5" w:tplc="EBF4A370">
      <w:start w:val="1"/>
      <w:numFmt w:val="decimal"/>
      <w:lvlText w:val="%6."/>
      <w:lvlJc w:val="left"/>
      <w:pPr>
        <w:ind w:left="720" w:hanging="360"/>
      </w:pPr>
    </w:lvl>
    <w:lvl w:ilvl="6" w:tplc="86E44878">
      <w:start w:val="1"/>
      <w:numFmt w:val="decimal"/>
      <w:lvlText w:val="%7."/>
      <w:lvlJc w:val="left"/>
      <w:pPr>
        <w:ind w:left="720" w:hanging="360"/>
      </w:pPr>
    </w:lvl>
    <w:lvl w:ilvl="7" w:tplc="941443B4">
      <w:start w:val="1"/>
      <w:numFmt w:val="decimal"/>
      <w:lvlText w:val="%8."/>
      <w:lvlJc w:val="left"/>
      <w:pPr>
        <w:ind w:left="720" w:hanging="360"/>
      </w:pPr>
    </w:lvl>
    <w:lvl w:ilvl="8" w:tplc="9F9E1F7E">
      <w:start w:val="1"/>
      <w:numFmt w:val="decimal"/>
      <w:lvlText w:val="%9."/>
      <w:lvlJc w:val="left"/>
      <w:pPr>
        <w:ind w:left="720" w:hanging="360"/>
      </w:pPr>
    </w:lvl>
  </w:abstractNum>
  <w:abstractNum w:abstractNumId="1" w15:restartNumberingAfterBreak="0">
    <w:nsid w:val="0A213EB2"/>
    <w:multiLevelType w:val="hybridMultilevel"/>
    <w:tmpl w:val="EE2E1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037148"/>
    <w:multiLevelType w:val="hybridMultilevel"/>
    <w:tmpl w:val="0D1A1208"/>
    <w:lvl w:ilvl="0" w:tplc="97E220B4">
      <w:start w:val="1"/>
      <w:numFmt w:val="decimal"/>
      <w:lvlText w:val="%1."/>
      <w:lvlJc w:val="left"/>
      <w:pPr>
        <w:ind w:left="360" w:hanging="360"/>
      </w:pPr>
      <w:rPr>
        <w:rFonts w:hint="default"/>
      </w:rPr>
    </w:lvl>
    <w:lvl w:ilvl="1" w:tplc="2E865670">
      <w:numFmt w:val="bullet"/>
      <w:lvlText w:val="-"/>
      <w:lvlJc w:val="left"/>
      <w:pPr>
        <w:ind w:left="840" w:hanging="420"/>
      </w:pPr>
      <w:rPr>
        <w:rFonts w:ascii="等线" w:eastAsia="等线" w:hAnsi="等线" w:cstheme="minorHAnsi"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2E62219"/>
    <w:multiLevelType w:val="hybridMultilevel"/>
    <w:tmpl w:val="92F08BCC"/>
    <w:lvl w:ilvl="0" w:tplc="ACE2D21E">
      <w:start w:val="1"/>
      <w:numFmt w:val="bullet"/>
      <w:lvlText w:val="•"/>
      <w:lvlJc w:val="left"/>
      <w:pPr>
        <w:tabs>
          <w:tab w:val="num" w:pos="720"/>
        </w:tabs>
        <w:ind w:left="720" w:hanging="360"/>
      </w:pPr>
      <w:rPr>
        <w:rFonts w:ascii="Arial" w:hAnsi="Arial" w:hint="default"/>
      </w:rPr>
    </w:lvl>
    <w:lvl w:ilvl="1" w:tplc="8752C07E" w:tentative="1">
      <w:start w:val="1"/>
      <w:numFmt w:val="bullet"/>
      <w:lvlText w:val="•"/>
      <w:lvlJc w:val="left"/>
      <w:pPr>
        <w:tabs>
          <w:tab w:val="num" w:pos="1440"/>
        </w:tabs>
        <w:ind w:left="1440" w:hanging="360"/>
      </w:pPr>
      <w:rPr>
        <w:rFonts w:ascii="Arial" w:hAnsi="Arial" w:hint="default"/>
      </w:rPr>
    </w:lvl>
    <w:lvl w:ilvl="2" w:tplc="25B88180" w:tentative="1">
      <w:start w:val="1"/>
      <w:numFmt w:val="bullet"/>
      <w:lvlText w:val="•"/>
      <w:lvlJc w:val="left"/>
      <w:pPr>
        <w:tabs>
          <w:tab w:val="num" w:pos="2160"/>
        </w:tabs>
        <w:ind w:left="2160" w:hanging="360"/>
      </w:pPr>
      <w:rPr>
        <w:rFonts w:ascii="Arial" w:hAnsi="Arial" w:hint="default"/>
      </w:rPr>
    </w:lvl>
    <w:lvl w:ilvl="3" w:tplc="AFBEBE52" w:tentative="1">
      <w:start w:val="1"/>
      <w:numFmt w:val="bullet"/>
      <w:lvlText w:val="•"/>
      <w:lvlJc w:val="left"/>
      <w:pPr>
        <w:tabs>
          <w:tab w:val="num" w:pos="2880"/>
        </w:tabs>
        <w:ind w:left="2880" w:hanging="360"/>
      </w:pPr>
      <w:rPr>
        <w:rFonts w:ascii="Arial" w:hAnsi="Arial" w:hint="default"/>
      </w:rPr>
    </w:lvl>
    <w:lvl w:ilvl="4" w:tplc="0B26EE00" w:tentative="1">
      <w:start w:val="1"/>
      <w:numFmt w:val="bullet"/>
      <w:lvlText w:val="•"/>
      <w:lvlJc w:val="left"/>
      <w:pPr>
        <w:tabs>
          <w:tab w:val="num" w:pos="3600"/>
        </w:tabs>
        <w:ind w:left="3600" w:hanging="360"/>
      </w:pPr>
      <w:rPr>
        <w:rFonts w:ascii="Arial" w:hAnsi="Arial" w:hint="default"/>
      </w:rPr>
    </w:lvl>
    <w:lvl w:ilvl="5" w:tplc="3DF2C99E" w:tentative="1">
      <w:start w:val="1"/>
      <w:numFmt w:val="bullet"/>
      <w:lvlText w:val="•"/>
      <w:lvlJc w:val="left"/>
      <w:pPr>
        <w:tabs>
          <w:tab w:val="num" w:pos="4320"/>
        </w:tabs>
        <w:ind w:left="4320" w:hanging="360"/>
      </w:pPr>
      <w:rPr>
        <w:rFonts w:ascii="Arial" w:hAnsi="Arial" w:hint="default"/>
      </w:rPr>
    </w:lvl>
    <w:lvl w:ilvl="6" w:tplc="5126AA80" w:tentative="1">
      <w:start w:val="1"/>
      <w:numFmt w:val="bullet"/>
      <w:lvlText w:val="•"/>
      <w:lvlJc w:val="left"/>
      <w:pPr>
        <w:tabs>
          <w:tab w:val="num" w:pos="5040"/>
        </w:tabs>
        <w:ind w:left="5040" w:hanging="360"/>
      </w:pPr>
      <w:rPr>
        <w:rFonts w:ascii="Arial" w:hAnsi="Arial" w:hint="default"/>
      </w:rPr>
    </w:lvl>
    <w:lvl w:ilvl="7" w:tplc="A1BA0C86" w:tentative="1">
      <w:start w:val="1"/>
      <w:numFmt w:val="bullet"/>
      <w:lvlText w:val="•"/>
      <w:lvlJc w:val="left"/>
      <w:pPr>
        <w:tabs>
          <w:tab w:val="num" w:pos="5760"/>
        </w:tabs>
        <w:ind w:left="5760" w:hanging="360"/>
      </w:pPr>
      <w:rPr>
        <w:rFonts w:ascii="Arial" w:hAnsi="Arial" w:hint="default"/>
      </w:rPr>
    </w:lvl>
    <w:lvl w:ilvl="8" w:tplc="D1C658D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A1654A2"/>
    <w:multiLevelType w:val="hybridMultilevel"/>
    <w:tmpl w:val="059CB4C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5A2C14E3"/>
    <w:multiLevelType w:val="hybridMultilevel"/>
    <w:tmpl w:val="F6AE351A"/>
    <w:lvl w:ilvl="0" w:tplc="2E865670">
      <w:numFmt w:val="bullet"/>
      <w:lvlText w:val="-"/>
      <w:lvlJc w:val="left"/>
      <w:pPr>
        <w:ind w:left="420" w:hanging="420"/>
      </w:pPr>
      <w:rPr>
        <w:rFonts w:ascii="等线" w:eastAsia="等线" w:hAnsi="等线" w:cstheme="minorHAns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5D460009"/>
    <w:multiLevelType w:val="multilevel"/>
    <w:tmpl w:val="27D0E09A"/>
    <w:lvl w:ilvl="0">
      <w:start w:val="1"/>
      <w:numFmt w:val="decimal"/>
      <w:lvlText w:val="%1."/>
      <w:lvlJc w:val="left"/>
      <w:pPr>
        <w:ind w:left="360" w:hanging="360"/>
      </w:pPr>
      <w:rPr>
        <w:rFonts w:hint="default"/>
      </w:rPr>
    </w:lvl>
    <w:lvl w:ilvl="1">
      <w:start w:val="1"/>
      <w:numFmt w:val="decimal"/>
      <w:isLgl/>
      <w:lvlText w:val="%1.%2"/>
      <w:lvlJc w:val="left"/>
      <w:pPr>
        <w:ind w:left="1202" w:hanging="720"/>
      </w:pPr>
      <w:rPr>
        <w:rFonts w:hint="default"/>
      </w:rPr>
    </w:lvl>
    <w:lvl w:ilvl="2">
      <w:start w:val="1"/>
      <w:numFmt w:val="decimal"/>
      <w:isLgl/>
      <w:lvlText w:val="%1.%2.%3"/>
      <w:lvlJc w:val="left"/>
      <w:pPr>
        <w:ind w:left="2044" w:hanging="1080"/>
      </w:pPr>
      <w:rPr>
        <w:rFonts w:hint="default"/>
      </w:rPr>
    </w:lvl>
    <w:lvl w:ilvl="3">
      <w:start w:val="1"/>
      <w:numFmt w:val="decimal"/>
      <w:isLgl/>
      <w:lvlText w:val="%1.%2.%3.%4"/>
      <w:lvlJc w:val="left"/>
      <w:pPr>
        <w:ind w:left="2526" w:hanging="1080"/>
      </w:pPr>
      <w:rPr>
        <w:rFonts w:hint="default"/>
      </w:rPr>
    </w:lvl>
    <w:lvl w:ilvl="4">
      <w:start w:val="1"/>
      <w:numFmt w:val="decimal"/>
      <w:isLgl/>
      <w:lvlText w:val="%1.%2.%3.%4.%5"/>
      <w:lvlJc w:val="left"/>
      <w:pPr>
        <w:ind w:left="3368" w:hanging="1440"/>
      </w:pPr>
      <w:rPr>
        <w:rFonts w:hint="default"/>
      </w:rPr>
    </w:lvl>
    <w:lvl w:ilvl="5">
      <w:start w:val="1"/>
      <w:numFmt w:val="decimal"/>
      <w:isLgl/>
      <w:lvlText w:val="%1.%2.%3.%4.%5.%6"/>
      <w:lvlJc w:val="left"/>
      <w:pPr>
        <w:ind w:left="4210" w:hanging="1800"/>
      </w:pPr>
      <w:rPr>
        <w:rFonts w:hint="default"/>
      </w:rPr>
    </w:lvl>
    <w:lvl w:ilvl="6">
      <w:start w:val="1"/>
      <w:numFmt w:val="decimal"/>
      <w:isLgl/>
      <w:lvlText w:val="%1.%2.%3.%4.%5.%6.%7"/>
      <w:lvlJc w:val="left"/>
      <w:pPr>
        <w:ind w:left="4692" w:hanging="1800"/>
      </w:pPr>
      <w:rPr>
        <w:rFonts w:hint="default"/>
      </w:rPr>
    </w:lvl>
    <w:lvl w:ilvl="7">
      <w:start w:val="1"/>
      <w:numFmt w:val="decimal"/>
      <w:isLgl/>
      <w:lvlText w:val="%1.%2.%3.%4.%5.%6.%7.%8"/>
      <w:lvlJc w:val="left"/>
      <w:pPr>
        <w:ind w:left="5534" w:hanging="2160"/>
      </w:pPr>
      <w:rPr>
        <w:rFonts w:hint="default"/>
      </w:rPr>
    </w:lvl>
    <w:lvl w:ilvl="8">
      <w:start w:val="1"/>
      <w:numFmt w:val="decimal"/>
      <w:isLgl/>
      <w:lvlText w:val="%1.%2.%3.%4.%5.%6.%7.%8.%9"/>
      <w:lvlJc w:val="left"/>
      <w:pPr>
        <w:ind w:left="6376" w:hanging="2520"/>
      </w:pPr>
      <w:rPr>
        <w:rFonts w:hint="default"/>
      </w:rPr>
    </w:lvl>
  </w:abstractNum>
  <w:abstractNum w:abstractNumId="7" w15:restartNumberingAfterBreak="0">
    <w:nsid w:val="68F95755"/>
    <w:multiLevelType w:val="hybridMultilevel"/>
    <w:tmpl w:val="9C6A29F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C56A5A"/>
    <w:multiLevelType w:val="hybridMultilevel"/>
    <w:tmpl w:val="68FC25D6"/>
    <w:lvl w:ilvl="0" w:tplc="2E865670">
      <w:numFmt w:val="bullet"/>
      <w:lvlText w:val="-"/>
      <w:lvlJc w:val="left"/>
      <w:pPr>
        <w:ind w:left="360" w:hanging="360"/>
      </w:pPr>
      <w:rPr>
        <w:rFonts w:ascii="等线" w:eastAsia="等线" w:hAnsi="等线" w:cstheme="minorHAnsi" w:hint="eastAsia"/>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6BE8799A"/>
    <w:multiLevelType w:val="hybridMultilevel"/>
    <w:tmpl w:val="7D325E40"/>
    <w:lvl w:ilvl="0" w:tplc="68563932">
      <w:numFmt w:val="bullet"/>
      <w:lvlText w:val="-"/>
      <w:lvlJc w:val="left"/>
      <w:pPr>
        <w:ind w:left="360" w:hanging="360"/>
      </w:pPr>
      <w:rPr>
        <w:rFonts w:ascii="等线" w:eastAsia="等线" w:hAnsi="等线"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734816084">
    <w:abstractNumId w:val="3"/>
  </w:num>
  <w:num w:numId="2" w16cid:durableId="1614626438">
    <w:abstractNumId w:val="4"/>
  </w:num>
  <w:num w:numId="3" w16cid:durableId="1111240390">
    <w:abstractNumId w:val="8"/>
  </w:num>
  <w:num w:numId="4" w16cid:durableId="632636163">
    <w:abstractNumId w:val="2"/>
  </w:num>
  <w:num w:numId="5" w16cid:durableId="2083678497">
    <w:abstractNumId w:val="5"/>
  </w:num>
  <w:num w:numId="6" w16cid:durableId="1413577247">
    <w:abstractNumId w:val="9"/>
  </w:num>
  <w:num w:numId="7" w16cid:durableId="632560913">
    <w:abstractNumId w:val="1"/>
  </w:num>
  <w:num w:numId="8" w16cid:durableId="2096512789">
    <w:abstractNumId w:val="7"/>
  </w:num>
  <w:num w:numId="9" w16cid:durableId="838927514">
    <w:abstractNumId w:val="6"/>
  </w:num>
  <w:num w:numId="10" w16cid:durableId="580606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68C"/>
    <w:rsid w:val="000127D1"/>
    <w:rsid w:val="00014343"/>
    <w:rsid w:val="000216B4"/>
    <w:rsid w:val="0002655C"/>
    <w:rsid w:val="00026AD0"/>
    <w:rsid w:val="00027D05"/>
    <w:rsid w:val="000333AD"/>
    <w:rsid w:val="000419BA"/>
    <w:rsid w:val="00044340"/>
    <w:rsid w:val="000452FE"/>
    <w:rsid w:val="0004685F"/>
    <w:rsid w:val="00047D44"/>
    <w:rsid w:val="00064E3A"/>
    <w:rsid w:val="00065180"/>
    <w:rsid w:val="00070462"/>
    <w:rsid w:val="000763DD"/>
    <w:rsid w:val="00091E6C"/>
    <w:rsid w:val="000920A0"/>
    <w:rsid w:val="00092C42"/>
    <w:rsid w:val="000A18AD"/>
    <w:rsid w:val="000A18E2"/>
    <w:rsid w:val="000A5263"/>
    <w:rsid w:val="000A675A"/>
    <w:rsid w:val="000C77FF"/>
    <w:rsid w:val="000E25B6"/>
    <w:rsid w:val="000E5ACC"/>
    <w:rsid w:val="000F164F"/>
    <w:rsid w:val="000F43F2"/>
    <w:rsid w:val="000F44AA"/>
    <w:rsid w:val="00102110"/>
    <w:rsid w:val="001155CD"/>
    <w:rsid w:val="00116E0C"/>
    <w:rsid w:val="00124D99"/>
    <w:rsid w:val="0012568C"/>
    <w:rsid w:val="00127A50"/>
    <w:rsid w:val="00130D34"/>
    <w:rsid w:val="001324F2"/>
    <w:rsid w:val="001329EA"/>
    <w:rsid w:val="00151517"/>
    <w:rsid w:val="00151F3A"/>
    <w:rsid w:val="001613DD"/>
    <w:rsid w:val="00161AD5"/>
    <w:rsid w:val="0016255A"/>
    <w:rsid w:val="00165FBD"/>
    <w:rsid w:val="00174B9B"/>
    <w:rsid w:val="00174F60"/>
    <w:rsid w:val="00177744"/>
    <w:rsid w:val="00181C98"/>
    <w:rsid w:val="0018373E"/>
    <w:rsid w:val="00186D41"/>
    <w:rsid w:val="00187608"/>
    <w:rsid w:val="001B54D1"/>
    <w:rsid w:val="001C0E0B"/>
    <w:rsid w:val="001C2597"/>
    <w:rsid w:val="001C5228"/>
    <w:rsid w:val="001C79F1"/>
    <w:rsid w:val="001D43DC"/>
    <w:rsid w:val="001D48D5"/>
    <w:rsid w:val="001D50A8"/>
    <w:rsid w:val="001E1C24"/>
    <w:rsid w:val="00210397"/>
    <w:rsid w:val="0021678D"/>
    <w:rsid w:val="00223CEF"/>
    <w:rsid w:val="00236AF3"/>
    <w:rsid w:val="00245F64"/>
    <w:rsid w:val="00247EA4"/>
    <w:rsid w:val="00247F0B"/>
    <w:rsid w:val="00257211"/>
    <w:rsid w:val="00261EEA"/>
    <w:rsid w:val="002672F9"/>
    <w:rsid w:val="00276EDF"/>
    <w:rsid w:val="00280242"/>
    <w:rsid w:val="00297C69"/>
    <w:rsid w:val="002A424B"/>
    <w:rsid w:val="002A4718"/>
    <w:rsid w:val="002A734F"/>
    <w:rsid w:val="002A7883"/>
    <w:rsid w:val="002B110C"/>
    <w:rsid w:val="002B3FA9"/>
    <w:rsid w:val="002C00B9"/>
    <w:rsid w:val="002C3D8A"/>
    <w:rsid w:val="002C7E2D"/>
    <w:rsid w:val="002D16FC"/>
    <w:rsid w:val="002D4CC2"/>
    <w:rsid w:val="002E11B7"/>
    <w:rsid w:val="002E4628"/>
    <w:rsid w:val="00305A00"/>
    <w:rsid w:val="00317F6A"/>
    <w:rsid w:val="003247B5"/>
    <w:rsid w:val="00324EB0"/>
    <w:rsid w:val="003344D8"/>
    <w:rsid w:val="0034219C"/>
    <w:rsid w:val="00352565"/>
    <w:rsid w:val="003526B8"/>
    <w:rsid w:val="00360964"/>
    <w:rsid w:val="00365BDE"/>
    <w:rsid w:val="00366CE7"/>
    <w:rsid w:val="0036707D"/>
    <w:rsid w:val="003728DA"/>
    <w:rsid w:val="00385BAD"/>
    <w:rsid w:val="003A1C83"/>
    <w:rsid w:val="003A37C5"/>
    <w:rsid w:val="003A79DF"/>
    <w:rsid w:val="003B686C"/>
    <w:rsid w:val="003C58F4"/>
    <w:rsid w:val="003D33D0"/>
    <w:rsid w:val="003D37A6"/>
    <w:rsid w:val="003D557F"/>
    <w:rsid w:val="003E1F84"/>
    <w:rsid w:val="003E5D67"/>
    <w:rsid w:val="003F6861"/>
    <w:rsid w:val="003F6BA3"/>
    <w:rsid w:val="0040288A"/>
    <w:rsid w:val="0040432D"/>
    <w:rsid w:val="00407F9B"/>
    <w:rsid w:val="0042342B"/>
    <w:rsid w:val="0044144F"/>
    <w:rsid w:val="00453BB8"/>
    <w:rsid w:val="00460ADA"/>
    <w:rsid w:val="00461859"/>
    <w:rsid w:val="0046228D"/>
    <w:rsid w:val="004715F3"/>
    <w:rsid w:val="00471B02"/>
    <w:rsid w:val="0047503C"/>
    <w:rsid w:val="0047625B"/>
    <w:rsid w:val="00480078"/>
    <w:rsid w:val="00481918"/>
    <w:rsid w:val="004830D0"/>
    <w:rsid w:val="00485C43"/>
    <w:rsid w:val="004867E7"/>
    <w:rsid w:val="00492FA3"/>
    <w:rsid w:val="004A2DB7"/>
    <w:rsid w:val="004B0A40"/>
    <w:rsid w:val="004B787F"/>
    <w:rsid w:val="004C7AD8"/>
    <w:rsid w:val="004D18E4"/>
    <w:rsid w:val="004D30AB"/>
    <w:rsid w:val="004E0BD3"/>
    <w:rsid w:val="004E3407"/>
    <w:rsid w:val="004E6F48"/>
    <w:rsid w:val="004E7B22"/>
    <w:rsid w:val="004F1E58"/>
    <w:rsid w:val="004F66A5"/>
    <w:rsid w:val="00502FDA"/>
    <w:rsid w:val="00503910"/>
    <w:rsid w:val="0050695D"/>
    <w:rsid w:val="00523AC3"/>
    <w:rsid w:val="00525ACE"/>
    <w:rsid w:val="005310D1"/>
    <w:rsid w:val="00542194"/>
    <w:rsid w:val="005435FF"/>
    <w:rsid w:val="00545597"/>
    <w:rsid w:val="00550FEB"/>
    <w:rsid w:val="00553D58"/>
    <w:rsid w:val="0056465C"/>
    <w:rsid w:val="0056674B"/>
    <w:rsid w:val="00571534"/>
    <w:rsid w:val="005A041A"/>
    <w:rsid w:val="005A3331"/>
    <w:rsid w:val="005A77E6"/>
    <w:rsid w:val="005C1679"/>
    <w:rsid w:val="005C1AFF"/>
    <w:rsid w:val="005D30E1"/>
    <w:rsid w:val="005F45B0"/>
    <w:rsid w:val="005F4942"/>
    <w:rsid w:val="006031FA"/>
    <w:rsid w:val="00605C33"/>
    <w:rsid w:val="00614423"/>
    <w:rsid w:val="00616F74"/>
    <w:rsid w:val="00627322"/>
    <w:rsid w:val="006343A4"/>
    <w:rsid w:val="00646A8B"/>
    <w:rsid w:val="00647FA5"/>
    <w:rsid w:val="0065097A"/>
    <w:rsid w:val="00657BDA"/>
    <w:rsid w:val="0066216F"/>
    <w:rsid w:val="006708DB"/>
    <w:rsid w:val="00674870"/>
    <w:rsid w:val="00687E86"/>
    <w:rsid w:val="006A0474"/>
    <w:rsid w:val="006A1F7E"/>
    <w:rsid w:val="006A392F"/>
    <w:rsid w:val="006B314B"/>
    <w:rsid w:val="006B7C07"/>
    <w:rsid w:val="006C112C"/>
    <w:rsid w:val="006D07A2"/>
    <w:rsid w:val="006D2EEA"/>
    <w:rsid w:val="006D3E14"/>
    <w:rsid w:val="006D7B36"/>
    <w:rsid w:val="006F713B"/>
    <w:rsid w:val="007101FC"/>
    <w:rsid w:val="00716670"/>
    <w:rsid w:val="00733132"/>
    <w:rsid w:val="00745296"/>
    <w:rsid w:val="00753FF3"/>
    <w:rsid w:val="00754847"/>
    <w:rsid w:val="007611E8"/>
    <w:rsid w:val="00766181"/>
    <w:rsid w:val="00767751"/>
    <w:rsid w:val="00773DE8"/>
    <w:rsid w:val="00777DDC"/>
    <w:rsid w:val="00783CD3"/>
    <w:rsid w:val="00785B95"/>
    <w:rsid w:val="00787ACF"/>
    <w:rsid w:val="007915CF"/>
    <w:rsid w:val="007A1C38"/>
    <w:rsid w:val="007B1DB0"/>
    <w:rsid w:val="007B3757"/>
    <w:rsid w:val="007B7A95"/>
    <w:rsid w:val="007C5324"/>
    <w:rsid w:val="007D49BC"/>
    <w:rsid w:val="007D5E36"/>
    <w:rsid w:val="007D63ED"/>
    <w:rsid w:val="007E24EF"/>
    <w:rsid w:val="007E6831"/>
    <w:rsid w:val="007F1A13"/>
    <w:rsid w:val="007F2B0B"/>
    <w:rsid w:val="007F79F5"/>
    <w:rsid w:val="0080384C"/>
    <w:rsid w:val="00807351"/>
    <w:rsid w:val="0080769D"/>
    <w:rsid w:val="00821116"/>
    <w:rsid w:val="00833F0B"/>
    <w:rsid w:val="00837DBF"/>
    <w:rsid w:val="00841D13"/>
    <w:rsid w:val="0084281B"/>
    <w:rsid w:val="00842E98"/>
    <w:rsid w:val="00844945"/>
    <w:rsid w:val="008454A1"/>
    <w:rsid w:val="00860BCB"/>
    <w:rsid w:val="00861B56"/>
    <w:rsid w:val="00861D51"/>
    <w:rsid w:val="00864EDD"/>
    <w:rsid w:val="00871486"/>
    <w:rsid w:val="00872192"/>
    <w:rsid w:val="008766D8"/>
    <w:rsid w:val="00881E39"/>
    <w:rsid w:val="008927A6"/>
    <w:rsid w:val="00894A0E"/>
    <w:rsid w:val="008A15DD"/>
    <w:rsid w:val="008A5132"/>
    <w:rsid w:val="008A7A61"/>
    <w:rsid w:val="008B0726"/>
    <w:rsid w:val="008B6C25"/>
    <w:rsid w:val="008C0CE4"/>
    <w:rsid w:val="008E0409"/>
    <w:rsid w:val="008E0F00"/>
    <w:rsid w:val="008E5E33"/>
    <w:rsid w:val="008E68E3"/>
    <w:rsid w:val="009075E5"/>
    <w:rsid w:val="00910C08"/>
    <w:rsid w:val="00923FFE"/>
    <w:rsid w:val="009336AC"/>
    <w:rsid w:val="009400B8"/>
    <w:rsid w:val="00957DD1"/>
    <w:rsid w:val="009633B0"/>
    <w:rsid w:val="00971767"/>
    <w:rsid w:val="00975E43"/>
    <w:rsid w:val="00985511"/>
    <w:rsid w:val="0099517C"/>
    <w:rsid w:val="009A1C85"/>
    <w:rsid w:val="009A5268"/>
    <w:rsid w:val="009A52AB"/>
    <w:rsid w:val="009B482E"/>
    <w:rsid w:val="009C0E51"/>
    <w:rsid w:val="009C0F89"/>
    <w:rsid w:val="009C6B9B"/>
    <w:rsid w:val="009D09DB"/>
    <w:rsid w:val="009D2C02"/>
    <w:rsid w:val="009D7F96"/>
    <w:rsid w:val="009E13F7"/>
    <w:rsid w:val="00A05035"/>
    <w:rsid w:val="00A12479"/>
    <w:rsid w:val="00A13586"/>
    <w:rsid w:val="00A30918"/>
    <w:rsid w:val="00A3168E"/>
    <w:rsid w:val="00A37D66"/>
    <w:rsid w:val="00A55AA0"/>
    <w:rsid w:val="00A57DFA"/>
    <w:rsid w:val="00A60935"/>
    <w:rsid w:val="00A71EB0"/>
    <w:rsid w:val="00A8183A"/>
    <w:rsid w:val="00A90631"/>
    <w:rsid w:val="00A94413"/>
    <w:rsid w:val="00A97A33"/>
    <w:rsid w:val="00AA2E72"/>
    <w:rsid w:val="00AA4983"/>
    <w:rsid w:val="00AB3EF7"/>
    <w:rsid w:val="00AC3CE4"/>
    <w:rsid w:val="00AC587E"/>
    <w:rsid w:val="00AD0380"/>
    <w:rsid w:val="00AD3EC4"/>
    <w:rsid w:val="00AD5AA5"/>
    <w:rsid w:val="00AD7D54"/>
    <w:rsid w:val="00AE12D5"/>
    <w:rsid w:val="00AE1965"/>
    <w:rsid w:val="00AF3993"/>
    <w:rsid w:val="00B00A59"/>
    <w:rsid w:val="00B0353C"/>
    <w:rsid w:val="00B050DF"/>
    <w:rsid w:val="00B1281A"/>
    <w:rsid w:val="00B149E9"/>
    <w:rsid w:val="00B162CE"/>
    <w:rsid w:val="00B24FB7"/>
    <w:rsid w:val="00B32470"/>
    <w:rsid w:val="00B32C57"/>
    <w:rsid w:val="00B3416E"/>
    <w:rsid w:val="00B36D34"/>
    <w:rsid w:val="00B37A56"/>
    <w:rsid w:val="00B45466"/>
    <w:rsid w:val="00B52FD8"/>
    <w:rsid w:val="00B6458E"/>
    <w:rsid w:val="00B6733B"/>
    <w:rsid w:val="00B6750E"/>
    <w:rsid w:val="00B841D5"/>
    <w:rsid w:val="00B8670C"/>
    <w:rsid w:val="00BC0FB2"/>
    <w:rsid w:val="00BC2215"/>
    <w:rsid w:val="00BD0E01"/>
    <w:rsid w:val="00BD44CA"/>
    <w:rsid w:val="00BD46AB"/>
    <w:rsid w:val="00BF5693"/>
    <w:rsid w:val="00BF5EBE"/>
    <w:rsid w:val="00C072E5"/>
    <w:rsid w:val="00C15BDE"/>
    <w:rsid w:val="00C16B96"/>
    <w:rsid w:val="00C242EB"/>
    <w:rsid w:val="00C24F9E"/>
    <w:rsid w:val="00C273C8"/>
    <w:rsid w:val="00C27484"/>
    <w:rsid w:val="00C3103E"/>
    <w:rsid w:val="00C33C66"/>
    <w:rsid w:val="00C35356"/>
    <w:rsid w:val="00C3569E"/>
    <w:rsid w:val="00C373EE"/>
    <w:rsid w:val="00C434C3"/>
    <w:rsid w:val="00C471DB"/>
    <w:rsid w:val="00C5145A"/>
    <w:rsid w:val="00C525C1"/>
    <w:rsid w:val="00C57016"/>
    <w:rsid w:val="00C62174"/>
    <w:rsid w:val="00C6517C"/>
    <w:rsid w:val="00C760A5"/>
    <w:rsid w:val="00C91156"/>
    <w:rsid w:val="00C96CED"/>
    <w:rsid w:val="00CB3319"/>
    <w:rsid w:val="00CB4FCA"/>
    <w:rsid w:val="00CB55FB"/>
    <w:rsid w:val="00CB62CF"/>
    <w:rsid w:val="00CD0E4F"/>
    <w:rsid w:val="00CE201A"/>
    <w:rsid w:val="00CE38AE"/>
    <w:rsid w:val="00CE70CF"/>
    <w:rsid w:val="00D1095D"/>
    <w:rsid w:val="00D11424"/>
    <w:rsid w:val="00D11852"/>
    <w:rsid w:val="00D13DD4"/>
    <w:rsid w:val="00D27B72"/>
    <w:rsid w:val="00D34C1C"/>
    <w:rsid w:val="00D37B8C"/>
    <w:rsid w:val="00D37FE6"/>
    <w:rsid w:val="00D432D8"/>
    <w:rsid w:val="00D53AB5"/>
    <w:rsid w:val="00D579C1"/>
    <w:rsid w:val="00D63C6F"/>
    <w:rsid w:val="00D66D14"/>
    <w:rsid w:val="00D70780"/>
    <w:rsid w:val="00D71E0A"/>
    <w:rsid w:val="00D74B5C"/>
    <w:rsid w:val="00D77DDC"/>
    <w:rsid w:val="00D8056F"/>
    <w:rsid w:val="00D910F4"/>
    <w:rsid w:val="00D92E48"/>
    <w:rsid w:val="00DA189F"/>
    <w:rsid w:val="00DA1F99"/>
    <w:rsid w:val="00DA4DB6"/>
    <w:rsid w:val="00DA5DFF"/>
    <w:rsid w:val="00DA6318"/>
    <w:rsid w:val="00DA7822"/>
    <w:rsid w:val="00DB3DFE"/>
    <w:rsid w:val="00DD3A3C"/>
    <w:rsid w:val="00DE59BE"/>
    <w:rsid w:val="00DF14A0"/>
    <w:rsid w:val="00DF15DA"/>
    <w:rsid w:val="00DF2408"/>
    <w:rsid w:val="00DF29B1"/>
    <w:rsid w:val="00DF635B"/>
    <w:rsid w:val="00E041EE"/>
    <w:rsid w:val="00E24AF9"/>
    <w:rsid w:val="00E27E46"/>
    <w:rsid w:val="00E30C14"/>
    <w:rsid w:val="00E31338"/>
    <w:rsid w:val="00E35E30"/>
    <w:rsid w:val="00E43A53"/>
    <w:rsid w:val="00E50493"/>
    <w:rsid w:val="00E51B9D"/>
    <w:rsid w:val="00E65545"/>
    <w:rsid w:val="00E80652"/>
    <w:rsid w:val="00E808CA"/>
    <w:rsid w:val="00E8708D"/>
    <w:rsid w:val="00E87E57"/>
    <w:rsid w:val="00E94CD3"/>
    <w:rsid w:val="00EA79E4"/>
    <w:rsid w:val="00EB3B2B"/>
    <w:rsid w:val="00EB4008"/>
    <w:rsid w:val="00EB601E"/>
    <w:rsid w:val="00EB62DF"/>
    <w:rsid w:val="00EC1014"/>
    <w:rsid w:val="00EC12B0"/>
    <w:rsid w:val="00EC457F"/>
    <w:rsid w:val="00ED5A5D"/>
    <w:rsid w:val="00EE6D60"/>
    <w:rsid w:val="00F10227"/>
    <w:rsid w:val="00F22654"/>
    <w:rsid w:val="00F22E87"/>
    <w:rsid w:val="00F40587"/>
    <w:rsid w:val="00F42DBE"/>
    <w:rsid w:val="00F52B87"/>
    <w:rsid w:val="00F57C4B"/>
    <w:rsid w:val="00F6086F"/>
    <w:rsid w:val="00F62F9E"/>
    <w:rsid w:val="00F64199"/>
    <w:rsid w:val="00F65AB7"/>
    <w:rsid w:val="00F7125D"/>
    <w:rsid w:val="00F82908"/>
    <w:rsid w:val="00F910F7"/>
    <w:rsid w:val="00F92E8C"/>
    <w:rsid w:val="00F96064"/>
    <w:rsid w:val="00FB72B3"/>
    <w:rsid w:val="00FC060A"/>
    <w:rsid w:val="00FD1C16"/>
    <w:rsid w:val="00FF7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B73AD"/>
  <w15:chartTrackingRefBased/>
  <w15:docId w15:val="{AFBF61F7-E77C-41B7-A275-61865433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68C"/>
    <w:pPr>
      <w:widowControl w:val="0"/>
      <w:jc w:val="both"/>
    </w:pPr>
    <w:rPr>
      <w:lang w:val="en-AU"/>
    </w:rPr>
  </w:style>
  <w:style w:type="paragraph" w:styleId="Heading1">
    <w:name w:val="heading 1"/>
    <w:basedOn w:val="Normal"/>
    <w:next w:val="Normal"/>
    <w:link w:val="Heading1Char"/>
    <w:uiPriority w:val="9"/>
    <w:qFormat/>
    <w:rsid w:val="0012568C"/>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12568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rsid w:val="008A15DD"/>
    <w:pPr>
      <w:keepNext/>
      <w:keepLines/>
      <w:spacing w:before="260" w:after="260" w:line="416" w:lineRule="auto"/>
      <w:outlineLvl w:val="2"/>
    </w:pPr>
    <w:rPr>
      <w:b/>
      <w:bCs/>
      <w:sz w:val="32"/>
      <w:szCs w:val="32"/>
    </w:rPr>
  </w:style>
  <w:style w:type="paragraph" w:styleId="Heading4">
    <w:name w:val="heading 4"/>
    <w:basedOn w:val="Normal"/>
    <w:next w:val="Normal"/>
    <w:link w:val="Heading4Char"/>
    <w:uiPriority w:val="9"/>
    <w:unhideWhenUsed/>
    <w:qFormat/>
    <w:rsid w:val="008A15DD"/>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Heading5">
    <w:name w:val="heading 5"/>
    <w:basedOn w:val="Normal"/>
    <w:next w:val="Normal"/>
    <w:link w:val="Heading5Char"/>
    <w:uiPriority w:val="9"/>
    <w:semiHidden/>
    <w:unhideWhenUsed/>
    <w:qFormat/>
    <w:rsid w:val="008A15DD"/>
    <w:pPr>
      <w:keepNext/>
      <w:keepLines/>
      <w:spacing w:before="280" w:after="290" w:line="376" w:lineRule="auto"/>
      <w:outlineLvl w:val="4"/>
    </w:pPr>
    <w:rPr>
      <w:b/>
      <w:bCs/>
      <w:sz w:val="28"/>
      <w:szCs w:val="28"/>
    </w:rPr>
  </w:style>
  <w:style w:type="paragraph" w:styleId="Heading6">
    <w:name w:val="heading 6"/>
    <w:basedOn w:val="Normal"/>
    <w:next w:val="Normal"/>
    <w:link w:val="Heading6Char"/>
    <w:uiPriority w:val="9"/>
    <w:semiHidden/>
    <w:unhideWhenUsed/>
    <w:qFormat/>
    <w:rsid w:val="008A15DD"/>
    <w:pPr>
      <w:keepNext/>
      <w:keepLines/>
      <w:spacing w:before="240" w:after="64" w:line="320" w:lineRule="auto"/>
      <w:outlineLvl w:val="5"/>
    </w:pPr>
    <w:rPr>
      <w:rFonts w:asciiTheme="majorHAnsi" w:eastAsiaTheme="majorEastAsia" w:hAnsiTheme="majorHAnsi" w:cstheme="majorBidi"/>
      <w:b/>
      <w:bCs/>
      <w:sz w:val="24"/>
      <w:szCs w:val="24"/>
    </w:rPr>
  </w:style>
  <w:style w:type="paragraph" w:styleId="Heading7">
    <w:name w:val="heading 7"/>
    <w:basedOn w:val="Normal"/>
    <w:next w:val="Normal"/>
    <w:link w:val="Heading7Char"/>
    <w:uiPriority w:val="9"/>
    <w:semiHidden/>
    <w:unhideWhenUsed/>
    <w:qFormat/>
    <w:rsid w:val="008A15DD"/>
    <w:pPr>
      <w:keepNext/>
      <w:keepLines/>
      <w:spacing w:before="240" w:after="64" w:line="320" w:lineRule="auto"/>
      <w:outlineLvl w:val="6"/>
    </w:pPr>
    <w:rPr>
      <w:b/>
      <w:bCs/>
      <w:sz w:val="24"/>
      <w:szCs w:val="24"/>
    </w:rPr>
  </w:style>
  <w:style w:type="paragraph" w:styleId="Heading8">
    <w:name w:val="heading 8"/>
    <w:basedOn w:val="Normal"/>
    <w:next w:val="Normal"/>
    <w:link w:val="Heading8Char"/>
    <w:uiPriority w:val="9"/>
    <w:semiHidden/>
    <w:unhideWhenUsed/>
    <w:qFormat/>
    <w:rsid w:val="008A15DD"/>
    <w:pPr>
      <w:keepNext/>
      <w:keepLines/>
      <w:spacing w:before="240" w:after="64" w:line="320" w:lineRule="auto"/>
      <w:outlineLvl w:val="7"/>
    </w:pPr>
    <w:rPr>
      <w:rFonts w:asciiTheme="majorHAnsi" w:eastAsiaTheme="majorEastAsia" w:hAnsiTheme="majorHAnsi" w:cstheme="majorBidi"/>
      <w:sz w:val="24"/>
      <w:szCs w:val="24"/>
    </w:rPr>
  </w:style>
  <w:style w:type="paragraph" w:styleId="Heading9">
    <w:name w:val="heading 9"/>
    <w:basedOn w:val="Normal"/>
    <w:next w:val="Normal"/>
    <w:link w:val="Heading9Char"/>
    <w:uiPriority w:val="9"/>
    <w:semiHidden/>
    <w:unhideWhenUsed/>
    <w:qFormat/>
    <w:rsid w:val="008A15DD"/>
    <w:pPr>
      <w:keepNext/>
      <w:keepLines/>
      <w:spacing w:before="240" w:after="64" w:line="320" w:lineRule="auto"/>
      <w:outlineLvl w:val="8"/>
    </w:pPr>
    <w:rPr>
      <w:rFonts w:asciiTheme="majorHAnsi" w:eastAsiaTheme="majorEastAsia" w:hAnsiTheme="majorHAnsi" w:cstheme="majorBidi"/>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68C"/>
    <w:rPr>
      <w:b/>
      <w:bCs/>
      <w:kern w:val="44"/>
      <w:sz w:val="44"/>
      <w:szCs w:val="44"/>
      <w:lang w:val="en-GB"/>
    </w:rPr>
  </w:style>
  <w:style w:type="character" w:customStyle="1" w:styleId="Heading2Char">
    <w:name w:val="Heading 2 Char"/>
    <w:basedOn w:val="DefaultParagraphFont"/>
    <w:link w:val="Heading2"/>
    <w:uiPriority w:val="9"/>
    <w:rsid w:val="0012568C"/>
    <w:rPr>
      <w:rFonts w:asciiTheme="majorHAnsi" w:eastAsiaTheme="majorEastAsia" w:hAnsiTheme="majorHAnsi" w:cstheme="majorBidi"/>
      <w:b/>
      <w:bCs/>
      <w:sz w:val="32"/>
      <w:szCs w:val="32"/>
      <w:lang w:val="en-GB"/>
    </w:rPr>
  </w:style>
  <w:style w:type="table" w:styleId="TableGrid">
    <w:name w:val="Table Grid"/>
    <w:basedOn w:val="TableNormal"/>
    <w:rsid w:val="00125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A15DD"/>
    <w:rPr>
      <w:i/>
      <w:iCs/>
    </w:rPr>
  </w:style>
  <w:style w:type="paragraph" w:customStyle="1" w:styleId="CitaviBibliographyEntry">
    <w:name w:val="Citavi Bibliography Entry"/>
    <w:basedOn w:val="Normal"/>
    <w:link w:val="CitaviBibliographyEntryChar"/>
    <w:rsid w:val="008A15DD"/>
    <w:pPr>
      <w:tabs>
        <w:tab w:val="left" w:pos="340"/>
        <w:tab w:val="left" w:pos="720"/>
      </w:tabs>
      <w:ind w:left="340" w:hanging="340"/>
      <w:jc w:val="left"/>
    </w:pPr>
  </w:style>
  <w:style w:type="character" w:customStyle="1" w:styleId="CitaviBibliographyEntryChar">
    <w:name w:val="Citavi Bibliography Entry Char"/>
    <w:basedOn w:val="DefaultParagraphFont"/>
    <w:link w:val="CitaviBibliographyEntry"/>
    <w:rsid w:val="008A15DD"/>
    <w:rPr>
      <w:lang w:val="en-AU"/>
    </w:rPr>
  </w:style>
  <w:style w:type="paragraph" w:customStyle="1" w:styleId="CitaviBibliographyHeading">
    <w:name w:val="Citavi Bibliography Heading"/>
    <w:basedOn w:val="Heading1"/>
    <w:link w:val="CitaviBibliographyHeadingChar"/>
    <w:rsid w:val="008A15DD"/>
    <w:pPr>
      <w:jc w:val="left"/>
    </w:pPr>
  </w:style>
  <w:style w:type="character" w:customStyle="1" w:styleId="CitaviBibliographyHeadingChar">
    <w:name w:val="Citavi Bibliography Heading Char"/>
    <w:basedOn w:val="DefaultParagraphFont"/>
    <w:link w:val="CitaviBibliographyHeading"/>
    <w:rsid w:val="008A15DD"/>
    <w:rPr>
      <w:b/>
      <w:bCs/>
      <w:kern w:val="44"/>
      <w:sz w:val="44"/>
      <w:szCs w:val="44"/>
      <w:lang w:val="en-AU"/>
    </w:rPr>
  </w:style>
  <w:style w:type="paragraph" w:customStyle="1" w:styleId="tableandfigures">
    <w:name w:val="table and figures"/>
    <w:basedOn w:val="Heading9"/>
    <w:link w:val="tableandfiguresChar"/>
    <w:qFormat/>
    <w:rsid w:val="008A15DD"/>
    <w:pPr>
      <w:spacing w:before="120" w:after="0" w:line="319" w:lineRule="auto"/>
    </w:pPr>
    <w:rPr>
      <w:rFonts w:ascii="Arial" w:hAnsi="Arial" w:cs="Arial"/>
      <w:b/>
      <w:bCs/>
      <w:spacing w:val="15"/>
      <w:sz w:val="15"/>
      <w:szCs w:val="15"/>
    </w:rPr>
  </w:style>
  <w:style w:type="character" w:customStyle="1" w:styleId="tableandfiguresChar">
    <w:name w:val="table and figures Char"/>
    <w:basedOn w:val="Heading9Char"/>
    <w:link w:val="tableandfigures"/>
    <w:rsid w:val="008A15DD"/>
    <w:rPr>
      <w:rFonts w:ascii="Arial" w:eastAsiaTheme="majorEastAsia" w:hAnsi="Arial" w:cs="Arial"/>
      <w:b/>
      <w:bCs/>
      <w:spacing w:val="15"/>
      <w:sz w:val="15"/>
      <w:szCs w:val="15"/>
      <w:lang w:val="en-GB"/>
    </w:rPr>
  </w:style>
  <w:style w:type="character" w:customStyle="1" w:styleId="Heading9Char">
    <w:name w:val="Heading 9 Char"/>
    <w:basedOn w:val="DefaultParagraphFont"/>
    <w:link w:val="Heading9"/>
    <w:uiPriority w:val="9"/>
    <w:semiHidden/>
    <w:rsid w:val="008A15DD"/>
    <w:rPr>
      <w:rFonts w:asciiTheme="majorHAnsi" w:eastAsiaTheme="majorEastAsia" w:hAnsiTheme="majorHAnsi" w:cstheme="majorBidi"/>
      <w:szCs w:val="21"/>
      <w:lang w:val="en-GB"/>
    </w:rPr>
  </w:style>
  <w:style w:type="paragraph" w:customStyle="1" w:styleId="CitaviBibliographySubheading1">
    <w:name w:val="Citavi Bibliography Subheading 1"/>
    <w:basedOn w:val="Heading2"/>
    <w:link w:val="CitaviBibliographySubheading10"/>
    <w:rsid w:val="008A15DD"/>
    <w:pPr>
      <w:jc w:val="left"/>
      <w:outlineLvl w:val="9"/>
    </w:pPr>
  </w:style>
  <w:style w:type="character" w:customStyle="1" w:styleId="CitaviBibliographySubheading10">
    <w:name w:val="Citavi Bibliography Subheading 1 字符"/>
    <w:basedOn w:val="DefaultParagraphFont"/>
    <w:link w:val="CitaviBibliographySubheading1"/>
    <w:rsid w:val="008A15DD"/>
    <w:rPr>
      <w:rFonts w:asciiTheme="majorHAnsi" w:eastAsiaTheme="majorEastAsia" w:hAnsiTheme="majorHAnsi" w:cstheme="majorBidi"/>
      <w:b/>
      <w:bCs/>
      <w:sz w:val="32"/>
      <w:szCs w:val="32"/>
      <w:lang w:val="en-AU"/>
    </w:rPr>
  </w:style>
  <w:style w:type="paragraph" w:customStyle="1" w:styleId="CitaviBibliographySubheading2">
    <w:name w:val="Citavi Bibliography Subheading 2"/>
    <w:basedOn w:val="Heading3"/>
    <w:link w:val="CitaviBibliographySubheading20"/>
    <w:rsid w:val="008A15DD"/>
    <w:pPr>
      <w:jc w:val="left"/>
      <w:outlineLvl w:val="9"/>
    </w:pPr>
  </w:style>
  <w:style w:type="character" w:customStyle="1" w:styleId="CitaviBibliographySubheading20">
    <w:name w:val="Citavi Bibliography Subheading 2 字符"/>
    <w:basedOn w:val="DefaultParagraphFont"/>
    <w:link w:val="CitaviBibliographySubheading2"/>
    <w:rsid w:val="008A15DD"/>
    <w:rPr>
      <w:b/>
      <w:bCs/>
      <w:sz w:val="32"/>
      <w:szCs w:val="32"/>
      <w:lang w:val="en-AU"/>
    </w:rPr>
  </w:style>
  <w:style w:type="character" w:customStyle="1" w:styleId="Heading3Char">
    <w:name w:val="Heading 3 Char"/>
    <w:basedOn w:val="DefaultParagraphFont"/>
    <w:link w:val="Heading3"/>
    <w:uiPriority w:val="9"/>
    <w:rsid w:val="008A15DD"/>
    <w:rPr>
      <w:b/>
      <w:bCs/>
      <w:sz w:val="32"/>
      <w:szCs w:val="32"/>
      <w:lang w:val="en-GB"/>
    </w:rPr>
  </w:style>
  <w:style w:type="paragraph" w:customStyle="1" w:styleId="CitaviBibliographySubheading3">
    <w:name w:val="Citavi Bibliography Subheading 3"/>
    <w:basedOn w:val="Heading4"/>
    <w:link w:val="CitaviBibliographySubheading30"/>
    <w:rsid w:val="008A15DD"/>
    <w:pPr>
      <w:jc w:val="left"/>
      <w:outlineLvl w:val="9"/>
    </w:pPr>
  </w:style>
  <w:style w:type="character" w:customStyle="1" w:styleId="CitaviBibliographySubheading30">
    <w:name w:val="Citavi Bibliography Subheading 3 字符"/>
    <w:basedOn w:val="DefaultParagraphFont"/>
    <w:link w:val="CitaviBibliographySubheading3"/>
    <w:rsid w:val="008A15DD"/>
    <w:rPr>
      <w:rFonts w:asciiTheme="majorHAnsi" w:eastAsiaTheme="majorEastAsia" w:hAnsiTheme="majorHAnsi" w:cstheme="majorBidi"/>
      <w:b/>
      <w:bCs/>
      <w:sz w:val="28"/>
      <w:szCs w:val="28"/>
      <w:lang w:val="en-AU"/>
    </w:rPr>
  </w:style>
  <w:style w:type="character" w:customStyle="1" w:styleId="Heading4Char">
    <w:name w:val="Heading 4 Char"/>
    <w:basedOn w:val="DefaultParagraphFont"/>
    <w:link w:val="Heading4"/>
    <w:uiPriority w:val="9"/>
    <w:rsid w:val="008A15DD"/>
    <w:rPr>
      <w:rFonts w:asciiTheme="majorHAnsi" w:eastAsiaTheme="majorEastAsia" w:hAnsiTheme="majorHAnsi" w:cstheme="majorBidi"/>
      <w:b/>
      <w:bCs/>
      <w:sz w:val="28"/>
      <w:szCs w:val="28"/>
      <w:lang w:val="en-GB"/>
    </w:rPr>
  </w:style>
  <w:style w:type="paragraph" w:customStyle="1" w:styleId="CitaviBibliographySubheading4">
    <w:name w:val="Citavi Bibliography Subheading 4"/>
    <w:basedOn w:val="Heading5"/>
    <w:link w:val="CitaviBibliographySubheading40"/>
    <w:rsid w:val="008A15DD"/>
    <w:pPr>
      <w:jc w:val="left"/>
      <w:outlineLvl w:val="9"/>
    </w:pPr>
  </w:style>
  <w:style w:type="character" w:customStyle="1" w:styleId="CitaviBibliographySubheading40">
    <w:name w:val="Citavi Bibliography Subheading 4 字符"/>
    <w:basedOn w:val="DefaultParagraphFont"/>
    <w:link w:val="CitaviBibliographySubheading4"/>
    <w:rsid w:val="008A15DD"/>
    <w:rPr>
      <w:b/>
      <w:bCs/>
      <w:sz w:val="28"/>
      <w:szCs w:val="28"/>
      <w:lang w:val="en-AU"/>
    </w:rPr>
  </w:style>
  <w:style w:type="character" w:customStyle="1" w:styleId="Heading5Char">
    <w:name w:val="Heading 5 Char"/>
    <w:basedOn w:val="DefaultParagraphFont"/>
    <w:link w:val="Heading5"/>
    <w:uiPriority w:val="9"/>
    <w:semiHidden/>
    <w:rsid w:val="008A15DD"/>
    <w:rPr>
      <w:b/>
      <w:bCs/>
      <w:sz w:val="28"/>
      <w:szCs w:val="28"/>
      <w:lang w:val="en-GB"/>
    </w:rPr>
  </w:style>
  <w:style w:type="paragraph" w:customStyle="1" w:styleId="CitaviBibliographySubheading5">
    <w:name w:val="Citavi Bibliography Subheading 5"/>
    <w:basedOn w:val="Heading6"/>
    <w:link w:val="CitaviBibliographySubheading50"/>
    <w:rsid w:val="008A15DD"/>
    <w:pPr>
      <w:outlineLvl w:val="9"/>
    </w:pPr>
  </w:style>
  <w:style w:type="character" w:customStyle="1" w:styleId="CitaviBibliographySubheading50">
    <w:name w:val="Citavi Bibliography Subheading 5 字符"/>
    <w:basedOn w:val="DefaultParagraphFont"/>
    <w:link w:val="CitaviBibliographySubheading5"/>
    <w:rsid w:val="008A15DD"/>
    <w:rPr>
      <w:rFonts w:asciiTheme="majorHAnsi" w:eastAsiaTheme="majorEastAsia" w:hAnsiTheme="majorHAnsi" w:cstheme="majorBidi"/>
      <w:b/>
      <w:bCs/>
      <w:sz w:val="24"/>
      <w:szCs w:val="24"/>
      <w:lang w:val="en-GB"/>
    </w:rPr>
  </w:style>
  <w:style w:type="character" w:customStyle="1" w:styleId="Heading6Char">
    <w:name w:val="Heading 6 Char"/>
    <w:basedOn w:val="DefaultParagraphFont"/>
    <w:link w:val="Heading6"/>
    <w:uiPriority w:val="9"/>
    <w:semiHidden/>
    <w:rsid w:val="008A15DD"/>
    <w:rPr>
      <w:rFonts w:asciiTheme="majorHAnsi" w:eastAsiaTheme="majorEastAsia" w:hAnsiTheme="majorHAnsi" w:cstheme="majorBidi"/>
      <w:b/>
      <w:bCs/>
      <w:sz w:val="24"/>
      <w:szCs w:val="24"/>
      <w:lang w:val="en-GB"/>
    </w:rPr>
  </w:style>
  <w:style w:type="paragraph" w:customStyle="1" w:styleId="CitaviBibliographySubheading6">
    <w:name w:val="Citavi Bibliography Subheading 6"/>
    <w:basedOn w:val="Heading7"/>
    <w:link w:val="CitaviBibliographySubheading60"/>
    <w:rsid w:val="008A15DD"/>
    <w:pPr>
      <w:outlineLvl w:val="9"/>
    </w:pPr>
  </w:style>
  <w:style w:type="character" w:customStyle="1" w:styleId="CitaviBibliographySubheading60">
    <w:name w:val="Citavi Bibliography Subheading 6 字符"/>
    <w:basedOn w:val="DefaultParagraphFont"/>
    <w:link w:val="CitaviBibliographySubheading6"/>
    <w:rsid w:val="008A15DD"/>
    <w:rPr>
      <w:b/>
      <w:bCs/>
      <w:sz w:val="24"/>
      <w:szCs w:val="24"/>
      <w:lang w:val="en-GB"/>
    </w:rPr>
  </w:style>
  <w:style w:type="character" w:customStyle="1" w:styleId="Heading7Char">
    <w:name w:val="Heading 7 Char"/>
    <w:basedOn w:val="DefaultParagraphFont"/>
    <w:link w:val="Heading7"/>
    <w:uiPriority w:val="9"/>
    <w:semiHidden/>
    <w:rsid w:val="008A15DD"/>
    <w:rPr>
      <w:b/>
      <w:bCs/>
      <w:sz w:val="24"/>
      <w:szCs w:val="24"/>
      <w:lang w:val="en-GB"/>
    </w:rPr>
  </w:style>
  <w:style w:type="paragraph" w:customStyle="1" w:styleId="CitaviBibliographySubheading7">
    <w:name w:val="Citavi Bibliography Subheading 7"/>
    <w:basedOn w:val="Heading8"/>
    <w:link w:val="CitaviBibliographySubheading70"/>
    <w:rsid w:val="008A15DD"/>
    <w:pPr>
      <w:outlineLvl w:val="9"/>
    </w:pPr>
  </w:style>
  <w:style w:type="character" w:customStyle="1" w:styleId="CitaviBibliographySubheading70">
    <w:name w:val="Citavi Bibliography Subheading 7 字符"/>
    <w:basedOn w:val="DefaultParagraphFont"/>
    <w:link w:val="CitaviBibliographySubheading7"/>
    <w:rsid w:val="008A15DD"/>
    <w:rPr>
      <w:rFonts w:asciiTheme="majorHAnsi" w:eastAsiaTheme="majorEastAsia" w:hAnsiTheme="majorHAnsi" w:cstheme="majorBidi"/>
      <w:sz w:val="24"/>
      <w:szCs w:val="24"/>
      <w:lang w:val="en-GB"/>
    </w:rPr>
  </w:style>
  <w:style w:type="character" w:customStyle="1" w:styleId="Heading8Char">
    <w:name w:val="Heading 8 Char"/>
    <w:basedOn w:val="DefaultParagraphFont"/>
    <w:link w:val="Heading8"/>
    <w:uiPriority w:val="9"/>
    <w:semiHidden/>
    <w:rsid w:val="008A15DD"/>
    <w:rPr>
      <w:rFonts w:asciiTheme="majorHAnsi" w:eastAsiaTheme="majorEastAsia" w:hAnsiTheme="majorHAnsi" w:cstheme="majorBidi"/>
      <w:sz w:val="24"/>
      <w:szCs w:val="24"/>
      <w:lang w:val="en-GB"/>
    </w:rPr>
  </w:style>
  <w:style w:type="paragraph" w:customStyle="1" w:styleId="CitaviBibliographySubheading8">
    <w:name w:val="Citavi Bibliography Subheading 8"/>
    <w:basedOn w:val="Heading9"/>
    <w:link w:val="CitaviBibliographySubheading80"/>
    <w:rsid w:val="008A15DD"/>
    <w:pPr>
      <w:outlineLvl w:val="9"/>
    </w:pPr>
  </w:style>
  <w:style w:type="character" w:customStyle="1" w:styleId="CitaviBibliographySubheading80">
    <w:name w:val="Citavi Bibliography Subheading 8 字符"/>
    <w:basedOn w:val="DefaultParagraphFont"/>
    <w:link w:val="CitaviBibliographySubheading8"/>
    <w:rsid w:val="008A15DD"/>
    <w:rPr>
      <w:rFonts w:asciiTheme="majorHAnsi" w:eastAsiaTheme="majorEastAsia" w:hAnsiTheme="majorHAnsi" w:cstheme="majorBidi"/>
      <w:szCs w:val="21"/>
      <w:lang w:val="en-GB"/>
    </w:rPr>
  </w:style>
  <w:style w:type="character" w:styleId="PlaceholderText">
    <w:name w:val="Placeholder Text"/>
    <w:basedOn w:val="DefaultParagraphFont"/>
    <w:uiPriority w:val="99"/>
    <w:semiHidden/>
    <w:qFormat/>
    <w:rsid w:val="00DA6318"/>
    <w:rPr>
      <w:color w:val="808080"/>
    </w:rPr>
  </w:style>
  <w:style w:type="paragraph" w:styleId="Header">
    <w:name w:val="header"/>
    <w:basedOn w:val="Normal"/>
    <w:link w:val="HeaderChar"/>
    <w:uiPriority w:val="99"/>
    <w:unhideWhenUsed/>
    <w:rsid w:val="009B482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B482E"/>
    <w:rPr>
      <w:sz w:val="18"/>
      <w:szCs w:val="18"/>
      <w:lang w:val="en-GB"/>
    </w:rPr>
  </w:style>
  <w:style w:type="paragraph" w:styleId="Footer">
    <w:name w:val="footer"/>
    <w:basedOn w:val="Normal"/>
    <w:link w:val="FooterChar"/>
    <w:uiPriority w:val="99"/>
    <w:unhideWhenUsed/>
    <w:rsid w:val="009B482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B482E"/>
    <w:rPr>
      <w:sz w:val="18"/>
      <w:szCs w:val="18"/>
      <w:lang w:val="en-GB"/>
    </w:rPr>
  </w:style>
  <w:style w:type="character" w:styleId="CommentReference">
    <w:name w:val="annotation reference"/>
    <w:basedOn w:val="DefaultParagraphFont"/>
    <w:uiPriority w:val="99"/>
    <w:semiHidden/>
    <w:unhideWhenUsed/>
    <w:rsid w:val="009B482E"/>
    <w:rPr>
      <w:sz w:val="21"/>
      <w:szCs w:val="21"/>
    </w:rPr>
  </w:style>
  <w:style w:type="paragraph" w:styleId="CommentText">
    <w:name w:val="annotation text"/>
    <w:basedOn w:val="Normal"/>
    <w:link w:val="CommentTextChar"/>
    <w:uiPriority w:val="99"/>
    <w:unhideWhenUsed/>
    <w:rsid w:val="009B482E"/>
    <w:pPr>
      <w:jc w:val="left"/>
    </w:pPr>
  </w:style>
  <w:style w:type="character" w:customStyle="1" w:styleId="CommentTextChar">
    <w:name w:val="Comment Text Char"/>
    <w:basedOn w:val="DefaultParagraphFont"/>
    <w:link w:val="CommentText"/>
    <w:uiPriority w:val="99"/>
    <w:rsid w:val="009B482E"/>
    <w:rPr>
      <w:lang w:val="en-AU"/>
    </w:rPr>
  </w:style>
  <w:style w:type="paragraph" w:styleId="CommentSubject">
    <w:name w:val="annotation subject"/>
    <w:basedOn w:val="CommentText"/>
    <w:next w:val="CommentText"/>
    <w:link w:val="CommentSubjectChar"/>
    <w:uiPriority w:val="99"/>
    <w:semiHidden/>
    <w:unhideWhenUsed/>
    <w:rsid w:val="009B482E"/>
    <w:rPr>
      <w:b/>
      <w:bCs/>
    </w:rPr>
  </w:style>
  <w:style w:type="character" w:customStyle="1" w:styleId="CommentSubjectChar">
    <w:name w:val="Comment Subject Char"/>
    <w:basedOn w:val="CommentTextChar"/>
    <w:link w:val="CommentSubject"/>
    <w:uiPriority w:val="99"/>
    <w:semiHidden/>
    <w:rsid w:val="009B482E"/>
    <w:rPr>
      <w:b/>
      <w:bCs/>
      <w:lang w:val="en-AU"/>
    </w:rPr>
  </w:style>
  <w:style w:type="paragraph" w:styleId="ListParagraph">
    <w:name w:val="List Paragraph"/>
    <w:basedOn w:val="Normal"/>
    <w:uiPriority w:val="34"/>
    <w:qFormat/>
    <w:rsid w:val="00174B9B"/>
    <w:pPr>
      <w:ind w:firstLineChars="200" w:firstLine="420"/>
    </w:pPr>
  </w:style>
  <w:style w:type="character" w:styleId="Hyperlink">
    <w:name w:val="Hyperlink"/>
    <w:basedOn w:val="DefaultParagraphFont"/>
    <w:uiPriority w:val="99"/>
    <w:unhideWhenUsed/>
    <w:rsid w:val="00366CE7"/>
    <w:rPr>
      <w:color w:val="0563C1" w:themeColor="hyperlink"/>
      <w:u w:val="single"/>
    </w:rPr>
  </w:style>
  <w:style w:type="character" w:styleId="UnresolvedMention">
    <w:name w:val="Unresolved Mention"/>
    <w:basedOn w:val="DefaultParagraphFont"/>
    <w:uiPriority w:val="99"/>
    <w:semiHidden/>
    <w:unhideWhenUsed/>
    <w:rsid w:val="00366CE7"/>
    <w:rPr>
      <w:color w:val="605E5C"/>
      <w:shd w:val="clear" w:color="auto" w:fill="E1DFDD"/>
    </w:rPr>
  </w:style>
  <w:style w:type="paragraph" w:customStyle="1" w:styleId="1">
    <w:name w:val="论文标题1"/>
    <w:basedOn w:val="Heading1"/>
    <w:next w:val="Heading1"/>
    <w:link w:val="10"/>
    <w:autoRedefine/>
    <w:qFormat/>
    <w:rsid w:val="00236AF3"/>
    <w:pPr>
      <w:spacing w:beforeLines="100" w:before="100" w:after="0" w:line="240" w:lineRule="auto"/>
    </w:pPr>
    <w:rPr>
      <w:rFonts w:eastAsiaTheme="majorEastAsia"/>
      <w:bCs w:val="0"/>
      <w:sz w:val="24"/>
      <w:szCs w:val="24"/>
      <w:lang w:val="en-GB"/>
      <w14:ligatures w14:val="standardContextual"/>
    </w:rPr>
  </w:style>
  <w:style w:type="character" w:customStyle="1" w:styleId="10">
    <w:name w:val="论文标题1 字符"/>
    <w:basedOn w:val="DefaultParagraphFont"/>
    <w:link w:val="1"/>
    <w:rsid w:val="00236AF3"/>
    <w:rPr>
      <w:rFonts w:eastAsiaTheme="majorEastAsia"/>
      <w:b/>
      <w:kern w:val="44"/>
      <w:sz w:val="24"/>
      <w:szCs w:val="24"/>
      <w:lang w:val="en-GB"/>
      <w14:ligatures w14:val="standardContextual"/>
    </w:rPr>
  </w:style>
  <w:style w:type="paragraph" w:customStyle="1" w:styleId="2">
    <w:name w:val="论文标题2"/>
    <w:basedOn w:val="Heading2"/>
    <w:next w:val="Heading2"/>
    <w:link w:val="20"/>
    <w:qFormat/>
    <w:rsid w:val="00EB3B2B"/>
    <w:pPr>
      <w:spacing w:before="120" w:afterLines="50" w:after="0" w:line="240" w:lineRule="auto"/>
      <w:ind w:firstLine="482"/>
    </w:pPr>
    <w:rPr>
      <w:bCs w:val="0"/>
      <w:sz w:val="24"/>
      <w:szCs w:val="21"/>
      <w:lang w:val="en-GB"/>
    </w:rPr>
  </w:style>
  <w:style w:type="character" w:customStyle="1" w:styleId="20">
    <w:name w:val="论文标题2 字符"/>
    <w:basedOn w:val="Heading2Char"/>
    <w:link w:val="2"/>
    <w:qFormat/>
    <w:rsid w:val="00EB3B2B"/>
    <w:rPr>
      <w:rFonts w:asciiTheme="majorHAnsi" w:eastAsiaTheme="majorEastAsia" w:hAnsiTheme="majorHAnsi" w:cstheme="majorBidi"/>
      <w:b/>
      <w:bCs w:val="0"/>
      <w:sz w:val="24"/>
      <w:szCs w:val="21"/>
      <w:lang w:val="en-GB"/>
    </w:rPr>
  </w:style>
  <w:style w:type="paragraph" w:styleId="TOC1">
    <w:name w:val="toc 1"/>
    <w:aliases w:val="Content_lr"/>
    <w:basedOn w:val="Normal"/>
    <w:next w:val="Normal"/>
    <w:autoRedefine/>
    <w:uiPriority w:val="39"/>
    <w:unhideWhenUsed/>
    <w:rsid w:val="00DE59BE"/>
    <w:pPr>
      <w:spacing w:before="120"/>
      <w:jc w:val="left"/>
    </w:pPr>
    <w:rPr>
      <w:rFonts w:eastAsiaTheme="minorHAnsi"/>
      <w:b/>
      <w:bCs/>
      <w:i/>
      <w:iCs/>
      <w:sz w:val="24"/>
      <w:szCs w:val="24"/>
    </w:rPr>
  </w:style>
  <w:style w:type="paragraph" w:styleId="TOCHeading">
    <w:name w:val="TOC Heading"/>
    <w:basedOn w:val="Heading1"/>
    <w:next w:val="Normal"/>
    <w:uiPriority w:val="39"/>
    <w:unhideWhenUsed/>
    <w:qFormat/>
    <w:rsid w:val="00DE59BE"/>
    <w:pPr>
      <w:widowControl/>
      <w:spacing w:before="480" w:after="0" w:line="276" w:lineRule="auto"/>
      <w:jc w:val="left"/>
      <w:outlineLvl w:val="9"/>
    </w:pPr>
    <w:rPr>
      <w:rFonts w:asciiTheme="majorHAnsi" w:eastAsiaTheme="majorEastAsia" w:hAnsiTheme="majorHAnsi" w:cstheme="majorBidi"/>
      <w:color w:val="2F5496" w:themeColor="accent1" w:themeShade="BF"/>
      <w:kern w:val="0"/>
      <w:sz w:val="28"/>
      <w:szCs w:val="28"/>
      <w:lang w:val="en-US" w:eastAsia="en-US"/>
    </w:rPr>
  </w:style>
  <w:style w:type="paragraph" w:customStyle="1" w:styleId="a">
    <w:name w:val="附件图表"/>
    <w:basedOn w:val="Heading5"/>
    <w:link w:val="a0"/>
    <w:qFormat/>
    <w:rsid w:val="0099517C"/>
    <w:pPr>
      <w:spacing w:before="0" w:after="0" w:line="415" w:lineRule="auto"/>
    </w:pPr>
    <w:rPr>
      <w:rFonts w:asciiTheme="majorHAnsi" w:eastAsiaTheme="majorEastAsia" w:hAnsiTheme="majorHAnsi" w:cstheme="majorBidi"/>
      <w:sz w:val="18"/>
      <w:szCs w:val="18"/>
      <w:lang w:val="en-GB"/>
    </w:rPr>
  </w:style>
  <w:style w:type="character" w:customStyle="1" w:styleId="a0">
    <w:name w:val="附件图表 字符"/>
    <w:basedOn w:val="Heading2Char"/>
    <w:link w:val="a"/>
    <w:rsid w:val="0099517C"/>
    <w:rPr>
      <w:rFonts w:asciiTheme="majorHAnsi" w:eastAsiaTheme="majorEastAsia" w:hAnsiTheme="majorHAnsi" w:cstheme="majorBidi"/>
      <w:b/>
      <w:bCs/>
      <w:sz w:val="18"/>
      <w:szCs w:val="18"/>
      <w:lang w:val="en-GB"/>
    </w:rPr>
  </w:style>
  <w:style w:type="paragraph" w:styleId="NoSpacing">
    <w:name w:val="No Spacing"/>
    <w:link w:val="NoSpacingChar"/>
    <w:uiPriority w:val="1"/>
    <w:qFormat/>
    <w:rsid w:val="00EE6D60"/>
    <w:rPr>
      <w:kern w:val="0"/>
      <w:sz w:val="22"/>
      <w:lang w:eastAsia="en-US"/>
    </w:rPr>
  </w:style>
  <w:style w:type="character" w:customStyle="1" w:styleId="NoSpacingChar">
    <w:name w:val="No Spacing Char"/>
    <w:basedOn w:val="DefaultParagraphFont"/>
    <w:link w:val="NoSpacing"/>
    <w:uiPriority w:val="1"/>
    <w:rsid w:val="00EE6D60"/>
    <w:rPr>
      <w:kern w:val="0"/>
      <w:sz w:val="22"/>
      <w:lang w:eastAsia="en-US"/>
    </w:rPr>
  </w:style>
  <w:style w:type="paragraph" w:styleId="TOC2">
    <w:name w:val="toc 2"/>
    <w:basedOn w:val="Normal"/>
    <w:next w:val="Normal"/>
    <w:autoRedefine/>
    <w:uiPriority w:val="39"/>
    <w:unhideWhenUsed/>
    <w:rsid w:val="00EE6D60"/>
    <w:pPr>
      <w:spacing w:before="120"/>
      <w:ind w:left="210"/>
      <w:jc w:val="left"/>
    </w:pPr>
    <w:rPr>
      <w:rFonts w:eastAsiaTheme="minorHAnsi"/>
      <w:b/>
      <w:bCs/>
      <w:sz w:val="22"/>
    </w:rPr>
  </w:style>
  <w:style w:type="paragraph" w:styleId="TOC3">
    <w:name w:val="toc 3"/>
    <w:basedOn w:val="Normal"/>
    <w:next w:val="Normal"/>
    <w:autoRedefine/>
    <w:uiPriority w:val="39"/>
    <w:unhideWhenUsed/>
    <w:rsid w:val="00EE6D60"/>
    <w:pPr>
      <w:ind w:left="420"/>
      <w:jc w:val="left"/>
    </w:pPr>
    <w:rPr>
      <w:rFonts w:eastAsiaTheme="minorHAnsi"/>
      <w:sz w:val="20"/>
      <w:szCs w:val="20"/>
    </w:rPr>
  </w:style>
  <w:style w:type="paragraph" w:styleId="TOC4">
    <w:name w:val="toc 4"/>
    <w:basedOn w:val="Normal"/>
    <w:next w:val="Normal"/>
    <w:autoRedefine/>
    <w:uiPriority w:val="39"/>
    <w:unhideWhenUsed/>
    <w:rsid w:val="00A71EB0"/>
    <w:pPr>
      <w:ind w:left="630"/>
      <w:jc w:val="left"/>
    </w:pPr>
    <w:rPr>
      <w:rFonts w:eastAsiaTheme="minorHAnsi"/>
      <w:sz w:val="20"/>
      <w:szCs w:val="20"/>
    </w:rPr>
  </w:style>
  <w:style w:type="paragraph" w:styleId="TOC5">
    <w:name w:val="toc 5"/>
    <w:basedOn w:val="Normal"/>
    <w:next w:val="Normal"/>
    <w:autoRedefine/>
    <w:uiPriority w:val="39"/>
    <w:unhideWhenUsed/>
    <w:rsid w:val="00A71EB0"/>
    <w:pPr>
      <w:ind w:left="840"/>
      <w:jc w:val="left"/>
    </w:pPr>
    <w:rPr>
      <w:rFonts w:eastAsiaTheme="minorHAnsi"/>
      <w:sz w:val="20"/>
      <w:szCs w:val="20"/>
    </w:rPr>
  </w:style>
  <w:style w:type="paragraph" w:styleId="TOC6">
    <w:name w:val="toc 6"/>
    <w:basedOn w:val="Normal"/>
    <w:next w:val="Normal"/>
    <w:autoRedefine/>
    <w:uiPriority w:val="39"/>
    <w:unhideWhenUsed/>
    <w:rsid w:val="00A71EB0"/>
    <w:pPr>
      <w:ind w:left="1050"/>
      <w:jc w:val="left"/>
    </w:pPr>
    <w:rPr>
      <w:rFonts w:eastAsiaTheme="minorHAnsi"/>
      <w:sz w:val="20"/>
      <w:szCs w:val="20"/>
    </w:rPr>
  </w:style>
  <w:style w:type="paragraph" w:styleId="TOC7">
    <w:name w:val="toc 7"/>
    <w:basedOn w:val="Normal"/>
    <w:next w:val="Normal"/>
    <w:autoRedefine/>
    <w:uiPriority w:val="39"/>
    <w:unhideWhenUsed/>
    <w:rsid w:val="00A71EB0"/>
    <w:pPr>
      <w:ind w:left="1260"/>
      <w:jc w:val="left"/>
    </w:pPr>
    <w:rPr>
      <w:rFonts w:eastAsiaTheme="minorHAnsi"/>
      <w:sz w:val="20"/>
      <w:szCs w:val="20"/>
    </w:rPr>
  </w:style>
  <w:style w:type="paragraph" w:styleId="TOC8">
    <w:name w:val="toc 8"/>
    <w:basedOn w:val="Normal"/>
    <w:next w:val="Normal"/>
    <w:autoRedefine/>
    <w:uiPriority w:val="39"/>
    <w:unhideWhenUsed/>
    <w:rsid w:val="00A71EB0"/>
    <w:pPr>
      <w:ind w:left="1470"/>
      <w:jc w:val="left"/>
    </w:pPr>
    <w:rPr>
      <w:rFonts w:eastAsiaTheme="minorHAnsi"/>
      <w:sz w:val="20"/>
      <w:szCs w:val="20"/>
    </w:rPr>
  </w:style>
  <w:style w:type="paragraph" w:styleId="TOC9">
    <w:name w:val="toc 9"/>
    <w:basedOn w:val="Normal"/>
    <w:next w:val="Normal"/>
    <w:autoRedefine/>
    <w:uiPriority w:val="39"/>
    <w:unhideWhenUsed/>
    <w:rsid w:val="00A71EB0"/>
    <w:pPr>
      <w:ind w:left="1680"/>
      <w:jc w:val="left"/>
    </w:pPr>
    <w:rPr>
      <w:rFonts w:eastAsiaTheme="minorHAnsi"/>
      <w:sz w:val="20"/>
      <w:szCs w:val="20"/>
    </w:rPr>
  </w:style>
  <w:style w:type="character" w:styleId="LineNumber">
    <w:name w:val="line number"/>
    <w:basedOn w:val="DefaultParagraphFont"/>
    <w:uiPriority w:val="99"/>
    <w:semiHidden/>
    <w:unhideWhenUsed/>
    <w:rsid w:val="00247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5054">
      <w:bodyDiv w:val="1"/>
      <w:marLeft w:val="0"/>
      <w:marRight w:val="0"/>
      <w:marTop w:val="0"/>
      <w:marBottom w:val="0"/>
      <w:divBdr>
        <w:top w:val="none" w:sz="0" w:space="0" w:color="auto"/>
        <w:left w:val="none" w:sz="0" w:space="0" w:color="auto"/>
        <w:bottom w:val="none" w:sz="0" w:space="0" w:color="auto"/>
        <w:right w:val="none" w:sz="0" w:space="0" w:color="auto"/>
      </w:divBdr>
    </w:div>
    <w:div w:id="201940863">
      <w:bodyDiv w:val="1"/>
      <w:marLeft w:val="0"/>
      <w:marRight w:val="0"/>
      <w:marTop w:val="0"/>
      <w:marBottom w:val="0"/>
      <w:divBdr>
        <w:top w:val="none" w:sz="0" w:space="0" w:color="auto"/>
        <w:left w:val="none" w:sz="0" w:space="0" w:color="auto"/>
        <w:bottom w:val="none" w:sz="0" w:space="0" w:color="auto"/>
        <w:right w:val="none" w:sz="0" w:space="0" w:color="auto"/>
      </w:divBdr>
      <w:divsChild>
        <w:div w:id="154339403">
          <w:marLeft w:val="360"/>
          <w:marRight w:val="0"/>
          <w:marTop w:val="200"/>
          <w:marBottom w:val="0"/>
          <w:divBdr>
            <w:top w:val="none" w:sz="0" w:space="0" w:color="auto"/>
            <w:left w:val="none" w:sz="0" w:space="0" w:color="auto"/>
            <w:bottom w:val="none" w:sz="0" w:space="0" w:color="auto"/>
            <w:right w:val="none" w:sz="0" w:space="0" w:color="auto"/>
          </w:divBdr>
        </w:div>
        <w:div w:id="1003627559">
          <w:marLeft w:val="360"/>
          <w:marRight w:val="0"/>
          <w:marTop w:val="200"/>
          <w:marBottom w:val="0"/>
          <w:divBdr>
            <w:top w:val="none" w:sz="0" w:space="0" w:color="auto"/>
            <w:left w:val="none" w:sz="0" w:space="0" w:color="auto"/>
            <w:bottom w:val="none" w:sz="0" w:space="0" w:color="auto"/>
            <w:right w:val="none" w:sz="0" w:space="0" w:color="auto"/>
          </w:divBdr>
        </w:div>
        <w:div w:id="800615936">
          <w:marLeft w:val="360"/>
          <w:marRight w:val="0"/>
          <w:marTop w:val="200"/>
          <w:marBottom w:val="0"/>
          <w:divBdr>
            <w:top w:val="none" w:sz="0" w:space="0" w:color="auto"/>
            <w:left w:val="none" w:sz="0" w:space="0" w:color="auto"/>
            <w:bottom w:val="none" w:sz="0" w:space="0" w:color="auto"/>
            <w:right w:val="none" w:sz="0" w:space="0" w:color="auto"/>
          </w:divBdr>
        </w:div>
      </w:divsChild>
    </w:div>
    <w:div w:id="266230786">
      <w:bodyDiv w:val="1"/>
      <w:marLeft w:val="0"/>
      <w:marRight w:val="0"/>
      <w:marTop w:val="0"/>
      <w:marBottom w:val="0"/>
      <w:divBdr>
        <w:top w:val="none" w:sz="0" w:space="0" w:color="auto"/>
        <w:left w:val="none" w:sz="0" w:space="0" w:color="auto"/>
        <w:bottom w:val="none" w:sz="0" w:space="0" w:color="auto"/>
        <w:right w:val="none" w:sz="0" w:space="0" w:color="auto"/>
      </w:divBdr>
    </w:div>
    <w:div w:id="1057440679">
      <w:bodyDiv w:val="1"/>
      <w:marLeft w:val="0"/>
      <w:marRight w:val="0"/>
      <w:marTop w:val="0"/>
      <w:marBottom w:val="0"/>
      <w:divBdr>
        <w:top w:val="none" w:sz="0" w:space="0" w:color="auto"/>
        <w:left w:val="none" w:sz="0" w:space="0" w:color="auto"/>
        <w:bottom w:val="none" w:sz="0" w:space="0" w:color="auto"/>
        <w:right w:val="none" w:sz="0" w:space="0" w:color="auto"/>
      </w:divBdr>
    </w:div>
    <w:div w:id="131409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C9DCF-A3A7-4B63-8772-0FFB6C693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3152</Words>
  <Characters>17968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Lam</dc:creator>
  <cp:keywords/>
  <dc:description/>
  <cp:lastModifiedBy>Pascal LIN</cp:lastModifiedBy>
  <cp:revision>34</cp:revision>
  <cp:lastPrinted>2023-06-08T02:23:00Z</cp:lastPrinted>
  <dcterms:created xsi:type="dcterms:W3CDTF">2023-06-14T03:21:00Z</dcterms:created>
  <dcterms:modified xsi:type="dcterms:W3CDTF">2023-08-30T05:41:00Z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Comorbidities Cluster</vt:lpwstr>
  </property>
  <property fmtid="{D5CDD505-2E9C-101B-9397-08002B2CF9AE}" pid="3" name="CitaviDocumentProperty_0">
    <vt:lpwstr>9c38569f-f307-448e-93e2-0996a63debe9</vt:lpwstr>
  </property>
  <property fmtid="{D5CDD505-2E9C-101B-9397-08002B2CF9AE}" pid="4" name="CitaviDocumentProperty_6">
    <vt:lpwstr>False</vt:lpwstr>
  </property>
  <property fmtid="{D5CDD505-2E9C-101B-9397-08002B2CF9AE}" pid="5" name="CitaviDocumentProperty_1">
    <vt:lpwstr>6.3.0.0</vt:lpwstr>
  </property>
  <property fmtid="{D5CDD505-2E9C-101B-9397-08002B2CF9AE}" pid="6" name="CitaviDocumentProperty_8">
    <vt:lpwstr>D:\OneDrive - Edith Cowan University\1-研究资料\comorbidities cluster\Comorbidities Cluster.ctv6</vt:lpwstr>
  </property>
</Properties>
</file>