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E6551" w:rsidRDefault="0037023D" w:rsidP="009E6551">
      <w:pPr>
        <w:pStyle w:val="Heading2"/>
        <w:numPr>
          <w:ilvl w:val="0"/>
          <w:numId w:val="0"/>
        </w:numPr>
      </w:pPr>
      <w:bookmarkStart w:id="0" w:name="_Ref26289708"/>
      <w:r>
        <w:t>Additional</w:t>
      </w:r>
      <w:r w:rsidR="009E6551">
        <w:t xml:space="preserve"> </w:t>
      </w:r>
      <w:r w:rsidR="00F25FFB">
        <w:t>f</w:t>
      </w:r>
      <w:r w:rsidR="009E6551">
        <w:t xml:space="preserve">ile </w:t>
      </w:r>
      <w:r w:rsidR="00BA0011">
        <w:t>6</w:t>
      </w:r>
      <w:bookmarkStart w:id="1" w:name="_GoBack"/>
      <w:bookmarkEnd w:id="1"/>
      <w:r w:rsidR="009E6551">
        <w:t>: Validation of the clinical indication classifier</w:t>
      </w:r>
      <w:bookmarkEnd w:id="0"/>
    </w:p>
    <w:p w:rsidR="009E6551" w:rsidRDefault="009E6551" w:rsidP="009E6551">
      <w:pPr>
        <w:spacing w:line="276" w:lineRule="auto"/>
        <w:rPr>
          <w:rFonts w:cs="Arial"/>
        </w:rPr>
      </w:pPr>
      <w:r w:rsidRPr="006724AB">
        <w:rPr>
          <w:rFonts w:cs="Arial"/>
        </w:rPr>
        <w:t>Using the caret</w:t>
      </w:r>
      <w:r>
        <w:rPr>
          <w:rFonts w:cs="Arial"/>
        </w:rPr>
        <w:t xml:space="preserve"> R </w:t>
      </w:r>
      <w:r w:rsidRPr="006724AB">
        <w:rPr>
          <w:rFonts w:cs="Arial"/>
        </w:rPr>
        <w:t xml:space="preserve">library </w:t>
      </w:r>
      <w:r w:rsidRPr="006724AB">
        <w:rPr>
          <w:rFonts w:cs="Arial"/>
        </w:rPr>
        <w:fldChar w:fldCharType="begin" w:fldLock="1"/>
      </w:r>
      <w:r>
        <w:rPr>
          <w:rFonts w:cs="Arial"/>
        </w:rPr>
        <w:instrText>ADDIN CSL_CITATION {"citationItems":[{"id":"ITEM-1","itemData":{"DOI":"10.18637/jss.v028.i05","ISSN":"1548-7660","abstract":"The caret package, short for classification and regression training, contains numerous tools for developing predictive models using the rich set of models available in R. The package focuses on simplifying model training and tuning across a wide variety of modeling techniques. It also includes methods for pre-processing training data, calculating variable importance, and model visualizations. An example from computational chemistry is used to illustrate the functionality on a real data set and to benchmark the benefits of parallel processing with several types of models.","author":[{"dropping-particle":"","family":"Kuhn","given":"Max","non-dropping-particle":"","parse-names":false,"suffix":""}],"container-title":"Journal of Statistical Software","id":"ITEM-1","issue":"5","issued":{"date-parts":[["2008"]]},"page":"1-26","title":"Building Predictive Models in R Using the caret Package","type":"article-journal","volume":"28"},"uris":["http://www.mendeley.com/documents/?uuid=bfb7bb9d-313e-496e-bd61-07ca199e36f7"]},{"id":"ITEM-2","itemData":{"author":[{"dropping-particle":"","family":"Kuhn","given":"Max","non-dropping-particle":"","parse-names":false,"suffix":""},{"dropping-particle":"","family":"Wing","given":"Jed","non-dropping-particle":"","parse-names":false,"suffix":""},{"dropping-particle":"","family":"Weston","given":"Steve","non-dropping-particle":"","parse-names":false,"suffix":""},{"dropping-particle":"","family":"Williams","given":"Andre","non-dropping-particle":"","parse-names":false,"suffix":""},{"dropping-particle":"","family":"Keefer","given":"Chris","non-dropping-particle":"","parse-names":false,"suffix":""},{"dropping-particle":"","family":"Engelhardt","given":"Allan","non-dropping-particle":"","parse-names":false,"suffix":""},{"dropping-particle":"","family":"Cooper","given":"Tony","non-dropping-particle":"","parse-names":false,"suffix":""},{"dropping-particle":"","family":"Mayer","given":"Zachary","non-dropping-particle":"","parse-names":false,"suffix":""},{"dropping-particle":"","family":"Kenkel","given":"Brenton","non-dropping-particle":"","parse-names":false,"suffix":""},{"dropping-particle":"","family":"Benesty","given":"Michael","non-dropping-particle":"","parse-names":false,"suffix":""},{"dropping-particle":"","family":"Lescarbeau","given":"Reynald","non-dropping-particle":"","parse-names":false,"suffix":""},{"dropping-particle":"","family":"Ziem","given":"Andrew","non-dropping-particle":"","parse-names":false,"suffix":""},{"dropping-particle":"","family":"Scrucca","given":"Luca","non-dropping-particle":"","parse-names":false,"suffix":""},{"dropping-particle":"","family":"Tang","given":"Yuan","non-dropping-particle":"","parse-names":false,"suffix":""},{"dropping-particle":"","family":"Candan","given":"Can","non-dropping-particle":"","parse-names":false,"suffix":""},{"dropping-particle":"","family":"Hunt","given":"Tyler","non-dropping-particle":"","parse-names":false,"suffix":""}],"id":"ITEM-2","issued":{"date-parts":[["2019"]]},"note":"R package version 6.0-84","title":"caret: Classification and Regression Training","type":"article"},"uris":["http://www.mendeley.com/documents/?uuid=6318c996-e516-4b0f-b533-38a4ea3d1704"]}],"mendeley":{"formattedCitation":"(Kuhn, 2008; Kuhn et al., 2019)","plainTextFormattedCitation":"(Kuhn, 2008; Kuhn et al., 2019)","previouslyFormattedCitation":"[53, 54]"},"properties":{"noteIndex":0},"schema":"https://github.com/citation-style-language/schema/raw/master/csl-citation.json"}</w:instrText>
      </w:r>
      <w:r w:rsidRPr="006724AB">
        <w:rPr>
          <w:rFonts w:cs="Arial"/>
        </w:rPr>
        <w:fldChar w:fldCharType="separate"/>
      </w:r>
      <w:r w:rsidRPr="009E6551">
        <w:rPr>
          <w:rFonts w:cs="Arial"/>
          <w:noProof/>
        </w:rPr>
        <w:t>(Kuhn, 2008; Kuhn et al., 2019)</w:t>
      </w:r>
      <w:r w:rsidRPr="006724AB">
        <w:rPr>
          <w:rFonts w:cs="Arial"/>
        </w:rPr>
        <w:fldChar w:fldCharType="end"/>
      </w:r>
      <w:r>
        <w:rPr>
          <w:rFonts w:cs="Arial"/>
        </w:rPr>
        <w:t xml:space="preserve">, </w:t>
      </w:r>
      <w:r>
        <w:t>s</w:t>
      </w:r>
      <w:r w:rsidRPr="006724AB">
        <w:rPr>
          <w:rFonts w:cs="Arial"/>
        </w:rPr>
        <w:t>even common classifiers</w:t>
      </w:r>
      <w:r>
        <w:t xml:space="preserve"> </w:t>
      </w:r>
      <w:r w:rsidRPr="006724AB">
        <w:rPr>
          <w:rFonts w:cs="Arial"/>
        </w:rPr>
        <w:t xml:space="preserve">were considered: naïve Bayes, </w:t>
      </w:r>
      <w:r w:rsidRPr="006724AB">
        <w:rPr>
          <w:rFonts w:cs="Arial"/>
          <w:i/>
        </w:rPr>
        <w:t>k</w:t>
      </w:r>
      <w:r w:rsidRPr="006724AB">
        <w:rPr>
          <w:rFonts w:cs="Arial"/>
        </w:rPr>
        <w:t>-nearest neighbours, linear discriminant analysis, support vector machine, random forest, boosted classification trees, stochastic gradient boosting.</w:t>
      </w:r>
      <w:r>
        <w:rPr>
          <w:rFonts w:cs="Arial"/>
        </w:rPr>
        <w:t xml:space="preserve"> </w:t>
      </w:r>
    </w:p>
    <w:p w:rsidR="009E6551" w:rsidRPr="006724AB" w:rsidRDefault="009E6551" w:rsidP="009E6551">
      <w:pPr>
        <w:spacing w:line="276" w:lineRule="auto"/>
        <w:rPr>
          <w:rFonts w:cs="Arial"/>
        </w:rPr>
      </w:pPr>
      <w:r w:rsidRPr="006724AB">
        <w:rPr>
          <w:rFonts w:cs="Arial"/>
        </w:rPr>
        <w:t xml:space="preserve">Predictors consisted of 218 variables describing dose and duration for every drug in a list of 40 </w:t>
      </w:r>
      <w:proofErr w:type="spellStart"/>
      <w:r w:rsidRPr="006724AB">
        <w:rPr>
          <w:rFonts w:cs="Arial"/>
        </w:rPr>
        <w:t>antibacterials</w:t>
      </w:r>
      <w:proofErr w:type="spellEnd"/>
      <w:r w:rsidRPr="006724AB">
        <w:rPr>
          <w:rFonts w:cs="Arial"/>
        </w:rPr>
        <w:t>; initiation of therapy after 48h (indication of hospital-acquired infection), and discharge summary diagnosis codes for infections grouped into broad categories (e.g. urinary tract infection; supplementary material</w:t>
      </w:r>
      <w:r>
        <w:rPr>
          <w:rFonts w:cs="Arial"/>
        </w:rPr>
        <w:t xml:space="preserve"> </w:t>
      </w:r>
      <w:r w:rsidRPr="006724AB">
        <w:rPr>
          <w:rFonts w:cs="Arial"/>
        </w:rPr>
        <w:fldChar w:fldCharType="begin"/>
      </w:r>
      <w:r w:rsidRPr="006724AB">
        <w:rPr>
          <w:rFonts w:cs="Arial"/>
        </w:rPr>
        <w:instrText xml:space="preserve"> REF _Ref6225686 \r \h </w:instrText>
      </w:r>
      <w:r>
        <w:rPr>
          <w:rFonts w:cs="Arial"/>
        </w:rPr>
        <w:instrText xml:space="preserve"> \* MERGEFORMAT </w:instrText>
      </w:r>
      <w:r w:rsidRPr="006724AB">
        <w:rPr>
          <w:rFonts w:cs="Arial"/>
        </w:rPr>
      </w:r>
      <w:r w:rsidRPr="006724AB">
        <w:rPr>
          <w:rFonts w:cs="Arial"/>
        </w:rPr>
        <w:fldChar w:fldCharType="separate"/>
      </w:r>
      <w:r>
        <w:rPr>
          <w:rFonts w:cs="Arial"/>
        </w:rPr>
        <w:t>6.4</w:t>
      </w:r>
      <w:r w:rsidRPr="006724AB">
        <w:rPr>
          <w:rFonts w:cs="Arial"/>
        </w:rPr>
        <w:fldChar w:fldCharType="end"/>
      </w:r>
      <w:r w:rsidRPr="006724AB">
        <w:rPr>
          <w:rFonts w:cs="Arial"/>
        </w:rPr>
        <w:t xml:space="preserve">). After elimination of near zero-variance variables, 41 predictors were used. The best-performing classifier was identified based on overall accuracy and class-specific balanced accuracies. </w:t>
      </w:r>
    </w:p>
    <w:p w:rsidR="009E6551" w:rsidRDefault="009E6551" w:rsidP="009E6551">
      <w:pPr>
        <w:spacing w:line="276" w:lineRule="auto"/>
        <w:rPr>
          <w:rFonts w:cs="Arial"/>
        </w:rPr>
      </w:pPr>
      <w:r w:rsidRPr="006724AB">
        <w:rPr>
          <w:rFonts w:cs="Arial"/>
        </w:rPr>
        <w:t xml:space="preserve">Evaluation of classifiers the stratified repeated 5-fold cross-validation showed the random forest classifier (500 trees, </w:t>
      </w:r>
      <w:proofErr w:type="spellStart"/>
      <w:r w:rsidRPr="006724AB">
        <w:rPr>
          <w:rFonts w:cs="Arial"/>
        </w:rPr>
        <w:t>mtry</w:t>
      </w:r>
      <w:proofErr w:type="spellEnd"/>
      <w:r w:rsidRPr="006724AB">
        <w:rPr>
          <w:rFonts w:cs="Arial"/>
        </w:rPr>
        <w:t>=5) produced the greatest accuracy as well as balanced accuracy over the main infection types (</w:t>
      </w:r>
      <w:r w:rsidRPr="006724AB">
        <w:rPr>
          <w:rFonts w:cs="Arial"/>
        </w:rPr>
        <w:fldChar w:fldCharType="begin"/>
      </w:r>
      <w:r w:rsidRPr="006724AB">
        <w:rPr>
          <w:rFonts w:cs="Arial"/>
        </w:rPr>
        <w:instrText xml:space="preserve"> REF _Ref24976368 \r \h </w:instrText>
      </w:r>
      <w:r>
        <w:rPr>
          <w:rFonts w:cs="Arial"/>
        </w:rPr>
        <w:instrText xml:space="preserve"> \* MERGEFORMAT </w:instrText>
      </w:r>
      <w:r w:rsidRPr="006724AB">
        <w:rPr>
          <w:rFonts w:cs="Arial"/>
        </w:rPr>
      </w:r>
      <w:r w:rsidRPr="006724AB">
        <w:rPr>
          <w:rFonts w:cs="Arial"/>
        </w:rPr>
        <w:fldChar w:fldCharType="separate"/>
      </w:r>
      <w:r>
        <w:rPr>
          <w:rFonts w:cs="Arial"/>
        </w:rPr>
        <w:t>Table 7</w:t>
      </w:r>
      <w:r w:rsidRPr="006724AB">
        <w:rPr>
          <w:rFonts w:cs="Arial"/>
        </w:rPr>
        <w:fldChar w:fldCharType="end"/>
      </w:r>
      <w:r w:rsidRPr="006724AB">
        <w:rPr>
          <w:rFonts w:cs="Arial"/>
        </w:rPr>
        <w:t xml:space="preserve">). The overall accuracy was 59% </w:t>
      </w:r>
      <w:r>
        <w:rPr>
          <w:rFonts w:cs="Arial"/>
        </w:rPr>
        <w:t xml:space="preserve">[95% CI: </w:t>
      </w:r>
      <w:r w:rsidRPr="006724AB">
        <w:rPr>
          <w:rFonts w:cs="Arial"/>
        </w:rPr>
        <w:t>59%; 59%]. Balanced accuracy was higher with</w:t>
      </w:r>
      <w:r w:rsidRPr="00C870A0">
        <w:rPr>
          <w:i/>
        </w:rPr>
        <w:t xml:space="preserve"> </w:t>
      </w:r>
      <w:r w:rsidRPr="006724AB">
        <w:rPr>
          <w:rFonts w:cs="Arial"/>
        </w:rPr>
        <w:t>community-acquired pneumonia (82%); skin/soft tissue infections (83%); and urinary infections (79%); each of those with a precision in excess of 60%. These three conditions together amount for 47% (</w:t>
      </w:r>
      <w:r w:rsidRPr="00471D2F">
        <w:rPr>
          <w:rFonts w:cs="Arial"/>
        </w:rPr>
        <w:t>n</w:t>
      </w:r>
      <w:r w:rsidRPr="006724AB">
        <w:rPr>
          <w:rFonts w:cs="Arial"/>
        </w:rPr>
        <w:t>=1,349) of the 2,901 episodes reviewed by pharmacists.</w:t>
      </w:r>
    </w:p>
    <w:p w:rsidR="009E6551" w:rsidRPr="006724AB" w:rsidRDefault="009E6551" w:rsidP="009E6551">
      <w:pPr>
        <w:spacing w:line="276" w:lineRule="auto"/>
        <w:rPr>
          <w:rFonts w:cs="Arial"/>
        </w:rPr>
      </w:pPr>
    </w:p>
    <w:p w:rsidR="009E6551" w:rsidRPr="006724AB" w:rsidRDefault="009E6551" w:rsidP="009E6551">
      <w:pPr>
        <w:pStyle w:val="tables"/>
        <w:spacing w:line="276" w:lineRule="auto"/>
        <w:rPr>
          <w:rFonts w:cs="Arial"/>
        </w:rPr>
      </w:pPr>
      <w:bookmarkStart w:id="2" w:name="_Ref24976368"/>
      <w:r w:rsidRPr="006724AB">
        <w:rPr>
          <w:rFonts w:cs="Arial"/>
        </w:rPr>
        <w:t>Predictive analytics of random forest classifier of indication under stratified 5-fold cross-validation (</w:t>
      </w:r>
      <w:r w:rsidRPr="00471D2F">
        <w:rPr>
          <w:rFonts w:cs="Arial"/>
        </w:rPr>
        <w:t>n</w:t>
      </w:r>
      <w:r w:rsidRPr="006724AB">
        <w:rPr>
          <w:rFonts w:cs="Arial"/>
        </w:rPr>
        <w:t>=2,901)</w:t>
      </w:r>
      <w:bookmarkEnd w:id="2"/>
    </w:p>
    <w:tbl>
      <w:tblPr>
        <w:tblW w:w="8594" w:type="dxa"/>
        <w:tblLayout w:type="fixed"/>
        <w:tblLook w:val="04A0" w:firstRow="1" w:lastRow="0" w:firstColumn="1" w:lastColumn="0" w:noHBand="0" w:noVBand="1"/>
      </w:tblPr>
      <w:tblGrid>
        <w:gridCol w:w="2835"/>
        <w:gridCol w:w="1134"/>
        <w:gridCol w:w="1276"/>
        <w:gridCol w:w="1331"/>
        <w:gridCol w:w="1247"/>
        <w:gridCol w:w="771"/>
      </w:tblGrid>
      <w:tr w:rsidR="009E6551" w:rsidRPr="006724AB" w:rsidTr="002C665B">
        <w:trPr>
          <w:trHeight w:val="288"/>
        </w:trPr>
        <w:tc>
          <w:tcPr>
            <w:tcW w:w="2835" w:type="dxa"/>
            <w:tcBorders>
              <w:top w:val="single" w:sz="4" w:space="0" w:color="auto"/>
              <w:left w:val="nil"/>
              <w:bottom w:val="single" w:sz="4" w:space="0" w:color="auto"/>
              <w:right w:val="nil"/>
            </w:tcBorders>
            <w:shd w:val="clear" w:color="auto" w:fill="auto"/>
            <w:noWrap/>
            <w:vAlign w:val="bottom"/>
            <w:hideMark/>
          </w:tcPr>
          <w:p w:rsidR="009E6551" w:rsidRPr="00C870A0" w:rsidRDefault="009E6551" w:rsidP="002C665B">
            <w:pPr>
              <w:pStyle w:val="NoSpacing"/>
              <w:rPr>
                <w:b/>
              </w:rPr>
            </w:pPr>
            <w:r w:rsidRPr="00C870A0">
              <w:rPr>
                <w:b/>
              </w:rPr>
              <w:t>Clinical indication</w:t>
            </w:r>
          </w:p>
        </w:tc>
        <w:tc>
          <w:tcPr>
            <w:tcW w:w="1134" w:type="dxa"/>
            <w:tcBorders>
              <w:top w:val="single" w:sz="4" w:space="0" w:color="auto"/>
              <w:left w:val="nil"/>
              <w:bottom w:val="single" w:sz="4" w:space="0" w:color="auto"/>
              <w:right w:val="nil"/>
            </w:tcBorders>
            <w:shd w:val="clear" w:color="auto" w:fill="auto"/>
            <w:noWrap/>
            <w:vAlign w:val="bottom"/>
            <w:hideMark/>
          </w:tcPr>
          <w:p w:rsidR="009E6551" w:rsidRPr="00C870A0" w:rsidRDefault="009E6551" w:rsidP="002C665B">
            <w:pPr>
              <w:pStyle w:val="NoSpacing"/>
              <w:jc w:val="right"/>
              <w:rPr>
                <w:b/>
              </w:rPr>
            </w:pPr>
            <w:r w:rsidRPr="00C870A0">
              <w:rPr>
                <w:b/>
              </w:rPr>
              <w:t>Precision (PPV) (%)</w:t>
            </w:r>
          </w:p>
        </w:tc>
        <w:tc>
          <w:tcPr>
            <w:tcW w:w="1276" w:type="dxa"/>
            <w:tcBorders>
              <w:top w:val="single" w:sz="4" w:space="0" w:color="auto"/>
              <w:left w:val="nil"/>
              <w:bottom w:val="single" w:sz="4" w:space="0" w:color="auto"/>
              <w:right w:val="nil"/>
            </w:tcBorders>
            <w:shd w:val="clear" w:color="auto" w:fill="auto"/>
            <w:noWrap/>
            <w:vAlign w:val="bottom"/>
            <w:hideMark/>
          </w:tcPr>
          <w:p w:rsidR="009E6551" w:rsidRPr="00C870A0" w:rsidRDefault="009E6551" w:rsidP="002C665B">
            <w:pPr>
              <w:pStyle w:val="NoSpacing"/>
              <w:jc w:val="right"/>
              <w:rPr>
                <w:b/>
              </w:rPr>
            </w:pPr>
            <w:r w:rsidRPr="00C870A0">
              <w:rPr>
                <w:b/>
              </w:rPr>
              <w:t>NPV (%)</w:t>
            </w:r>
          </w:p>
        </w:tc>
        <w:tc>
          <w:tcPr>
            <w:tcW w:w="1331" w:type="dxa"/>
            <w:tcBorders>
              <w:top w:val="single" w:sz="4" w:space="0" w:color="auto"/>
              <w:left w:val="nil"/>
              <w:bottom w:val="single" w:sz="4" w:space="0" w:color="auto"/>
              <w:right w:val="nil"/>
            </w:tcBorders>
            <w:shd w:val="clear" w:color="auto" w:fill="auto"/>
            <w:noWrap/>
            <w:vAlign w:val="bottom"/>
            <w:hideMark/>
          </w:tcPr>
          <w:p w:rsidR="009E6551" w:rsidRPr="00C870A0" w:rsidRDefault="009E6551" w:rsidP="002C665B">
            <w:pPr>
              <w:pStyle w:val="NoSpacing"/>
              <w:jc w:val="right"/>
              <w:rPr>
                <w:b/>
              </w:rPr>
            </w:pPr>
            <w:r w:rsidRPr="00C870A0">
              <w:rPr>
                <w:b/>
              </w:rPr>
              <w:t>Recall (sensitivity) (%)</w:t>
            </w:r>
          </w:p>
        </w:tc>
        <w:tc>
          <w:tcPr>
            <w:tcW w:w="1247" w:type="dxa"/>
            <w:tcBorders>
              <w:top w:val="single" w:sz="4" w:space="0" w:color="auto"/>
              <w:left w:val="nil"/>
              <w:bottom w:val="single" w:sz="4" w:space="0" w:color="auto"/>
              <w:right w:val="nil"/>
            </w:tcBorders>
            <w:shd w:val="clear" w:color="auto" w:fill="auto"/>
            <w:noWrap/>
            <w:vAlign w:val="bottom"/>
            <w:hideMark/>
          </w:tcPr>
          <w:p w:rsidR="009E6551" w:rsidRPr="00C870A0" w:rsidRDefault="009E6551" w:rsidP="002C665B">
            <w:pPr>
              <w:pStyle w:val="NoSpacing"/>
              <w:jc w:val="right"/>
              <w:rPr>
                <w:b/>
              </w:rPr>
            </w:pPr>
            <w:r w:rsidRPr="00C870A0">
              <w:rPr>
                <w:b/>
              </w:rPr>
              <w:t>Balanced accuracy (%)</w:t>
            </w:r>
          </w:p>
        </w:tc>
        <w:tc>
          <w:tcPr>
            <w:tcW w:w="771" w:type="dxa"/>
            <w:tcBorders>
              <w:top w:val="single" w:sz="4" w:space="0" w:color="auto"/>
              <w:left w:val="nil"/>
              <w:bottom w:val="single" w:sz="4" w:space="0" w:color="auto"/>
              <w:right w:val="nil"/>
            </w:tcBorders>
            <w:shd w:val="clear" w:color="auto" w:fill="auto"/>
            <w:noWrap/>
            <w:vAlign w:val="bottom"/>
            <w:hideMark/>
          </w:tcPr>
          <w:p w:rsidR="009E6551" w:rsidRPr="00C870A0" w:rsidRDefault="009E6551" w:rsidP="002C665B">
            <w:pPr>
              <w:pStyle w:val="NoSpacing"/>
              <w:jc w:val="right"/>
              <w:rPr>
                <w:b/>
                <w:i/>
              </w:rPr>
            </w:pPr>
            <w:r w:rsidRPr="00C870A0">
              <w:rPr>
                <w:b/>
                <w:i/>
              </w:rPr>
              <w:t>n</w:t>
            </w:r>
          </w:p>
        </w:tc>
      </w:tr>
      <w:tr w:rsidR="009E6551" w:rsidRPr="006724AB" w:rsidTr="002C665B">
        <w:trPr>
          <w:trHeight w:val="288"/>
        </w:trPr>
        <w:tc>
          <w:tcPr>
            <w:tcW w:w="2835" w:type="dxa"/>
            <w:tcBorders>
              <w:top w:val="single" w:sz="4" w:space="0" w:color="auto"/>
              <w:left w:val="nil"/>
              <w:bottom w:val="nil"/>
              <w:right w:val="nil"/>
            </w:tcBorders>
            <w:shd w:val="clear" w:color="auto" w:fill="auto"/>
            <w:noWrap/>
            <w:vAlign w:val="bottom"/>
            <w:hideMark/>
          </w:tcPr>
          <w:p w:rsidR="009E6551" w:rsidRPr="00C870A0" w:rsidRDefault="009E6551" w:rsidP="002C665B">
            <w:pPr>
              <w:pStyle w:val="NoSpacing"/>
            </w:pPr>
            <w:r>
              <w:rPr>
                <w:color w:val="000000"/>
              </w:rPr>
              <w:t>Gastrointestinal infection</w:t>
            </w:r>
          </w:p>
        </w:tc>
        <w:tc>
          <w:tcPr>
            <w:tcW w:w="1134" w:type="dxa"/>
            <w:tcBorders>
              <w:top w:val="single" w:sz="4" w:space="0" w:color="auto"/>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2</w:t>
            </w:r>
            <w:r w:rsidRPr="006724AB">
              <w:rPr>
                <w:rFonts w:cs="Arial"/>
                <w:color w:val="000000"/>
              </w:rPr>
              <w:t>.8</w:t>
            </w:r>
          </w:p>
        </w:tc>
        <w:tc>
          <w:tcPr>
            <w:tcW w:w="1276" w:type="dxa"/>
            <w:tcBorders>
              <w:top w:val="single" w:sz="4" w:space="0" w:color="auto"/>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100.0</w:t>
            </w:r>
          </w:p>
        </w:tc>
        <w:tc>
          <w:tcPr>
            <w:tcW w:w="1331" w:type="dxa"/>
            <w:tcBorders>
              <w:top w:val="single" w:sz="4" w:space="0" w:color="auto"/>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61.5</w:t>
            </w:r>
          </w:p>
        </w:tc>
        <w:tc>
          <w:tcPr>
            <w:tcW w:w="1247" w:type="dxa"/>
            <w:tcBorders>
              <w:top w:val="single" w:sz="4" w:space="0" w:color="auto"/>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79.7</w:t>
            </w:r>
          </w:p>
        </w:tc>
        <w:tc>
          <w:tcPr>
            <w:tcW w:w="771" w:type="dxa"/>
            <w:tcBorders>
              <w:top w:val="single" w:sz="4" w:space="0" w:color="auto"/>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64</w:t>
            </w:r>
          </w:p>
        </w:tc>
      </w:tr>
      <w:tr w:rsidR="009E6551" w:rsidRPr="006724AB" w:rsidTr="002C665B">
        <w:trPr>
          <w:trHeight w:val="288"/>
        </w:trPr>
        <w:tc>
          <w:tcPr>
            <w:tcW w:w="2835" w:type="dxa"/>
            <w:tcBorders>
              <w:top w:val="nil"/>
              <w:left w:val="nil"/>
              <w:bottom w:val="nil"/>
              <w:right w:val="nil"/>
            </w:tcBorders>
            <w:shd w:val="clear" w:color="auto" w:fill="auto"/>
            <w:noWrap/>
            <w:vAlign w:val="bottom"/>
            <w:hideMark/>
          </w:tcPr>
          <w:p w:rsidR="009E6551" w:rsidRPr="004D357B" w:rsidRDefault="009E6551" w:rsidP="002C665B">
            <w:pPr>
              <w:pStyle w:val="NoSpacing"/>
            </w:pPr>
            <w:r w:rsidRPr="00C870A0">
              <w:rPr>
                <w:i/>
                <w:color w:val="000000"/>
              </w:rPr>
              <w:t>C</w:t>
            </w:r>
            <w:r>
              <w:rPr>
                <w:i/>
                <w:color w:val="000000"/>
              </w:rPr>
              <w:t>.</w:t>
            </w:r>
            <w:r w:rsidRPr="00C870A0">
              <w:rPr>
                <w:i/>
                <w:color w:val="000000"/>
              </w:rPr>
              <w:t xml:space="preserve"> difficile</w:t>
            </w:r>
            <w:r>
              <w:rPr>
                <w:i/>
                <w:color w:val="000000"/>
              </w:rPr>
              <w:t xml:space="preserve"> </w:t>
            </w:r>
            <w:r w:rsidRPr="004D357B">
              <w:rPr>
                <w:color w:val="000000"/>
              </w:rPr>
              <w:t>infection</w:t>
            </w:r>
          </w:p>
        </w:tc>
        <w:tc>
          <w:tcPr>
            <w:tcW w:w="1134"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53.3</w:t>
            </w:r>
          </w:p>
        </w:tc>
        <w:tc>
          <w:tcPr>
            <w:tcW w:w="1276"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98.8</w:t>
            </w:r>
          </w:p>
        </w:tc>
        <w:tc>
          <w:tcPr>
            <w:tcW w:w="133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61.</w:t>
            </w:r>
            <w:r w:rsidRPr="006724AB">
              <w:rPr>
                <w:rFonts w:cs="Arial"/>
                <w:color w:val="000000"/>
              </w:rPr>
              <w:t>6</w:t>
            </w:r>
          </w:p>
        </w:tc>
        <w:tc>
          <w:tcPr>
            <w:tcW w:w="1247"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80.0</w:t>
            </w:r>
          </w:p>
        </w:tc>
        <w:tc>
          <w:tcPr>
            <w:tcW w:w="77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101</w:t>
            </w:r>
          </w:p>
        </w:tc>
      </w:tr>
      <w:tr w:rsidR="009E6551" w:rsidRPr="006724AB" w:rsidTr="002C665B">
        <w:trPr>
          <w:trHeight w:val="288"/>
        </w:trPr>
        <w:tc>
          <w:tcPr>
            <w:tcW w:w="2835" w:type="dxa"/>
            <w:tcBorders>
              <w:top w:val="nil"/>
              <w:left w:val="nil"/>
              <w:bottom w:val="nil"/>
              <w:right w:val="nil"/>
            </w:tcBorders>
            <w:shd w:val="clear" w:color="auto" w:fill="auto"/>
            <w:noWrap/>
            <w:vAlign w:val="bottom"/>
            <w:hideMark/>
          </w:tcPr>
          <w:p w:rsidR="009E6551" w:rsidRPr="00C870A0" w:rsidRDefault="009E6551" w:rsidP="002C665B">
            <w:pPr>
              <w:pStyle w:val="NoSpacing"/>
            </w:pPr>
            <w:r w:rsidRPr="00C870A0">
              <w:rPr>
                <w:color w:val="000000"/>
              </w:rPr>
              <w:t>CAP</w:t>
            </w:r>
          </w:p>
        </w:tc>
        <w:tc>
          <w:tcPr>
            <w:tcW w:w="1134"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80.3</w:t>
            </w:r>
          </w:p>
        </w:tc>
        <w:tc>
          <w:tcPr>
            <w:tcW w:w="1276"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90.4</w:t>
            </w:r>
          </w:p>
        </w:tc>
        <w:tc>
          <w:tcPr>
            <w:tcW w:w="133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69.9</w:t>
            </w:r>
          </w:p>
        </w:tc>
        <w:tc>
          <w:tcPr>
            <w:tcW w:w="1247"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82.1</w:t>
            </w:r>
          </w:p>
        </w:tc>
        <w:tc>
          <w:tcPr>
            <w:tcW w:w="77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628</w:t>
            </w:r>
          </w:p>
        </w:tc>
      </w:tr>
      <w:tr w:rsidR="009E6551" w:rsidRPr="006724AB" w:rsidTr="002C665B">
        <w:trPr>
          <w:trHeight w:val="288"/>
        </w:trPr>
        <w:tc>
          <w:tcPr>
            <w:tcW w:w="2835" w:type="dxa"/>
            <w:tcBorders>
              <w:top w:val="nil"/>
              <w:left w:val="nil"/>
              <w:bottom w:val="nil"/>
              <w:right w:val="nil"/>
            </w:tcBorders>
            <w:shd w:val="clear" w:color="auto" w:fill="auto"/>
            <w:noWrap/>
            <w:vAlign w:val="bottom"/>
            <w:hideMark/>
          </w:tcPr>
          <w:p w:rsidR="009E6551" w:rsidRPr="00C870A0" w:rsidRDefault="009E6551" w:rsidP="002C665B">
            <w:pPr>
              <w:pStyle w:val="NoSpacing"/>
            </w:pPr>
            <w:r w:rsidRPr="00C870A0">
              <w:rPr>
                <w:color w:val="000000"/>
              </w:rPr>
              <w:t>HAP</w:t>
            </w:r>
          </w:p>
        </w:tc>
        <w:tc>
          <w:tcPr>
            <w:tcW w:w="1134"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rPr>
                <w:i/>
              </w:rPr>
            </w:pPr>
            <w:r w:rsidRPr="006724AB">
              <w:rPr>
                <w:rFonts w:cs="Arial"/>
                <w:color w:val="000000"/>
              </w:rPr>
              <w:t>42.8</w:t>
            </w:r>
          </w:p>
        </w:tc>
        <w:tc>
          <w:tcPr>
            <w:tcW w:w="1276"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96.2</w:t>
            </w:r>
          </w:p>
        </w:tc>
        <w:tc>
          <w:tcPr>
            <w:tcW w:w="133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43.9</w:t>
            </w:r>
          </w:p>
        </w:tc>
        <w:tc>
          <w:tcPr>
            <w:tcW w:w="1247"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70.0</w:t>
            </w:r>
          </w:p>
        </w:tc>
        <w:tc>
          <w:tcPr>
            <w:tcW w:w="77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189</w:t>
            </w:r>
          </w:p>
        </w:tc>
      </w:tr>
      <w:tr w:rsidR="009E6551" w:rsidRPr="006724AB" w:rsidTr="002C665B">
        <w:trPr>
          <w:trHeight w:val="288"/>
        </w:trPr>
        <w:tc>
          <w:tcPr>
            <w:tcW w:w="2835" w:type="dxa"/>
            <w:tcBorders>
              <w:top w:val="nil"/>
              <w:left w:val="nil"/>
              <w:right w:val="nil"/>
            </w:tcBorders>
            <w:shd w:val="clear" w:color="auto" w:fill="auto"/>
            <w:noWrap/>
            <w:vAlign w:val="bottom"/>
            <w:hideMark/>
          </w:tcPr>
          <w:p w:rsidR="009E6551" w:rsidRPr="00C870A0" w:rsidRDefault="009E6551" w:rsidP="002C665B">
            <w:pPr>
              <w:pStyle w:val="NoSpacing"/>
            </w:pPr>
            <w:r w:rsidRPr="00C870A0">
              <w:rPr>
                <w:color w:val="000000"/>
              </w:rPr>
              <w:t>Aspiration pneumonia</w:t>
            </w:r>
          </w:p>
        </w:tc>
        <w:tc>
          <w:tcPr>
            <w:tcW w:w="1134" w:type="dxa"/>
            <w:tcBorders>
              <w:top w:val="nil"/>
              <w:left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25.</w:t>
            </w:r>
            <w:r w:rsidRPr="006724AB">
              <w:rPr>
                <w:rFonts w:cs="Arial"/>
                <w:color w:val="000000"/>
              </w:rPr>
              <w:t>8</w:t>
            </w:r>
          </w:p>
        </w:tc>
        <w:tc>
          <w:tcPr>
            <w:tcW w:w="1276" w:type="dxa"/>
            <w:tcBorders>
              <w:top w:val="nil"/>
              <w:left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99.6</w:t>
            </w:r>
          </w:p>
        </w:tc>
        <w:tc>
          <w:tcPr>
            <w:tcW w:w="1331" w:type="dxa"/>
            <w:tcBorders>
              <w:top w:val="nil"/>
              <w:left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65.0</w:t>
            </w:r>
          </w:p>
        </w:tc>
        <w:tc>
          <w:tcPr>
            <w:tcW w:w="1247" w:type="dxa"/>
            <w:tcBorders>
              <w:top w:val="nil"/>
              <w:left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81.</w:t>
            </w:r>
            <w:r w:rsidRPr="006724AB">
              <w:rPr>
                <w:rFonts w:cs="Arial"/>
                <w:color w:val="000000"/>
              </w:rPr>
              <w:t>5</w:t>
            </w:r>
          </w:p>
        </w:tc>
        <w:tc>
          <w:tcPr>
            <w:tcW w:w="771" w:type="dxa"/>
            <w:tcBorders>
              <w:top w:val="nil"/>
              <w:left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73</w:t>
            </w:r>
          </w:p>
        </w:tc>
      </w:tr>
      <w:tr w:rsidR="009E6551" w:rsidRPr="006724AB" w:rsidTr="002C665B">
        <w:trPr>
          <w:trHeight w:val="288"/>
        </w:trPr>
        <w:tc>
          <w:tcPr>
            <w:tcW w:w="2835" w:type="dxa"/>
            <w:tcBorders>
              <w:top w:val="nil"/>
              <w:left w:val="nil"/>
              <w:bottom w:val="nil"/>
              <w:right w:val="nil"/>
            </w:tcBorders>
            <w:shd w:val="clear" w:color="auto" w:fill="auto"/>
            <w:noWrap/>
            <w:vAlign w:val="bottom"/>
            <w:hideMark/>
          </w:tcPr>
          <w:p w:rsidR="009E6551" w:rsidRPr="00C870A0" w:rsidRDefault="009E6551" w:rsidP="002C665B">
            <w:pPr>
              <w:pStyle w:val="NoSpacing"/>
            </w:pPr>
            <w:r w:rsidRPr="00C870A0">
              <w:rPr>
                <w:color w:val="000000"/>
              </w:rPr>
              <w:t>COPD</w:t>
            </w:r>
          </w:p>
        </w:tc>
        <w:tc>
          <w:tcPr>
            <w:tcW w:w="1134"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57.</w:t>
            </w:r>
            <w:r w:rsidRPr="006724AB">
              <w:rPr>
                <w:rFonts w:cs="Arial"/>
                <w:color w:val="000000"/>
              </w:rPr>
              <w:t>4</w:t>
            </w:r>
          </w:p>
        </w:tc>
        <w:tc>
          <w:tcPr>
            <w:tcW w:w="1276"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99.</w:t>
            </w:r>
            <w:r w:rsidRPr="006724AB">
              <w:rPr>
                <w:rFonts w:cs="Arial"/>
                <w:color w:val="000000"/>
              </w:rPr>
              <w:t>1</w:t>
            </w:r>
          </w:p>
        </w:tc>
        <w:tc>
          <w:tcPr>
            <w:tcW w:w="133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78.7</w:t>
            </w:r>
          </w:p>
        </w:tc>
        <w:tc>
          <w:tcPr>
            <w:tcW w:w="1247"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88.1</w:t>
            </w:r>
          </w:p>
        </w:tc>
        <w:tc>
          <w:tcPr>
            <w:tcW w:w="77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162</w:t>
            </w:r>
          </w:p>
        </w:tc>
      </w:tr>
      <w:tr w:rsidR="009E6551" w:rsidRPr="006724AB" w:rsidTr="002C665B">
        <w:trPr>
          <w:trHeight w:val="288"/>
        </w:trPr>
        <w:tc>
          <w:tcPr>
            <w:tcW w:w="2835" w:type="dxa"/>
            <w:tcBorders>
              <w:top w:val="nil"/>
              <w:left w:val="nil"/>
              <w:bottom w:val="nil"/>
              <w:right w:val="nil"/>
            </w:tcBorders>
            <w:shd w:val="clear" w:color="auto" w:fill="auto"/>
            <w:noWrap/>
            <w:vAlign w:val="bottom"/>
            <w:hideMark/>
          </w:tcPr>
          <w:p w:rsidR="009E6551" w:rsidRPr="00C870A0" w:rsidRDefault="009E6551" w:rsidP="002C665B">
            <w:pPr>
              <w:pStyle w:val="NoSpacing"/>
              <w:rPr>
                <w:highlight w:val="yellow"/>
              </w:rPr>
            </w:pPr>
            <w:r w:rsidRPr="00C870A0">
              <w:rPr>
                <w:color w:val="000000"/>
              </w:rPr>
              <w:t>SSTI</w:t>
            </w:r>
          </w:p>
        </w:tc>
        <w:tc>
          <w:tcPr>
            <w:tcW w:w="1134"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65.1</w:t>
            </w:r>
          </w:p>
        </w:tc>
        <w:tc>
          <w:tcPr>
            <w:tcW w:w="1276"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97.0</w:t>
            </w:r>
          </w:p>
        </w:tc>
        <w:tc>
          <w:tcPr>
            <w:tcW w:w="133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69.2</w:t>
            </w:r>
          </w:p>
        </w:tc>
        <w:tc>
          <w:tcPr>
            <w:tcW w:w="1247"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82.</w:t>
            </w:r>
            <w:r w:rsidRPr="006724AB">
              <w:rPr>
                <w:rFonts w:cs="Arial"/>
                <w:color w:val="000000"/>
              </w:rPr>
              <w:t>8</w:t>
            </w:r>
          </w:p>
        </w:tc>
        <w:tc>
          <w:tcPr>
            <w:tcW w:w="77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272</w:t>
            </w:r>
          </w:p>
        </w:tc>
      </w:tr>
      <w:tr w:rsidR="009E6551" w:rsidRPr="006724AB" w:rsidTr="002C665B">
        <w:trPr>
          <w:trHeight w:val="288"/>
        </w:trPr>
        <w:tc>
          <w:tcPr>
            <w:tcW w:w="2835" w:type="dxa"/>
            <w:tcBorders>
              <w:top w:val="nil"/>
              <w:left w:val="nil"/>
              <w:bottom w:val="nil"/>
              <w:right w:val="nil"/>
            </w:tcBorders>
            <w:shd w:val="clear" w:color="auto" w:fill="auto"/>
            <w:noWrap/>
            <w:vAlign w:val="bottom"/>
            <w:hideMark/>
          </w:tcPr>
          <w:p w:rsidR="009E6551" w:rsidRPr="00C870A0" w:rsidRDefault="009E6551" w:rsidP="002C665B">
            <w:pPr>
              <w:pStyle w:val="NoSpacing"/>
              <w:rPr>
                <w:highlight w:val="yellow"/>
              </w:rPr>
            </w:pPr>
            <w:r w:rsidRPr="00C870A0">
              <w:rPr>
                <w:color w:val="000000"/>
              </w:rPr>
              <w:t>Sepsis</w:t>
            </w:r>
          </w:p>
        </w:tc>
        <w:tc>
          <w:tcPr>
            <w:tcW w:w="1134"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6.3</w:t>
            </w:r>
          </w:p>
        </w:tc>
        <w:tc>
          <w:tcPr>
            <w:tcW w:w="1276"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99.</w:t>
            </w:r>
            <w:r w:rsidRPr="006724AB">
              <w:rPr>
                <w:rFonts w:cs="Arial"/>
                <w:color w:val="000000"/>
              </w:rPr>
              <w:t>2</w:t>
            </w:r>
          </w:p>
        </w:tc>
        <w:tc>
          <w:tcPr>
            <w:tcW w:w="133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34.2</w:t>
            </w:r>
          </w:p>
        </w:tc>
        <w:tc>
          <w:tcPr>
            <w:tcW w:w="1247"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6724AB">
              <w:rPr>
                <w:rFonts w:cs="Arial"/>
                <w:color w:val="000000"/>
              </w:rPr>
              <w:t>64.3</w:t>
            </w:r>
          </w:p>
        </w:tc>
        <w:tc>
          <w:tcPr>
            <w:tcW w:w="771" w:type="dxa"/>
            <w:tcBorders>
              <w:top w:val="nil"/>
              <w:left w:val="nil"/>
              <w:bottom w:val="nil"/>
              <w:right w:val="nil"/>
            </w:tcBorders>
            <w:shd w:val="clear" w:color="auto" w:fill="auto"/>
            <w:noWrap/>
            <w:vAlign w:val="bottom"/>
            <w:hideMark/>
          </w:tcPr>
          <w:p w:rsidR="009E6551" w:rsidRPr="00C870A0" w:rsidRDefault="009E6551" w:rsidP="002C665B">
            <w:pPr>
              <w:pStyle w:val="NoSpacing"/>
              <w:jc w:val="right"/>
            </w:pPr>
            <w:r w:rsidRPr="00C870A0">
              <w:rPr>
                <w:color w:val="000000"/>
              </w:rPr>
              <w:t>170</w:t>
            </w:r>
          </w:p>
        </w:tc>
      </w:tr>
      <w:tr w:rsidR="009E6551" w:rsidRPr="006724AB" w:rsidTr="002C665B">
        <w:trPr>
          <w:trHeight w:val="288"/>
        </w:trPr>
        <w:tc>
          <w:tcPr>
            <w:tcW w:w="2835" w:type="dxa"/>
            <w:tcBorders>
              <w:top w:val="nil"/>
              <w:left w:val="nil"/>
              <w:bottom w:val="nil"/>
              <w:right w:val="nil"/>
            </w:tcBorders>
            <w:shd w:val="clear" w:color="auto" w:fill="auto"/>
            <w:noWrap/>
            <w:vAlign w:val="bottom"/>
          </w:tcPr>
          <w:p w:rsidR="009E6551" w:rsidRPr="00C870A0" w:rsidRDefault="009E6551" w:rsidP="002C665B">
            <w:pPr>
              <w:pStyle w:val="NoSpacing"/>
              <w:rPr>
                <w:highlight w:val="yellow"/>
              </w:rPr>
            </w:pPr>
            <w:r>
              <w:rPr>
                <w:color w:val="000000"/>
              </w:rPr>
              <w:t>Urinary tract infection</w:t>
            </w:r>
          </w:p>
        </w:tc>
        <w:tc>
          <w:tcPr>
            <w:tcW w:w="1134" w:type="dxa"/>
            <w:tcBorders>
              <w:top w:val="nil"/>
              <w:left w:val="nil"/>
              <w:bottom w:val="nil"/>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61.6</w:t>
            </w:r>
          </w:p>
        </w:tc>
        <w:tc>
          <w:tcPr>
            <w:tcW w:w="1276" w:type="dxa"/>
            <w:tcBorders>
              <w:top w:val="nil"/>
              <w:left w:val="nil"/>
              <w:bottom w:val="nil"/>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94.1</w:t>
            </w:r>
          </w:p>
        </w:tc>
        <w:tc>
          <w:tcPr>
            <w:tcW w:w="1331" w:type="dxa"/>
            <w:tcBorders>
              <w:top w:val="nil"/>
              <w:left w:val="nil"/>
              <w:bottom w:val="nil"/>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65.5</w:t>
            </w:r>
          </w:p>
        </w:tc>
        <w:tc>
          <w:tcPr>
            <w:tcW w:w="1247" w:type="dxa"/>
            <w:tcBorders>
              <w:top w:val="nil"/>
              <w:left w:val="nil"/>
              <w:bottom w:val="nil"/>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79.3</w:t>
            </w:r>
          </w:p>
        </w:tc>
        <w:tc>
          <w:tcPr>
            <w:tcW w:w="771" w:type="dxa"/>
            <w:tcBorders>
              <w:top w:val="nil"/>
              <w:left w:val="nil"/>
              <w:bottom w:val="nil"/>
              <w:right w:val="nil"/>
            </w:tcBorders>
            <w:shd w:val="clear" w:color="auto" w:fill="auto"/>
            <w:noWrap/>
            <w:vAlign w:val="bottom"/>
          </w:tcPr>
          <w:p w:rsidR="009E6551" w:rsidRPr="00C870A0" w:rsidRDefault="009E6551" w:rsidP="002C665B">
            <w:pPr>
              <w:pStyle w:val="NoSpacing"/>
              <w:jc w:val="right"/>
            </w:pPr>
            <w:r w:rsidRPr="00C870A0">
              <w:rPr>
                <w:color w:val="000000"/>
              </w:rPr>
              <w:t>449</w:t>
            </w:r>
          </w:p>
        </w:tc>
      </w:tr>
      <w:tr w:rsidR="009E6551" w:rsidRPr="006724AB" w:rsidTr="002C665B">
        <w:trPr>
          <w:trHeight w:val="288"/>
        </w:trPr>
        <w:tc>
          <w:tcPr>
            <w:tcW w:w="2835" w:type="dxa"/>
            <w:tcBorders>
              <w:top w:val="nil"/>
              <w:left w:val="nil"/>
              <w:bottom w:val="single" w:sz="4" w:space="0" w:color="auto"/>
              <w:right w:val="nil"/>
            </w:tcBorders>
            <w:shd w:val="clear" w:color="auto" w:fill="auto"/>
            <w:noWrap/>
            <w:vAlign w:val="bottom"/>
          </w:tcPr>
          <w:p w:rsidR="009E6551" w:rsidRPr="00C870A0" w:rsidRDefault="009E6551" w:rsidP="002C665B">
            <w:pPr>
              <w:pStyle w:val="NoSpacing"/>
            </w:pPr>
            <w:r w:rsidRPr="00C870A0">
              <w:rPr>
                <w:color w:val="000000"/>
              </w:rPr>
              <w:t>Other</w:t>
            </w:r>
          </w:p>
        </w:tc>
        <w:tc>
          <w:tcPr>
            <w:tcW w:w="1134" w:type="dxa"/>
            <w:tcBorders>
              <w:top w:val="nil"/>
              <w:left w:val="nil"/>
              <w:bottom w:val="single" w:sz="4" w:space="0" w:color="auto"/>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63.2</w:t>
            </w:r>
          </w:p>
        </w:tc>
        <w:tc>
          <w:tcPr>
            <w:tcW w:w="1276" w:type="dxa"/>
            <w:tcBorders>
              <w:top w:val="nil"/>
              <w:left w:val="nil"/>
              <w:bottom w:val="single" w:sz="4" w:space="0" w:color="auto"/>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74.0</w:t>
            </w:r>
          </w:p>
        </w:tc>
        <w:tc>
          <w:tcPr>
            <w:tcW w:w="1331" w:type="dxa"/>
            <w:tcBorders>
              <w:top w:val="nil"/>
              <w:left w:val="nil"/>
              <w:bottom w:val="single" w:sz="4" w:space="0" w:color="auto"/>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47.8</w:t>
            </w:r>
          </w:p>
        </w:tc>
        <w:tc>
          <w:tcPr>
            <w:tcW w:w="1247" w:type="dxa"/>
            <w:tcBorders>
              <w:top w:val="nil"/>
              <w:left w:val="nil"/>
              <w:bottom w:val="single" w:sz="4" w:space="0" w:color="auto"/>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66.0</w:t>
            </w:r>
          </w:p>
        </w:tc>
        <w:tc>
          <w:tcPr>
            <w:tcW w:w="771" w:type="dxa"/>
            <w:tcBorders>
              <w:top w:val="nil"/>
              <w:left w:val="nil"/>
              <w:bottom w:val="single" w:sz="4" w:space="0" w:color="auto"/>
              <w:right w:val="nil"/>
            </w:tcBorders>
            <w:shd w:val="clear" w:color="auto" w:fill="auto"/>
            <w:noWrap/>
            <w:vAlign w:val="bottom"/>
          </w:tcPr>
          <w:p w:rsidR="009E6551" w:rsidRPr="00C870A0" w:rsidRDefault="009E6551" w:rsidP="002C665B">
            <w:pPr>
              <w:pStyle w:val="NoSpacing"/>
              <w:jc w:val="right"/>
            </w:pPr>
            <w:r w:rsidRPr="006724AB">
              <w:rPr>
                <w:rFonts w:cs="Arial"/>
                <w:color w:val="000000"/>
              </w:rPr>
              <w:t>793</w:t>
            </w:r>
          </w:p>
        </w:tc>
      </w:tr>
    </w:tbl>
    <w:p w:rsidR="009E6551" w:rsidRPr="00C870A0" w:rsidRDefault="009E6551" w:rsidP="009E6551">
      <w:pPr>
        <w:pStyle w:val="NoSpacing"/>
      </w:pPr>
      <w:r w:rsidRPr="00C870A0">
        <w:rPr>
          <w:i/>
          <w:color w:val="000000"/>
        </w:rPr>
        <w:t>Note</w:t>
      </w:r>
      <w:r w:rsidRPr="00C870A0">
        <w:rPr>
          <w:b/>
          <w:color w:val="000000"/>
        </w:rPr>
        <w:t>:</w:t>
      </w:r>
      <w:r w:rsidRPr="00C870A0">
        <w:rPr>
          <w:color w:val="000000"/>
        </w:rPr>
        <w:t xml:space="preserve"> CAP: community-acquired pneumonia; HAP: hospital-acquired pneumonia; COPD: </w:t>
      </w:r>
      <w:r w:rsidRPr="00C870A0">
        <w:t xml:space="preserve">chronic obstructive pulmonary disease; </w:t>
      </w:r>
      <w:r w:rsidRPr="00C870A0">
        <w:rPr>
          <w:color w:val="000000"/>
        </w:rPr>
        <w:t xml:space="preserve">SSTI: skin/soft tissue infection; </w:t>
      </w:r>
      <w:r w:rsidRPr="00C870A0">
        <w:t>PPV: positive predictive value; NPV: negative predictive value</w:t>
      </w:r>
      <w:r w:rsidRPr="006724AB">
        <w:rPr>
          <w:rFonts w:cs="Arial"/>
        </w:rPr>
        <w:t>.</w:t>
      </w:r>
    </w:p>
    <w:p w:rsidR="009E6551" w:rsidRPr="006724AB" w:rsidRDefault="009E6551" w:rsidP="009E6551">
      <w:pPr>
        <w:rPr>
          <w:rFonts w:cs="Arial"/>
        </w:rPr>
      </w:pPr>
    </w:p>
    <w:p w:rsidR="009E6551" w:rsidRPr="009E6551" w:rsidRDefault="009E6551" w:rsidP="009E6551">
      <w:pPr>
        <w:widowControl w:val="0"/>
        <w:autoSpaceDE w:val="0"/>
        <w:autoSpaceDN w:val="0"/>
        <w:adjustRightInd w:val="0"/>
        <w:spacing w:line="276" w:lineRule="auto"/>
        <w:ind w:left="480" w:hanging="480"/>
        <w:rPr>
          <w:rFonts w:cs="Arial"/>
          <w:noProof/>
          <w:szCs w:val="24"/>
        </w:rPr>
      </w:pPr>
      <w:r>
        <w:fldChar w:fldCharType="begin" w:fldLock="1"/>
      </w:r>
      <w:r>
        <w:instrText xml:space="preserve">ADDIN Mendeley Bibliography CSL_BIBLIOGRAPHY </w:instrText>
      </w:r>
      <w:r>
        <w:fldChar w:fldCharType="separate"/>
      </w:r>
      <w:r w:rsidRPr="009E6551">
        <w:rPr>
          <w:rFonts w:cs="Arial"/>
          <w:noProof/>
          <w:szCs w:val="24"/>
        </w:rPr>
        <w:t xml:space="preserve">Kuhn, M. (2008). Building Predictive Models in R Using the caret Package. </w:t>
      </w:r>
      <w:r w:rsidRPr="009E6551">
        <w:rPr>
          <w:rFonts w:cs="Arial"/>
          <w:i/>
          <w:iCs/>
          <w:noProof/>
          <w:szCs w:val="24"/>
        </w:rPr>
        <w:t>Journal of Statistical Software</w:t>
      </w:r>
      <w:r w:rsidRPr="009E6551">
        <w:rPr>
          <w:rFonts w:cs="Arial"/>
          <w:noProof/>
          <w:szCs w:val="24"/>
        </w:rPr>
        <w:t xml:space="preserve">, </w:t>
      </w:r>
      <w:r w:rsidRPr="009E6551">
        <w:rPr>
          <w:rFonts w:cs="Arial"/>
          <w:i/>
          <w:iCs/>
          <w:noProof/>
          <w:szCs w:val="24"/>
        </w:rPr>
        <w:t>28</w:t>
      </w:r>
      <w:r w:rsidRPr="009E6551">
        <w:rPr>
          <w:rFonts w:cs="Arial"/>
          <w:noProof/>
          <w:szCs w:val="24"/>
        </w:rPr>
        <w:t>(5), 1–26. https://doi.org/10.18637/jss.v028.i05</w:t>
      </w:r>
    </w:p>
    <w:p w:rsidR="009E6551" w:rsidRPr="009E6551" w:rsidRDefault="009E6551" w:rsidP="009E6551">
      <w:pPr>
        <w:widowControl w:val="0"/>
        <w:autoSpaceDE w:val="0"/>
        <w:autoSpaceDN w:val="0"/>
        <w:adjustRightInd w:val="0"/>
        <w:spacing w:line="276" w:lineRule="auto"/>
        <w:ind w:left="480" w:hanging="480"/>
        <w:rPr>
          <w:rFonts w:cs="Arial"/>
          <w:noProof/>
        </w:rPr>
      </w:pPr>
      <w:r w:rsidRPr="009E6551">
        <w:rPr>
          <w:rFonts w:cs="Arial"/>
          <w:noProof/>
          <w:szCs w:val="24"/>
        </w:rPr>
        <w:t>Kuhn, M., Wing, J., Weston, S., Williams, A., Keefer, C., Engelhardt, A., … Hunt, T. (2019). caret: Classification and Regression Training. Retrieved from https://cran.r-project.org/package=caret</w:t>
      </w:r>
    </w:p>
    <w:p w:rsidR="002743B9" w:rsidRDefault="009E6551" w:rsidP="009E6551">
      <w:pPr>
        <w:spacing w:line="276" w:lineRule="auto"/>
      </w:pPr>
      <w:r>
        <w:fldChar w:fldCharType="end"/>
      </w:r>
    </w:p>
    <w:sectPr w:rsidR="002743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712C4"/>
    <w:multiLevelType w:val="hybridMultilevel"/>
    <w:tmpl w:val="3754FE1C"/>
    <w:lvl w:ilvl="0" w:tplc="264818BC">
      <w:start w:val="1"/>
      <w:numFmt w:val="decimal"/>
      <w:pStyle w:val="tables"/>
      <w:lvlText w:val="Table %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4567B"/>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551"/>
    <w:rsid w:val="0037023D"/>
    <w:rsid w:val="00602392"/>
    <w:rsid w:val="00733FEE"/>
    <w:rsid w:val="009E6551"/>
    <w:rsid w:val="00BA0011"/>
    <w:rsid w:val="00DD3DE8"/>
    <w:rsid w:val="00F25F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377A8"/>
  <w15:chartTrackingRefBased/>
  <w15:docId w15:val="{5AFC2D17-1E31-4FB5-A2E4-D47417D6F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E6551"/>
    <w:pPr>
      <w:spacing w:line="480" w:lineRule="auto"/>
      <w:jc w:val="both"/>
    </w:pPr>
    <w:rPr>
      <w:rFonts w:ascii="Arial" w:hAnsi="Arial"/>
      <w:sz w:val="20"/>
    </w:rPr>
  </w:style>
  <w:style w:type="paragraph" w:styleId="Heading1">
    <w:name w:val="heading 1"/>
    <w:basedOn w:val="Normal"/>
    <w:next w:val="Normal"/>
    <w:link w:val="Heading1Char"/>
    <w:uiPriority w:val="9"/>
    <w:qFormat/>
    <w:rsid w:val="009E6551"/>
    <w:pPr>
      <w:keepNext/>
      <w:keepLines/>
      <w:numPr>
        <w:numId w:val="1"/>
      </w:numPr>
      <w:spacing w:before="240" w:after="0"/>
      <w:outlineLvl w:val="0"/>
    </w:pPr>
    <w:rPr>
      <w:rFonts w:eastAsiaTheme="majorEastAsia" w:cstheme="majorBidi"/>
      <w:b/>
      <w:sz w:val="24"/>
      <w:szCs w:val="32"/>
    </w:rPr>
  </w:style>
  <w:style w:type="paragraph" w:styleId="Heading2">
    <w:name w:val="heading 2"/>
    <w:basedOn w:val="Normal"/>
    <w:next w:val="Normal"/>
    <w:link w:val="Heading2Char"/>
    <w:uiPriority w:val="9"/>
    <w:unhideWhenUsed/>
    <w:qFormat/>
    <w:rsid w:val="009E6551"/>
    <w:pPr>
      <w:keepNext/>
      <w:keepLines/>
      <w:numPr>
        <w:ilvl w:val="1"/>
        <w:numId w:val="1"/>
      </w:numPr>
      <w:spacing w:before="40" w:after="0"/>
      <w:outlineLvl w:val="1"/>
    </w:pPr>
    <w:rPr>
      <w:rFonts w:eastAsiaTheme="majorEastAsia" w:cstheme="majorBidi"/>
      <w:b/>
      <w:sz w:val="22"/>
      <w:szCs w:val="26"/>
    </w:rPr>
  </w:style>
  <w:style w:type="paragraph" w:styleId="Heading3">
    <w:name w:val="heading 3"/>
    <w:basedOn w:val="Normal"/>
    <w:next w:val="Normal"/>
    <w:link w:val="Heading3Char"/>
    <w:uiPriority w:val="9"/>
    <w:unhideWhenUsed/>
    <w:qFormat/>
    <w:rsid w:val="009E6551"/>
    <w:pPr>
      <w:keepNext/>
      <w:keepLines/>
      <w:numPr>
        <w:ilvl w:val="2"/>
        <w:numId w:val="1"/>
      </w:numPr>
      <w:spacing w:before="40" w:after="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semiHidden/>
    <w:unhideWhenUsed/>
    <w:qFormat/>
    <w:rsid w:val="009E6551"/>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9E6551"/>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9E6551"/>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9E6551"/>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9E6551"/>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E6551"/>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6551"/>
    <w:rPr>
      <w:rFonts w:ascii="Arial" w:eastAsiaTheme="majorEastAsia" w:hAnsi="Arial" w:cstheme="majorBidi"/>
      <w:b/>
      <w:sz w:val="24"/>
      <w:szCs w:val="32"/>
    </w:rPr>
  </w:style>
  <w:style w:type="character" w:customStyle="1" w:styleId="Heading2Char">
    <w:name w:val="Heading 2 Char"/>
    <w:basedOn w:val="DefaultParagraphFont"/>
    <w:link w:val="Heading2"/>
    <w:uiPriority w:val="9"/>
    <w:rsid w:val="009E6551"/>
    <w:rPr>
      <w:rFonts w:ascii="Arial" w:eastAsiaTheme="majorEastAsia" w:hAnsi="Arial" w:cstheme="majorBidi"/>
      <w:b/>
      <w:szCs w:val="26"/>
    </w:rPr>
  </w:style>
  <w:style w:type="character" w:customStyle="1" w:styleId="Heading3Char">
    <w:name w:val="Heading 3 Char"/>
    <w:basedOn w:val="DefaultParagraphFont"/>
    <w:link w:val="Heading3"/>
    <w:uiPriority w:val="9"/>
    <w:rsid w:val="009E6551"/>
    <w:rPr>
      <w:rFonts w:asciiTheme="majorHAnsi" w:eastAsiaTheme="majorEastAsia" w:hAnsiTheme="majorHAnsi" w:cstheme="majorBidi"/>
      <w:sz w:val="20"/>
      <w:szCs w:val="24"/>
    </w:rPr>
  </w:style>
  <w:style w:type="character" w:customStyle="1" w:styleId="Heading4Char">
    <w:name w:val="Heading 4 Char"/>
    <w:basedOn w:val="DefaultParagraphFont"/>
    <w:link w:val="Heading4"/>
    <w:uiPriority w:val="9"/>
    <w:semiHidden/>
    <w:rsid w:val="009E6551"/>
    <w:rPr>
      <w:rFonts w:asciiTheme="majorHAnsi" w:eastAsiaTheme="majorEastAsia" w:hAnsiTheme="majorHAnsi" w:cstheme="majorBidi"/>
      <w:i/>
      <w:iCs/>
      <w:color w:val="2E74B5" w:themeColor="accent1" w:themeShade="BF"/>
      <w:sz w:val="20"/>
    </w:rPr>
  </w:style>
  <w:style w:type="character" w:customStyle="1" w:styleId="Heading5Char">
    <w:name w:val="Heading 5 Char"/>
    <w:basedOn w:val="DefaultParagraphFont"/>
    <w:link w:val="Heading5"/>
    <w:uiPriority w:val="9"/>
    <w:semiHidden/>
    <w:rsid w:val="009E6551"/>
    <w:rPr>
      <w:rFonts w:asciiTheme="majorHAnsi" w:eastAsiaTheme="majorEastAsia" w:hAnsiTheme="majorHAnsi" w:cstheme="majorBidi"/>
      <w:color w:val="2E74B5" w:themeColor="accent1" w:themeShade="BF"/>
      <w:sz w:val="20"/>
    </w:rPr>
  </w:style>
  <w:style w:type="character" w:customStyle="1" w:styleId="Heading6Char">
    <w:name w:val="Heading 6 Char"/>
    <w:basedOn w:val="DefaultParagraphFont"/>
    <w:link w:val="Heading6"/>
    <w:uiPriority w:val="9"/>
    <w:semiHidden/>
    <w:rsid w:val="009E6551"/>
    <w:rPr>
      <w:rFonts w:asciiTheme="majorHAnsi" w:eastAsiaTheme="majorEastAsia" w:hAnsiTheme="majorHAnsi" w:cstheme="majorBidi"/>
      <w:color w:val="1F4D78" w:themeColor="accent1" w:themeShade="7F"/>
      <w:sz w:val="20"/>
    </w:rPr>
  </w:style>
  <w:style w:type="character" w:customStyle="1" w:styleId="Heading7Char">
    <w:name w:val="Heading 7 Char"/>
    <w:basedOn w:val="DefaultParagraphFont"/>
    <w:link w:val="Heading7"/>
    <w:uiPriority w:val="9"/>
    <w:semiHidden/>
    <w:rsid w:val="009E6551"/>
    <w:rPr>
      <w:rFonts w:asciiTheme="majorHAnsi" w:eastAsiaTheme="majorEastAsia" w:hAnsiTheme="majorHAnsi" w:cstheme="majorBidi"/>
      <w:i/>
      <w:iCs/>
      <w:color w:val="1F4D78" w:themeColor="accent1" w:themeShade="7F"/>
      <w:sz w:val="20"/>
    </w:rPr>
  </w:style>
  <w:style w:type="character" w:customStyle="1" w:styleId="Heading8Char">
    <w:name w:val="Heading 8 Char"/>
    <w:basedOn w:val="DefaultParagraphFont"/>
    <w:link w:val="Heading8"/>
    <w:uiPriority w:val="9"/>
    <w:semiHidden/>
    <w:rsid w:val="009E655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9E6551"/>
    <w:rPr>
      <w:rFonts w:asciiTheme="majorHAnsi" w:eastAsiaTheme="majorEastAsia" w:hAnsiTheme="majorHAnsi" w:cstheme="majorBidi"/>
      <w:i/>
      <w:iCs/>
      <w:color w:val="272727" w:themeColor="text1" w:themeTint="D8"/>
      <w:sz w:val="21"/>
      <w:szCs w:val="21"/>
    </w:rPr>
  </w:style>
  <w:style w:type="paragraph" w:styleId="NoSpacing">
    <w:name w:val="No Spacing"/>
    <w:uiPriority w:val="1"/>
    <w:qFormat/>
    <w:rsid w:val="009E6551"/>
    <w:pPr>
      <w:spacing w:after="0" w:line="240" w:lineRule="auto"/>
    </w:pPr>
    <w:rPr>
      <w:rFonts w:ascii="Arial" w:hAnsi="Arial"/>
      <w:sz w:val="20"/>
    </w:rPr>
  </w:style>
  <w:style w:type="paragraph" w:customStyle="1" w:styleId="tables">
    <w:name w:val="tables"/>
    <w:basedOn w:val="ListParagraph"/>
    <w:link w:val="tablesChar"/>
    <w:qFormat/>
    <w:rsid w:val="009E6551"/>
    <w:pPr>
      <w:numPr>
        <w:numId w:val="2"/>
      </w:numPr>
      <w:ind w:left="1134" w:hanging="1134"/>
    </w:pPr>
  </w:style>
  <w:style w:type="character" w:customStyle="1" w:styleId="tablesChar">
    <w:name w:val="tables Char"/>
    <w:basedOn w:val="DefaultParagraphFont"/>
    <w:link w:val="tables"/>
    <w:rsid w:val="009E6551"/>
    <w:rPr>
      <w:rFonts w:ascii="Arial" w:hAnsi="Arial"/>
      <w:sz w:val="20"/>
    </w:rPr>
  </w:style>
  <w:style w:type="paragraph" w:styleId="ListParagraph">
    <w:name w:val="List Paragraph"/>
    <w:basedOn w:val="Normal"/>
    <w:uiPriority w:val="34"/>
    <w:qFormat/>
    <w:rsid w:val="009E65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260A7E-6B7F-422E-87B0-8AFED5E83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945</Words>
  <Characters>5393</Characters>
  <Application>Microsoft Office Word</Application>
  <DocSecurity>0</DocSecurity>
  <Lines>44</Lines>
  <Paragraphs>12</Paragraphs>
  <ScaleCrop>false</ScaleCrop>
  <Company>University College London</Company>
  <LinksUpToDate>false</LinksUpToDate>
  <CharactersWithSpaces>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Dutey-Magni</dc:creator>
  <cp:keywords/>
  <dc:description/>
  <cp:lastModifiedBy>Peter Dutey-Magni</cp:lastModifiedBy>
  <cp:revision>4</cp:revision>
  <dcterms:created xsi:type="dcterms:W3CDTF">2020-05-27T14:52:00Z</dcterms:created>
  <dcterms:modified xsi:type="dcterms:W3CDTF">2020-05-27T15:03:00Z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http://www.zotero.org/styles/journal-of-medical-internet-research</vt:lpwstr>
  </property>
  <property fmtid="{D5CDD505-2E9C-101B-9397-08002B2CF9AE}" pid="13" name="Mendeley Recent Style Name 5_1">
    <vt:lpwstr>Journal of Medical Internet Research</vt:lpwstr>
  </property>
  <property fmtid="{D5CDD505-2E9C-101B-9397-08002B2CF9AE}" pid="14" name="Mendeley Recent Style Id 6_1">
    <vt:lpwstr>http://csl.mendeley.com/styles/2926131/journal-of-medical-internet-research-2</vt:lpwstr>
  </property>
  <property fmtid="{D5CDD505-2E9C-101B-9397-08002B2CF9AE}" pid="15" name="Mendeley Recent Style Name 6_1">
    <vt:lpwstr>Journal of Medical Internet Research - super dense - Peter Dutey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http://www.zotero.org/styles/sage-vancouver-brackets</vt:lpwstr>
  </property>
  <property fmtid="{D5CDD505-2E9C-101B-9397-08002B2CF9AE}" pid="19" name="Mendeley Recent Style Name 8_1">
    <vt:lpwstr>SAGE - Vancouver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0fc24f21-e2e5-360b-9468-1a9956a113bc</vt:lpwstr>
  </property>
  <property fmtid="{D5CDD505-2E9C-101B-9397-08002B2CF9AE}" pid="24" name="Mendeley Citation Style_1">
    <vt:lpwstr>http://www.zotero.org/styles/apa</vt:lpwstr>
  </property>
</Properties>
</file>