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7F4" w:rsidRPr="006724AB" w:rsidRDefault="00FC204C" w:rsidP="002747F4">
      <w:pPr>
        <w:pStyle w:val="Heading2"/>
        <w:numPr>
          <w:ilvl w:val="0"/>
          <w:numId w:val="0"/>
        </w:numPr>
      </w:pPr>
      <w:bookmarkStart w:id="0" w:name="_Ref25244229"/>
      <w:r>
        <w:t>Additional file</w:t>
      </w:r>
      <w:bookmarkStart w:id="1" w:name="_GoBack"/>
      <w:bookmarkEnd w:id="1"/>
      <w:r w:rsidR="002747F4">
        <w:t xml:space="preserve"> 1: Key c</w:t>
      </w:r>
      <w:r w:rsidR="002747F4" w:rsidRPr="006724AB">
        <w:t>oncept definitions</w:t>
      </w:r>
      <w:bookmarkEnd w:id="0"/>
    </w:p>
    <w:p w:rsidR="002747F4" w:rsidRPr="006724AB" w:rsidRDefault="002747F4" w:rsidP="002747F4">
      <w:pPr>
        <w:pStyle w:val="tables"/>
        <w:numPr>
          <w:ilvl w:val="0"/>
          <w:numId w:val="0"/>
        </w:numPr>
        <w:rPr>
          <w:rFonts w:cs="Arial"/>
        </w:rPr>
      </w:pPr>
    </w:p>
    <w:tbl>
      <w:tblPr>
        <w:tblStyle w:val="Style1"/>
        <w:tblW w:w="5000" w:type="pct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3686"/>
        <w:gridCol w:w="3639"/>
      </w:tblGrid>
      <w:tr w:rsidR="002747F4" w:rsidRPr="006724AB" w:rsidTr="002C66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Concept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Definition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Related SNOMED-CT concepts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Antimicrobial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Antifungal or antibacterial drug referenced either as a pharmaceutical product or a substance.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769077005 | Product containing antimicrobial (product) |; 250428009 | Substance with antimicrobial mechanism of action (substance) |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Antimicrobial therapy episode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Set of antimicrobial prescriptions administered consecutively or concurrently and corresponding to a single indication and intent.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281789004 | Antibiotic therapy (procedure) |; 718526003 | Antifungal therapy (procedure) |; 422181004 | Antibiotic prophylaxis (procedure) |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Therapeutic intent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Characterisation of the reason for prescribing:</w:t>
            </w:r>
          </w:p>
          <w:p w:rsidR="002747F4" w:rsidRPr="00C870A0" w:rsidRDefault="002747F4" w:rsidP="002747F4">
            <w:pPr>
              <w:pStyle w:val="NoSpacing"/>
              <w:numPr>
                <w:ilvl w:val="0"/>
                <w:numId w:val="3"/>
              </w:numPr>
              <w:ind w:left="244" w:hanging="24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surgical prophylaxis </w:t>
            </w:r>
            <w:r w:rsidRPr="00C870A0">
              <w:fldChar w:fldCharType="begin" w:fldLock="1"/>
            </w:r>
            <w:r>
              <w:instrText>ADDIN CSL_CITATION {"citationItems":[{"id":"ITEM-1","itemData":{"author":[{"dropping-particle":"","family":"Scottish Intercollegiate Guidelines Network (SIGN)","given":"","non-dropping-particle":"","parse-names":false,"suffix":""}],"id":"ITEM-1","issued":{"date-parts":[["2014"]]},"publisher-place":"Edingburgh","title":"Antibiotic prophylaxis in surgery (SIGN publication no.104). July 2008, updated April 2014","type":"report"},"uris":["http://www.mendeley.com/documents/?uuid=5ab4dfb3-43fb-4a12-99b1-17073a6563b1"]}],"mendeley":{"formattedCitation":"[52]","plainTextFormattedCitation":"[52]","previouslyFormattedCitation":"[52]"},"properties":{"noteIndex":0},"schema":"https://github.com/citation-style-language/schema/raw/master/csl-citation.json"}</w:instrText>
            </w:r>
            <w:r w:rsidRPr="00C870A0">
              <w:fldChar w:fldCharType="separate"/>
            </w:r>
            <w:r w:rsidRPr="00630861">
              <w:rPr>
                <w:noProof/>
              </w:rPr>
              <w:t>[52]</w:t>
            </w:r>
            <w:r w:rsidRPr="00C870A0">
              <w:fldChar w:fldCharType="end"/>
            </w:r>
          </w:p>
          <w:p w:rsidR="002747F4" w:rsidRPr="00C870A0" w:rsidRDefault="002747F4" w:rsidP="002747F4">
            <w:pPr>
              <w:pStyle w:val="NoSpacing"/>
              <w:numPr>
                <w:ilvl w:val="0"/>
                <w:numId w:val="3"/>
              </w:numPr>
              <w:ind w:left="244" w:hanging="24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medical prophylaxis to prevent recurrent or high-risk bacterial infection</w:t>
            </w:r>
          </w:p>
          <w:p w:rsidR="002747F4" w:rsidRPr="00C870A0" w:rsidRDefault="002747F4" w:rsidP="002747F4">
            <w:pPr>
              <w:pStyle w:val="NoSpacing"/>
              <w:numPr>
                <w:ilvl w:val="0"/>
                <w:numId w:val="3"/>
              </w:numPr>
              <w:ind w:left="244" w:hanging="24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treatment of a suspected or confirmed bacterial infection</w:t>
            </w:r>
          </w:p>
          <w:p w:rsidR="002747F4" w:rsidRPr="00C870A0" w:rsidRDefault="002747F4" w:rsidP="002747F4">
            <w:pPr>
              <w:pStyle w:val="NoSpacing"/>
              <w:numPr>
                <w:ilvl w:val="0"/>
                <w:numId w:val="3"/>
              </w:numPr>
              <w:ind w:left="244" w:hanging="24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other; for instance, erythromycin use as a </w:t>
            </w:r>
            <w:proofErr w:type="spellStart"/>
            <w:r w:rsidRPr="00C870A0">
              <w:t>prokinetic</w:t>
            </w:r>
            <w:proofErr w:type="spellEnd"/>
            <w:r w:rsidRPr="00C870A0">
              <w:t xml:space="preserve"> agent </w:t>
            </w:r>
            <w:r w:rsidRPr="00C870A0">
              <w:fldChar w:fldCharType="begin" w:fldLock="1"/>
            </w:r>
            <w:r>
              <w:instrText>ADDIN CSL_CITATION {"citationItems":[{"id":"ITEM-1","itemData":{"author":[{"dropping-particle":"","family":"European Centre for Disease Prevention and Control","given":"","non-dropping-particle":"","parse-names":false,"suffix":""}],"id":"ITEM-1","issued":{"date-parts":[["2016"]]},"publisher-place":"Stockholm","title":"Point prevalence survey of healthcare-associated infections and antimicrobial use in European acute care hospitals – protocol version 5.3","type":"report"},"locator":"23","uris":["http://www.mendeley.com/documents/?uuid=d3018e49-d781-453e-bdf4-91ca732be17e"]}],"mendeley":{"formattedCitation":"[20]","plainTextFormattedCitation":"[20]","previouslyFormattedCitation":"[20]"},"properties":{"noteIndex":0},"schema":"https://github.com/citation-style-language/schema/raw/master/csl-citation.json"}</w:instrText>
            </w:r>
            <w:r w:rsidRPr="00C870A0">
              <w:fldChar w:fldCharType="separate"/>
            </w:r>
            <w:r w:rsidRPr="00891042">
              <w:rPr>
                <w:noProof/>
              </w:rPr>
              <w:t>[20]</w:t>
            </w:r>
            <w:r w:rsidRPr="00C870A0">
              <w:fldChar w:fldCharType="end"/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262202000 | Therapeutic intent (qualifier value) |</w:t>
            </w:r>
          </w:p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360271000 | Prophylaxis - procedure intent (qualifier value) |</w:t>
            </w:r>
          </w:p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373808002 | Curative - procedure intent (qualifier value) |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Clinical indication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Predicate of the therapeutic intent, which can be any concept in the following:</w:t>
            </w:r>
          </w:p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Potentially any child concept of:</w:t>
            </w:r>
          </w:p>
          <w:p w:rsidR="002747F4" w:rsidRPr="00C870A0" w:rsidRDefault="002747F4" w:rsidP="002747F4">
            <w:pPr>
              <w:pStyle w:val="NoSpacing"/>
              <w:numPr>
                <w:ilvl w:val="0"/>
                <w:numId w:val="3"/>
              </w:numPr>
              <w:ind w:left="244" w:hanging="24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387713003 | Surgical (procedure) |</w:t>
            </w:r>
          </w:p>
          <w:p w:rsidR="002747F4" w:rsidRPr="00C870A0" w:rsidRDefault="002747F4" w:rsidP="002747F4">
            <w:pPr>
              <w:pStyle w:val="NoSpacing"/>
              <w:numPr>
                <w:ilvl w:val="0"/>
                <w:numId w:val="3"/>
              </w:numPr>
              <w:ind w:left="244" w:hanging="24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423827005 | Endoscopy (procedure) |</w:t>
            </w:r>
          </w:p>
          <w:p w:rsidR="002747F4" w:rsidRPr="00C870A0" w:rsidRDefault="002747F4" w:rsidP="002747F4">
            <w:pPr>
              <w:pStyle w:val="NoSpacing"/>
              <w:numPr>
                <w:ilvl w:val="0"/>
                <w:numId w:val="3"/>
              </w:numPr>
              <w:ind w:left="244" w:hanging="24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78885002 | Disease of presumed infectious origin (disorder)</w:t>
            </w:r>
          </w:p>
          <w:p w:rsidR="002747F4" w:rsidRPr="00C870A0" w:rsidRDefault="002747F4" w:rsidP="002747F4">
            <w:pPr>
              <w:pStyle w:val="NoSpacing"/>
              <w:numPr>
                <w:ilvl w:val="0"/>
                <w:numId w:val="3"/>
              </w:numPr>
              <w:ind w:left="244" w:hanging="24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40733004 | Infectious disease (disorder) |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Body structure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Broad anatomical site or body function affected by the clinical indication. Can be inferred from a SNOMED-CT concept used as clinical indication using the 363698007 | Finding site (attribute) |.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 442083009 | Anatomical or acquired body structure |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Initiation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Decision by clinician to initiate therapy.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– 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Empirical therapy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Set of prescriptions within an antimicrobial therapy episode which are ordered before obtaining any microbial culture results.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371070000 | Empirical antibiotic therapy (regime/therapy) |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Directed therapy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Set of prescriptions within an antimicrobial therapy episode which are ordered on the basis of microbial culture and/or sensitivity results.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– 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Monotherapy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Prescription and administration of a single antimicrobial agent. 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– 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Combination therapy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Prescription of two or more antimicrobials concurrently.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– 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Antimicrobial review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Review by clinician of prescriptions, diagnostics and clinical investigations to adapt antimicrobial therapy. UK guidelines recommend systematic review between 48h and 72h after initiation of therapy </w:t>
            </w:r>
            <w:r w:rsidRPr="00C870A0">
              <w:fldChar w:fldCharType="begin" w:fldLock="1"/>
            </w:r>
            <w:r>
              <w:instrText>ADDIN CSL_CITATION {"citationItems":[{"id":"ITEM-1","itemData":{"author":[{"dropping-particle":"","family":"Public Health England","given":"","non-dropping-particle":"","parse-names":false,"suffix":""}],"id":"ITEM-1","issued":{"date-parts":[["2015"]]},"title":"Start Smart--Then Focus. Antimicrobial Stewardship Toolkit for English Hospitals","type":"report"},"uris":["http://www.mendeley.com/documents/?uuid=9c2f898b-5d53-4f7f-96fa-97ca0b205828"]}],"mendeley":{"formattedCitation":"[18]","plainTextFormattedCitation":"[18]","previouslyFormattedCitation":"[18]"},"properties":{"noteIndex":0},"schema":"https://github.com/citation-style-language/schema/raw/master/csl-citation.json"}</w:instrText>
            </w:r>
            <w:r w:rsidRPr="00C870A0">
              <w:fldChar w:fldCharType="separate"/>
            </w:r>
            <w:r w:rsidRPr="00891042">
              <w:rPr>
                <w:noProof/>
              </w:rPr>
              <w:t>[18]</w:t>
            </w:r>
            <w:r w:rsidRPr="00C870A0">
              <w:fldChar w:fldCharType="end"/>
            </w:r>
            <w:r w:rsidRPr="00C870A0">
              <w:t>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– 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Antimicrobial review decision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Decision made by a clinician in relation to continuation of empirical therapy. </w:t>
            </w:r>
            <w:r w:rsidRPr="00C870A0">
              <w:lastRenderedPageBreak/>
              <w:t>Internationally, decisions are classified as continuation, discontinuation, escalation, de-escalation, switch from parenteral to oral therapy, other change (e.g. adverse effects, streamlining for cost or efficiency reasons).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lastRenderedPageBreak/>
              <w:t xml:space="preserve">– 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Continuation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Decision to continue or renewed prescription(s) without changes.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– 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Escalation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Decision to widen the spectrum of therapy by adding antimicrobials or substituting wider-spectrum antimicrobials.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– 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De-escalation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Decision by clinician to modify therapy on the basis of microbial culture results; clinical response to treatment; or patient improvement. Antimicrobials are reduced in number or narrowed in spectrum.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– 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Intravenous-to-oral switch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Substitution of intravenous therapy with oral therapy.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– 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Congruence with guidelines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Degree to which the therapy meets criteria set by guidelines for initiation, and subsequent review of therapy.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 xml:space="preserve">– </w:t>
            </w: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Microbial culture orders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Past or current results of microbial isolates and antibiotics susceptibilities for specimens relevant to the body structure and indication of the episode of therapy.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747F4" w:rsidRPr="006724AB" w:rsidTr="002C665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pct"/>
          </w:tcPr>
          <w:p w:rsidR="002747F4" w:rsidRPr="00C870A0" w:rsidRDefault="002747F4" w:rsidP="002C665B">
            <w:pPr>
              <w:pStyle w:val="NoSpacing"/>
            </w:pPr>
            <w:r w:rsidRPr="00C870A0">
              <w:t>Empirical coverage</w:t>
            </w:r>
          </w:p>
        </w:tc>
        <w:tc>
          <w:tcPr>
            <w:tcW w:w="2042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70A0">
              <w:t>Sensitivity of microbial cultures to the antimicrobial agent selected for empirical therapy.</w:t>
            </w:r>
          </w:p>
        </w:tc>
        <w:tc>
          <w:tcPr>
            <w:tcW w:w="2016" w:type="pct"/>
          </w:tcPr>
          <w:p w:rsidR="002747F4" w:rsidRPr="00C870A0" w:rsidRDefault="002747F4" w:rsidP="002C665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2743B9" w:rsidRDefault="00FC204C"/>
    <w:sectPr w:rsidR="002743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712C4"/>
    <w:multiLevelType w:val="hybridMultilevel"/>
    <w:tmpl w:val="3754FE1C"/>
    <w:lvl w:ilvl="0" w:tplc="264818BC">
      <w:start w:val="1"/>
      <w:numFmt w:val="decimal"/>
      <w:pStyle w:val="tables"/>
      <w:lvlText w:val="Table 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4567B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7931C59"/>
    <w:multiLevelType w:val="hybridMultilevel"/>
    <w:tmpl w:val="92D21C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7F4"/>
    <w:rsid w:val="002747F4"/>
    <w:rsid w:val="00733FEE"/>
    <w:rsid w:val="00DD3DE8"/>
    <w:rsid w:val="00FC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BE0B4"/>
  <w15:chartTrackingRefBased/>
  <w15:docId w15:val="{B47B46ED-F0A2-4037-9DFB-67DF9B8CF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47F4"/>
    <w:pPr>
      <w:spacing w:line="480" w:lineRule="auto"/>
      <w:jc w:val="both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47F4"/>
    <w:pPr>
      <w:keepNext/>
      <w:keepLines/>
      <w:numPr>
        <w:numId w:val="1"/>
      </w:numPr>
      <w:spacing w:before="240" w:after="0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47F4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theme="majorBidi"/>
      <w:b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747F4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7F4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7F4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7F4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7F4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7F4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7F4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7F4"/>
    <w:rPr>
      <w:rFonts w:ascii="Arial" w:eastAsiaTheme="majorEastAsia" w:hAnsi="Arial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747F4"/>
    <w:rPr>
      <w:rFonts w:ascii="Arial" w:eastAsiaTheme="majorEastAsia" w:hAnsi="Arial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747F4"/>
    <w:rPr>
      <w:rFonts w:asciiTheme="majorHAnsi" w:eastAsiaTheme="majorEastAsia" w:hAnsiTheme="majorHAnsi" w:cstheme="majorBidi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7F4"/>
    <w:rPr>
      <w:rFonts w:asciiTheme="majorHAnsi" w:eastAsiaTheme="majorEastAsia" w:hAnsiTheme="majorHAnsi" w:cstheme="majorBidi"/>
      <w:i/>
      <w:iCs/>
      <w:color w:val="2E74B5" w:themeColor="accent1" w:themeShade="BF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7F4"/>
    <w:rPr>
      <w:rFonts w:asciiTheme="majorHAnsi" w:eastAsiaTheme="majorEastAsia" w:hAnsiTheme="majorHAnsi" w:cstheme="majorBidi"/>
      <w:color w:val="2E74B5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7F4"/>
    <w:rPr>
      <w:rFonts w:asciiTheme="majorHAnsi" w:eastAsiaTheme="majorEastAsia" w:hAnsiTheme="majorHAnsi" w:cstheme="majorBidi"/>
      <w:color w:val="1F4D78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7F4"/>
    <w:rPr>
      <w:rFonts w:asciiTheme="majorHAnsi" w:eastAsiaTheme="majorEastAsia" w:hAnsiTheme="majorHAnsi" w:cstheme="majorBidi"/>
      <w:i/>
      <w:iCs/>
      <w:color w:val="1F4D78" w:themeColor="accent1" w:themeShade="7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7F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7F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Style1">
    <w:name w:val="Style1"/>
    <w:basedOn w:val="TableClassic1"/>
    <w:uiPriority w:val="99"/>
    <w:rsid w:val="002747F4"/>
    <w:pPr>
      <w:spacing w:after="0" w:line="240" w:lineRule="auto"/>
      <w:jc w:val="left"/>
    </w:pPr>
    <w:rPr>
      <w:rFonts w:ascii="Segoe UI Light" w:hAnsi="Segoe UI Light"/>
      <w:sz w:val="18"/>
      <w:szCs w:val="20"/>
      <w:lang w:eastAsia="en-GB"/>
    </w:rPr>
    <w:tblPr/>
    <w:tcPr>
      <w:shd w:val="clear" w:color="auto" w:fill="auto"/>
    </w:tcPr>
    <w:tblStylePr w:type="firstRow">
      <w:rPr>
        <w:rFonts w:ascii="Segoe UI" w:hAnsi="Segoe UI"/>
        <w:i w:val="0"/>
        <w:iCs/>
        <w:sz w:val="18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nil"/>
          <w:tl2br w:val="none" w:sz="0" w:space="0" w:color="auto"/>
          <w:tr2bl w:val="none" w:sz="0" w:space="0" w:color="auto"/>
        </w:tcBorders>
        <w:shd w:val="clear" w:color="auto" w:fill="auto"/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oSpacing">
    <w:name w:val="No Spacing"/>
    <w:uiPriority w:val="1"/>
    <w:qFormat/>
    <w:rsid w:val="002747F4"/>
    <w:pPr>
      <w:spacing w:after="0" w:line="240" w:lineRule="auto"/>
    </w:pPr>
    <w:rPr>
      <w:rFonts w:ascii="Arial" w:hAnsi="Arial"/>
      <w:sz w:val="20"/>
    </w:rPr>
  </w:style>
  <w:style w:type="paragraph" w:customStyle="1" w:styleId="tables">
    <w:name w:val="tables"/>
    <w:basedOn w:val="ListParagraph"/>
    <w:link w:val="tablesChar"/>
    <w:qFormat/>
    <w:rsid w:val="002747F4"/>
    <w:pPr>
      <w:numPr>
        <w:numId w:val="2"/>
      </w:numPr>
      <w:ind w:left="1134" w:hanging="1134"/>
    </w:pPr>
  </w:style>
  <w:style w:type="character" w:customStyle="1" w:styleId="tablesChar">
    <w:name w:val="tables Char"/>
    <w:basedOn w:val="DefaultParagraphFont"/>
    <w:link w:val="tables"/>
    <w:rsid w:val="002747F4"/>
    <w:rPr>
      <w:rFonts w:ascii="Arial" w:hAnsi="Arial"/>
      <w:sz w:val="20"/>
    </w:rPr>
  </w:style>
  <w:style w:type="table" w:styleId="TableClassic1">
    <w:name w:val="Table Classic 1"/>
    <w:basedOn w:val="TableNormal"/>
    <w:uiPriority w:val="99"/>
    <w:semiHidden/>
    <w:unhideWhenUsed/>
    <w:rsid w:val="002747F4"/>
    <w:pPr>
      <w:spacing w:line="480" w:lineRule="auto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Paragraph">
    <w:name w:val="List Paragraph"/>
    <w:basedOn w:val="Normal"/>
    <w:uiPriority w:val="34"/>
    <w:qFormat/>
    <w:rsid w:val="002747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903</Words>
  <Characters>5153</Characters>
  <Application>Microsoft Office Word</Application>
  <DocSecurity>0</DocSecurity>
  <Lines>42</Lines>
  <Paragraphs>12</Paragraphs>
  <ScaleCrop>false</ScaleCrop>
  <Company>University College London</Company>
  <LinksUpToDate>false</LinksUpToDate>
  <CharactersWithSpaces>6044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Dutey-Magni</dc:creator>
  <cp:keywords/>
  <dc:description/>
  <cp:lastModifiedBy>Peter Dutey-Magni</cp:lastModifiedBy>
  <cp:revision>2</cp:revision>
  <dcterms:created xsi:type="dcterms:W3CDTF">2020-05-27T14:45:00Z</dcterms:created>
  <dcterms:modified xsi:type="dcterms:W3CDTF">2020-05-27T15:03:00Z</dcterms:modified>
</cp:coreProperties>
</file>