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064" w:rsidRPr="006724AB" w:rsidRDefault="00BD1064" w:rsidP="00BD1064">
      <w:pPr>
        <w:pStyle w:val="Heading2"/>
        <w:numPr>
          <w:ilvl w:val="0"/>
          <w:numId w:val="0"/>
        </w:numPr>
      </w:pPr>
      <w:bookmarkStart w:id="0" w:name="_Ref22054226"/>
      <w:r>
        <w:t xml:space="preserve">Additional </w:t>
      </w:r>
      <w:r w:rsidR="00A047E1">
        <w:t>f</w:t>
      </w:r>
      <w:r>
        <w:t xml:space="preserve">ile </w:t>
      </w:r>
      <w:r w:rsidR="008A77EB">
        <w:t>4</w:t>
      </w:r>
      <w:bookmarkStart w:id="1" w:name="_GoBack"/>
      <w:bookmarkEnd w:id="1"/>
      <w:r>
        <w:t xml:space="preserve">: </w:t>
      </w:r>
      <w:r w:rsidRPr="006724AB">
        <w:t xml:space="preserve">ABCD criteria: </w:t>
      </w:r>
      <w:r w:rsidRPr="00663938">
        <w:t>Considerations</w:t>
      </w:r>
      <w:r w:rsidRPr="006724AB">
        <w:t xml:space="preserve"> for IV to oral switch</w:t>
      </w:r>
      <w:bookmarkEnd w:id="0"/>
    </w:p>
    <w:p w:rsidR="00BD1064" w:rsidRPr="006724AB" w:rsidRDefault="00BD1064" w:rsidP="00BD1064">
      <w:pPr>
        <w:pStyle w:val="ListParagraph"/>
        <w:numPr>
          <w:ilvl w:val="0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b/>
          <w:color w:val="FF0000"/>
          <w:sz w:val="22"/>
        </w:rPr>
        <w:t>A</w:t>
      </w:r>
      <w:r w:rsidRPr="006724AB">
        <w:rPr>
          <w:rFonts w:cs="Arial"/>
          <w:sz w:val="22"/>
        </w:rPr>
        <w:t xml:space="preserve"> – Afebrile &gt; 24hours?</w:t>
      </w:r>
    </w:p>
    <w:p w:rsidR="00BD1064" w:rsidRPr="006724AB" w:rsidRDefault="00BD1064" w:rsidP="00BD1064">
      <w:pPr>
        <w:pStyle w:val="ListParagraph"/>
        <w:numPr>
          <w:ilvl w:val="1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Haemodynamically st</w:t>
      </w:r>
      <w:r>
        <w:rPr>
          <w:rFonts w:cs="Arial"/>
          <w:sz w:val="22"/>
        </w:rPr>
        <w:t>able (Patients temperature 36-</w:t>
      </w:r>
      <w:r w:rsidRPr="006724AB">
        <w:rPr>
          <w:rFonts w:cs="Arial"/>
          <w:sz w:val="22"/>
        </w:rPr>
        <w:t>38</w:t>
      </w:r>
      <w:r w:rsidRPr="00C73B36">
        <w:t>°</w:t>
      </w:r>
      <w:r w:rsidRPr="006724AB">
        <w:rPr>
          <w:rFonts w:cs="Arial"/>
          <w:sz w:val="22"/>
        </w:rPr>
        <w:t>C for 48hours) with no signs of fever)</w:t>
      </w:r>
    </w:p>
    <w:p w:rsidR="00BD1064" w:rsidRPr="006724AB" w:rsidRDefault="00BD1064" w:rsidP="00BD1064">
      <w:pPr>
        <w:pStyle w:val="ListParagraph"/>
        <w:numPr>
          <w:ilvl w:val="0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b/>
          <w:color w:val="FF0000"/>
          <w:sz w:val="22"/>
        </w:rPr>
        <w:t>B</w:t>
      </w:r>
      <w:r w:rsidRPr="006724AB">
        <w:rPr>
          <w:rFonts w:cs="Arial"/>
          <w:sz w:val="22"/>
        </w:rPr>
        <w:t xml:space="preserve"> – Able to take oral medication?</w:t>
      </w:r>
    </w:p>
    <w:p w:rsidR="00BD1064" w:rsidRPr="006724AB" w:rsidRDefault="00BD1064" w:rsidP="00BD1064">
      <w:pPr>
        <w:pStyle w:val="ListParagraph"/>
        <w:numPr>
          <w:ilvl w:val="1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Have a functional GI tract with no malabsorption and there is no interactions with other medications</w:t>
      </w:r>
    </w:p>
    <w:p w:rsidR="00BD1064" w:rsidRPr="006724AB" w:rsidRDefault="00BD1064" w:rsidP="00BD1064">
      <w:pPr>
        <w:pStyle w:val="ListParagraph"/>
        <w:numPr>
          <w:ilvl w:val="1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Suitable enteral antimicrobial drug available</w:t>
      </w:r>
    </w:p>
    <w:p w:rsidR="00BD1064" w:rsidRPr="006724AB" w:rsidRDefault="00BD1064" w:rsidP="00BD1064">
      <w:pPr>
        <w:pStyle w:val="ListParagraph"/>
        <w:numPr>
          <w:ilvl w:val="1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Patient can swallow and tolerate oral fluids via a tube into the gut</w:t>
      </w:r>
    </w:p>
    <w:p w:rsidR="00BD1064" w:rsidRPr="006724AB" w:rsidRDefault="00BD1064" w:rsidP="00BD1064">
      <w:pPr>
        <w:pStyle w:val="ListParagraph"/>
        <w:numPr>
          <w:ilvl w:val="1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Patient has no signs of malabsorption</w:t>
      </w:r>
    </w:p>
    <w:p w:rsidR="00BD1064" w:rsidRPr="006724AB" w:rsidRDefault="00BD1064" w:rsidP="00BD1064">
      <w:pPr>
        <w:pStyle w:val="ListParagraph"/>
        <w:numPr>
          <w:ilvl w:val="0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b/>
          <w:color w:val="FF0000"/>
          <w:sz w:val="22"/>
        </w:rPr>
        <w:t>C</w:t>
      </w:r>
      <w:r w:rsidRPr="006724AB">
        <w:rPr>
          <w:rFonts w:cs="Arial"/>
          <w:sz w:val="22"/>
        </w:rPr>
        <w:t xml:space="preserve"> – Clinically improving?</w:t>
      </w:r>
    </w:p>
    <w:p w:rsidR="00BD1064" w:rsidRPr="006724AB" w:rsidRDefault="00BD1064" w:rsidP="00BD1064">
      <w:pPr>
        <w:pStyle w:val="ListParagraph"/>
        <w:numPr>
          <w:ilvl w:val="1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Improving signs and symptoms of infection and patients general condition getting better</w:t>
      </w:r>
    </w:p>
    <w:p w:rsidR="00BD1064" w:rsidRPr="006724AB" w:rsidRDefault="00BD1064" w:rsidP="00BD1064">
      <w:pPr>
        <w:pStyle w:val="ListParagraph"/>
        <w:numPr>
          <w:ilvl w:val="1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Patients clinical markers improving after treatment with parental antimicrobial drugs:</w:t>
      </w:r>
    </w:p>
    <w:p w:rsidR="00BD1064" w:rsidRPr="006724AB" w:rsidRDefault="00BD1064" w:rsidP="00BD1064">
      <w:pPr>
        <w:pStyle w:val="ListParagraph"/>
        <w:numPr>
          <w:ilvl w:val="2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no unexplained tachycardia (heart rate less than 90 beats/minute in the past 12 hours)</w:t>
      </w:r>
    </w:p>
    <w:p w:rsidR="00BD1064" w:rsidRPr="006724AB" w:rsidRDefault="00BD1064" w:rsidP="00BD1064">
      <w:pPr>
        <w:pStyle w:val="ListParagraph"/>
        <w:numPr>
          <w:ilvl w:val="2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blood pressure stable (in the past 24 hours)</w:t>
      </w:r>
    </w:p>
    <w:p w:rsidR="00BD1064" w:rsidRPr="006724AB" w:rsidRDefault="00BD1064" w:rsidP="00BD1064">
      <w:pPr>
        <w:pStyle w:val="ListParagraph"/>
        <w:numPr>
          <w:ilvl w:val="2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respiratory rate less than 20 breaths/minute (in the past 24 hours)</w:t>
      </w:r>
    </w:p>
    <w:p w:rsidR="00BD1064" w:rsidRPr="006724AB" w:rsidRDefault="00BD1064" w:rsidP="00BD1064">
      <w:pPr>
        <w:pStyle w:val="ListParagraph"/>
        <w:numPr>
          <w:ilvl w:val="2"/>
          <w:numId w:val="2"/>
        </w:numPr>
        <w:spacing w:after="0" w:line="240" w:lineRule="auto"/>
        <w:jc w:val="left"/>
        <w:rPr>
          <w:rFonts w:cs="Arial"/>
          <w:sz w:val="22"/>
        </w:rPr>
      </w:pPr>
      <w:proofErr w:type="gramStart"/>
      <w:r w:rsidRPr="006724AB">
        <w:rPr>
          <w:rFonts w:cs="Arial"/>
          <w:sz w:val="22"/>
        </w:rPr>
        <w:t>white</w:t>
      </w:r>
      <w:proofErr w:type="gramEnd"/>
      <w:r w:rsidRPr="006724AB">
        <w:rPr>
          <w:rFonts w:cs="Arial"/>
          <w:sz w:val="22"/>
        </w:rPr>
        <w:t xml:space="preserve"> cell count 4–12 x 10</w:t>
      </w:r>
      <w:r w:rsidRPr="00062434">
        <w:rPr>
          <w:rFonts w:cs="Arial"/>
          <w:sz w:val="22"/>
          <w:vertAlign w:val="superscript"/>
        </w:rPr>
        <w:t>9</w:t>
      </w:r>
      <w:r w:rsidRPr="006724AB">
        <w:rPr>
          <w:rFonts w:cs="Arial"/>
          <w:sz w:val="22"/>
        </w:rPr>
        <w:t>/L OR a high white cell count that is falling (White cell count should show a trend towards normal; absence of such should not impede the switch if all other criteria are met and not neutropenic.</w:t>
      </w:r>
    </w:p>
    <w:p w:rsidR="00BD1064" w:rsidRPr="006724AB" w:rsidRDefault="00BD1064" w:rsidP="00BD1064">
      <w:pPr>
        <w:pStyle w:val="ListParagraph"/>
        <w:numPr>
          <w:ilvl w:val="2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falling C-reactive protein (CRP)</w:t>
      </w:r>
    </w:p>
    <w:p w:rsidR="00BD1064" w:rsidRPr="006724AB" w:rsidRDefault="00BD1064" w:rsidP="00BD1064">
      <w:pPr>
        <w:pStyle w:val="ListParagraph"/>
        <w:numPr>
          <w:ilvl w:val="0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b/>
          <w:color w:val="FF0000"/>
          <w:sz w:val="22"/>
        </w:rPr>
        <w:t>D</w:t>
      </w:r>
      <w:r w:rsidRPr="006724AB">
        <w:rPr>
          <w:rFonts w:cs="Arial"/>
          <w:sz w:val="22"/>
        </w:rPr>
        <w:t xml:space="preserve"> – Not suffering from certain deep-seated/high-risk infections? (see list below)</w:t>
      </w:r>
    </w:p>
    <w:p w:rsidR="00BD1064" w:rsidRDefault="00BD1064" w:rsidP="00BD1064">
      <w:pPr>
        <w:pStyle w:val="ListParagraph"/>
        <w:numPr>
          <w:ilvl w:val="1"/>
          <w:numId w:val="2"/>
        </w:num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>High tissue antimicrobial drug concentrations are not essential for infection being treated (i.e. it is not high-risk or deep-seated infection)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b/>
          <w:bCs/>
          <w:sz w:val="22"/>
        </w:rPr>
        <w:t xml:space="preserve">List of deep seated / high risk infections where IV duration may need to continue for longer: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C870A0">
        <w:rPr>
          <w:sz w:val="22"/>
        </w:rPr>
        <w:t>• Liver abscess</w:t>
      </w:r>
      <w:r w:rsidRPr="006724AB">
        <w:rPr>
          <w:rFonts w:cs="Arial"/>
          <w:sz w:val="22"/>
        </w:rPr>
        <w:t xml:space="preserve">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C870A0">
        <w:rPr>
          <w:sz w:val="22"/>
        </w:rPr>
        <w:t>• Osteomyelitis, Septic arthritis</w:t>
      </w:r>
      <w:r w:rsidRPr="006724AB">
        <w:rPr>
          <w:rFonts w:cs="Arial"/>
          <w:sz w:val="22"/>
        </w:rPr>
        <w:t xml:space="preserve">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 xml:space="preserve">• Inadequately drained abscesses or empyema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 xml:space="preserve">• </w:t>
      </w:r>
      <w:proofErr w:type="spellStart"/>
      <w:r w:rsidRPr="006724AB">
        <w:rPr>
          <w:rFonts w:cs="Arial"/>
          <w:sz w:val="22"/>
        </w:rPr>
        <w:t>Cavitating</w:t>
      </w:r>
      <w:proofErr w:type="spellEnd"/>
      <w:r w:rsidRPr="006724AB">
        <w:rPr>
          <w:rFonts w:cs="Arial"/>
          <w:sz w:val="22"/>
        </w:rPr>
        <w:t xml:space="preserve"> pneumonia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 xml:space="preserve">• </w:t>
      </w:r>
      <w:r w:rsidRPr="006724AB">
        <w:rPr>
          <w:rFonts w:cs="Arial"/>
          <w:i/>
          <w:iCs/>
          <w:sz w:val="22"/>
        </w:rPr>
        <w:t xml:space="preserve">Staphylococcus aureus </w:t>
      </w:r>
      <w:r w:rsidRPr="006724AB">
        <w:rPr>
          <w:rFonts w:cs="Arial"/>
          <w:sz w:val="22"/>
        </w:rPr>
        <w:t xml:space="preserve">bacteraemia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C870A0">
        <w:rPr>
          <w:sz w:val="22"/>
        </w:rPr>
        <w:t>• Severe necrotising soft tissue infections</w:t>
      </w:r>
      <w:r w:rsidRPr="006724AB">
        <w:rPr>
          <w:rFonts w:cs="Arial"/>
          <w:sz w:val="22"/>
        </w:rPr>
        <w:t xml:space="preserve">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 xml:space="preserve">• Severe infections during chemotherapy related neutropenia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 xml:space="preserve">• Infected implants/prosthesis </w:t>
      </w:r>
    </w:p>
    <w:p w:rsidR="00BD1064" w:rsidRPr="00C870A0" w:rsidRDefault="00BD1064" w:rsidP="00BD1064">
      <w:pPr>
        <w:spacing w:after="0" w:line="240" w:lineRule="auto"/>
        <w:jc w:val="left"/>
        <w:rPr>
          <w:sz w:val="22"/>
        </w:rPr>
      </w:pPr>
      <w:r w:rsidRPr="00C870A0">
        <w:rPr>
          <w:sz w:val="22"/>
        </w:rPr>
        <w:t xml:space="preserve">• Meningitis/encephalitis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 xml:space="preserve">• Intracranial abscesses </w:t>
      </w:r>
    </w:p>
    <w:p w:rsidR="00BD1064" w:rsidRPr="006724AB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6724AB">
        <w:rPr>
          <w:rFonts w:cs="Arial"/>
          <w:sz w:val="22"/>
        </w:rPr>
        <w:t xml:space="preserve">• </w:t>
      </w:r>
      <w:proofErr w:type="spellStart"/>
      <w:r w:rsidRPr="006724AB">
        <w:rPr>
          <w:rFonts w:cs="Arial"/>
          <w:sz w:val="22"/>
        </w:rPr>
        <w:t>Mediastinitis</w:t>
      </w:r>
      <w:proofErr w:type="spellEnd"/>
      <w:r w:rsidRPr="006724AB">
        <w:rPr>
          <w:rFonts w:cs="Arial"/>
          <w:sz w:val="22"/>
        </w:rPr>
        <w:t xml:space="preserve"> </w:t>
      </w:r>
    </w:p>
    <w:p w:rsidR="00BD1064" w:rsidRPr="00C870A0" w:rsidRDefault="00BD1064" w:rsidP="00BD1064">
      <w:pPr>
        <w:spacing w:after="0" w:line="240" w:lineRule="auto"/>
        <w:jc w:val="left"/>
        <w:rPr>
          <w:sz w:val="22"/>
        </w:rPr>
      </w:pPr>
      <w:r w:rsidRPr="00C870A0">
        <w:rPr>
          <w:sz w:val="22"/>
        </w:rPr>
        <w:t xml:space="preserve">• Endocarditis </w:t>
      </w:r>
    </w:p>
    <w:p w:rsidR="00BD1064" w:rsidRDefault="00BD1064" w:rsidP="00BD1064">
      <w:pPr>
        <w:spacing w:after="0" w:line="240" w:lineRule="auto"/>
        <w:jc w:val="left"/>
        <w:rPr>
          <w:rFonts w:cs="Arial"/>
          <w:sz w:val="22"/>
        </w:rPr>
      </w:pPr>
      <w:r w:rsidRPr="00C870A0">
        <w:rPr>
          <w:sz w:val="22"/>
        </w:rPr>
        <w:t xml:space="preserve">• Exacerbation of cystic fibrosis/bronchiectasis </w:t>
      </w:r>
    </w:p>
    <w:p w:rsidR="00BD1064" w:rsidRPr="00C870A0" w:rsidRDefault="00BD1064" w:rsidP="00BD1064">
      <w:pPr>
        <w:spacing w:after="0" w:line="240" w:lineRule="auto"/>
        <w:jc w:val="left"/>
        <w:rPr>
          <w:sz w:val="22"/>
        </w:rPr>
      </w:pPr>
    </w:p>
    <w:p w:rsidR="002743B9" w:rsidRDefault="008A77EB"/>
    <w:sectPr w:rsidR="002743B9" w:rsidSect="00226F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4567B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7B484D2B"/>
    <w:multiLevelType w:val="hybridMultilevel"/>
    <w:tmpl w:val="4CE687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064"/>
    <w:rsid w:val="00226F5B"/>
    <w:rsid w:val="00733FEE"/>
    <w:rsid w:val="008A77EB"/>
    <w:rsid w:val="00A047E1"/>
    <w:rsid w:val="00BD1064"/>
    <w:rsid w:val="00DD3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B4624"/>
  <w15:chartTrackingRefBased/>
  <w15:docId w15:val="{9CA6F941-7B80-4D0E-B887-694776BF5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1064"/>
    <w:pPr>
      <w:spacing w:line="480" w:lineRule="auto"/>
      <w:jc w:val="both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064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1064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b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1064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106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106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06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06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06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06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064"/>
    <w:rPr>
      <w:rFonts w:ascii="Arial" w:eastAsiaTheme="majorEastAsia" w:hAnsi="Arial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1064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D1064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1064"/>
    <w:rPr>
      <w:rFonts w:asciiTheme="majorHAnsi" w:eastAsiaTheme="majorEastAsia" w:hAnsiTheme="majorHAnsi" w:cstheme="majorBidi"/>
      <w:i/>
      <w:iCs/>
      <w:color w:val="2E74B5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1064"/>
    <w:rPr>
      <w:rFonts w:asciiTheme="majorHAnsi" w:eastAsiaTheme="majorEastAsia" w:hAnsiTheme="majorHAnsi" w:cstheme="majorBidi"/>
      <w:color w:val="2E74B5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064"/>
    <w:rPr>
      <w:rFonts w:asciiTheme="majorHAnsi" w:eastAsiaTheme="majorEastAsia" w:hAnsiTheme="majorHAnsi" w:cstheme="majorBidi"/>
      <w:color w:val="1F4D78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064"/>
    <w:rPr>
      <w:rFonts w:asciiTheme="majorHAnsi" w:eastAsiaTheme="majorEastAsia" w:hAnsiTheme="majorHAnsi" w:cstheme="majorBidi"/>
      <w:i/>
      <w:iCs/>
      <w:color w:val="1F4D78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06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06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link w:val="ListParagraphChar"/>
    <w:uiPriority w:val="34"/>
    <w:qFormat/>
    <w:rsid w:val="00BD1064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D1064"/>
    <w:rPr>
      <w:rFonts w:ascii="Arial" w:hAnsi="Arial"/>
      <w:sz w:val="20"/>
    </w:rPr>
  </w:style>
  <w:style w:type="character" w:styleId="LineNumber">
    <w:name w:val="line number"/>
    <w:basedOn w:val="DefaultParagraphFont"/>
    <w:uiPriority w:val="99"/>
    <w:semiHidden/>
    <w:unhideWhenUsed/>
    <w:rsid w:val="00BD10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1606</Characters>
  <Application>Microsoft Office Word</Application>
  <DocSecurity>0</DocSecurity>
  <Lines>13</Lines>
  <Paragraphs>3</Paragraphs>
  <ScaleCrop>false</ScaleCrop>
  <Company>University College London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Dutey-Magni</dc:creator>
  <cp:keywords/>
  <dc:description/>
  <cp:lastModifiedBy>Peter Dutey-Magni</cp:lastModifiedBy>
  <cp:revision>4</cp:revision>
  <dcterms:created xsi:type="dcterms:W3CDTF">2020-05-27T14:53:00Z</dcterms:created>
  <dcterms:modified xsi:type="dcterms:W3CDTF">2020-05-27T15:01:00Z</dcterms:modified>
</cp:coreProperties>
</file>