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1F665F" w14:textId="77777777" w:rsidR="00232743" w:rsidRPr="00393F30" w:rsidRDefault="00232743" w:rsidP="00232743">
      <w:pPr>
        <w:pStyle w:val="Heading1"/>
        <w:jc w:val="both"/>
      </w:pPr>
      <w:bookmarkStart w:id="0" w:name="_Ref129115399"/>
      <w:r w:rsidRPr="00393F30">
        <w:t>Appendix A. Grid-level uncertainty estimation</w:t>
      </w:r>
      <w:bookmarkEnd w:id="0"/>
    </w:p>
    <w:p w14:paraId="6DA71BF5" w14:textId="77777777" w:rsidR="00232743" w:rsidRPr="00013C89" w:rsidRDefault="00232743" w:rsidP="00232743">
      <w:pPr>
        <w:keepNext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i/>
          <w:color w:val="000000"/>
          <w:sz w:val="18"/>
          <w:szCs w:val="18"/>
        </w:rPr>
      </w:pPr>
      <w:bookmarkStart w:id="1" w:name="_3whwml4" w:colFirst="0" w:colLast="0"/>
      <w:bookmarkStart w:id="2" w:name="_Ref128849802"/>
      <w:bookmarkEnd w:id="1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bookmarkEnd w:id="2"/>
      <w:r>
        <w:t xml:space="preserve">. </w:t>
      </w:r>
      <w:r w:rsidRPr="00393F30">
        <w:rPr>
          <w:color w:val="000000"/>
        </w:rPr>
        <w:t>Summary of the statistical variables and terms.</w:t>
      </w:r>
    </w:p>
    <w:tbl>
      <w:tblPr>
        <w:tblW w:w="9322" w:type="dxa"/>
        <w:tblInd w:w="-10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20" w:firstRow="1" w:lastRow="0" w:firstColumn="0" w:lastColumn="0" w:noHBand="0" w:noVBand="1"/>
      </w:tblPr>
      <w:tblGrid>
        <w:gridCol w:w="1364"/>
        <w:gridCol w:w="7958"/>
      </w:tblGrid>
      <w:tr w:rsidR="00232743" w:rsidRPr="00393F30" w14:paraId="4BA7EA64" w14:textId="77777777" w:rsidTr="00781D3D">
        <w:trPr>
          <w:trHeight w:val="612"/>
        </w:trPr>
        <w:tc>
          <w:tcPr>
            <w:tcW w:w="1364" w:type="dxa"/>
            <w:vAlign w:val="center"/>
          </w:tcPr>
          <w:p w14:paraId="3EE870DA" w14:textId="77777777" w:rsidR="00232743" w:rsidRPr="00393F30" w:rsidRDefault="00232743" w:rsidP="00781D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color w:val="000000"/>
              </w:rPr>
            </w:pPr>
            <w:r w:rsidRPr="00393F30">
              <w:rPr>
                <w:color w:val="000000"/>
              </w:rPr>
              <w:t>Variables</w:t>
            </w:r>
          </w:p>
        </w:tc>
        <w:tc>
          <w:tcPr>
            <w:tcW w:w="7958" w:type="dxa"/>
            <w:vAlign w:val="center"/>
          </w:tcPr>
          <w:p w14:paraId="763E35EE" w14:textId="77777777" w:rsidR="00232743" w:rsidRPr="00393F30" w:rsidRDefault="00232743" w:rsidP="00781D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color w:val="000000"/>
              </w:rPr>
            </w:pPr>
            <w:r w:rsidRPr="00393F30">
              <w:rPr>
                <w:color w:val="000000"/>
              </w:rPr>
              <w:t>Description</w:t>
            </w:r>
          </w:p>
        </w:tc>
      </w:tr>
      <w:tr w:rsidR="00232743" w:rsidRPr="00393F30" w14:paraId="5A2B2641" w14:textId="77777777" w:rsidTr="00781D3D">
        <w:trPr>
          <w:trHeight w:val="612"/>
        </w:trPr>
        <w:tc>
          <w:tcPr>
            <w:tcW w:w="1364" w:type="dxa"/>
            <w:vAlign w:val="center"/>
          </w:tcPr>
          <w:p w14:paraId="03D7CCC8" w14:textId="77777777" w:rsidR="00232743" w:rsidRPr="00393F30" w:rsidRDefault="00232743" w:rsidP="00781D3D">
            <w:pPr>
              <w:jc w:val="center"/>
              <w:rPr>
                <w:color w:val="00000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Sa</m:t>
                    </m:r>
                  </m:sub>
                </m:sSub>
              </m:oMath>
            </m:oMathPara>
          </w:p>
        </w:tc>
        <w:tc>
          <w:tcPr>
            <w:tcW w:w="7958" w:type="dxa"/>
            <w:vAlign w:val="center"/>
          </w:tcPr>
          <w:p w14:paraId="08D7CEF4" w14:textId="77777777" w:rsidR="00232743" w:rsidRPr="00393F30" w:rsidRDefault="00232743" w:rsidP="00781D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color w:val="000000"/>
              </w:rPr>
            </w:pPr>
            <w:r w:rsidRPr="00393F30">
              <w:rPr>
                <w:color w:val="000000"/>
              </w:rPr>
              <w:t xml:space="preserve">An </w:t>
            </w:r>
            <w:r w:rsidRPr="00393F30">
              <w:rPr>
                <w:i/>
                <w:color w:val="000000"/>
              </w:rPr>
              <w:t>m</w:t>
            </w:r>
            <w:r w:rsidRPr="00393F30">
              <w:rPr>
                <w:color w:val="000000"/>
              </w:rPr>
              <w:t xml:space="preserve">-length column vector of GEDI canopy height samples over the window of interest where regionalized model is established; </w:t>
            </w:r>
            <m:oMath>
              <m:r>
                <w:rPr>
                  <w:rFonts w:ascii="Cambria Math" w:hAnsi="Cambria Math"/>
                  <w:color w:val="000000"/>
                </w:rPr>
                <m:t>Sa</m:t>
              </m:r>
            </m:oMath>
            <w:r w:rsidRPr="00393F30">
              <w:rPr>
                <w:color w:val="000000"/>
              </w:rPr>
              <w:t xml:space="preserve"> is the sample data with size </w:t>
            </w:r>
            <w:r w:rsidRPr="00393F30">
              <w:rPr>
                <w:i/>
                <w:color w:val="000000"/>
              </w:rPr>
              <w:t>m</w:t>
            </w:r>
            <w:r w:rsidRPr="00393F30">
              <w:rPr>
                <w:color w:val="000000"/>
              </w:rPr>
              <w:t xml:space="preserve"> </w:t>
            </w:r>
          </w:p>
        </w:tc>
      </w:tr>
      <w:tr w:rsidR="00232743" w:rsidRPr="00393F30" w14:paraId="4A70EF09" w14:textId="77777777" w:rsidTr="00781D3D">
        <w:trPr>
          <w:trHeight w:val="690"/>
        </w:trPr>
        <w:tc>
          <w:tcPr>
            <w:tcW w:w="1364" w:type="dxa"/>
            <w:vAlign w:val="center"/>
          </w:tcPr>
          <w:p w14:paraId="44676D9F" w14:textId="77777777" w:rsidR="00232743" w:rsidRPr="00393F30" w:rsidRDefault="00232743" w:rsidP="00781D3D">
            <w:pPr>
              <w:jc w:val="center"/>
              <w:rPr>
                <w:color w:val="00000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Sa</m:t>
                    </m:r>
                  </m:sub>
                </m:sSub>
              </m:oMath>
            </m:oMathPara>
          </w:p>
        </w:tc>
        <w:tc>
          <w:tcPr>
            <w:tcW w:w="7958" w:type="dxa"/>
            <w:vAlign w:val="center"/>
          </w:tcPr>
          <w:p w14:paraId="4EE536B7" w14:textId="77777777" w:rsidR="00232743" w:rsidRPr="00393F30" w:rsidRDefault="00232743" w:rsidP="00781D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color w:val="000000"/>
              </w:rPr>
            </w:pPr>
            <w:r w:rsidRPr="00393F30">
              <w:rPr>
                <w:color w:val="000000"/>
              </w:rPr>
              <w:t xml:space="preserve">An </w:t>
            </w:r>
            <w:r w:rsidRPr="00393F30">
              <w:rPr>
                <w:i/>
                <w:color w:val="000000"/>
              </w:rPr>
              <w:t xml:space="preserve">m × q </w:t>
            </w:r>
            <w:r w:rsidRPr="00393F30">
              <w:rPr>
                <w:color w:val="000000"/>
              </w:rPr>
              <w:t xml:space="preserve">matrix, with </w:t>
            </w:r>
            <w:r w:rsidRPr="00393F30">
              <w:rPr>
                <w:i/>
                <w:color w:val="000000"/>
              </w:rPr>
              <w:t>q</w:t>
            </w:r>
            <w:r w:rsidRPr="00393F30">
              <w:rPr>
                <w:color w:val="000000"/>
              </w:rPr>
              <w:t xml:space="preserve"> columns of TDX predictors (i.e. inverted TDX height and 1/</w:t>
            </w:r>
            <w:r w:rsidRPr="00393F30">
              <w:rPr>
                <w:i/>
              </w:rPr>
              <w:t>k</w:t>
            </w:r>
            <w:r w:rsidRPr="00393F30">
              <w:rPr>
                <w:i/>
                <w:vertAlign w:val="subscript"/>
              </w:rPr>
              <w:t>Z</w:t>
            </w:r>
            <w:r w:rsidRPr="00393F30">
              <w:rPr>
                <w:color w:val="000000"/>
              </w:rPr>
              <w:t xml:space="preserve">, </w:t>
            </w:r>
            <w:r w:rsidRPr="00393F30">
              <w:t>same after</w:t>
            </w:r>
            <w:r w:rsidRPr="00393F30">
              <w:rPr>
                <w:color w:val="000000"/>
              </w:rPr>
              <w:t>)</w:t>
            </w:r>
          </w:p>
        </w:tc>
      </w:tr>
      <w:tr w:rsidR="00232743" w:rsidRPr="00393F30" w14:paraId="5BF88E32" w14:textId="77777777" w:rsidTr="00781D3D">
        <w:trPr>
          <w:trHeight w:val="612"/>
        </w:trPr>
        <w:tc>
          <w:tcPr>
            <w:tcW w:w="1364" w:type="dxa"/>
            <w:vAlign w:val="center"/>
          </w:tcPr>
          <w:p w14:paraId="698EFCF7" w14:textId="77777777" w:rsidR="00232743" w:rsidRPr="00393F30" w:rsidRDefault="00232743" w:rsidP="00781D3D">
            <w:pPr>
              <w:jc w:val="center"/>
              <w:rPr>
                <w:color w:val="00000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U</m:t>
                    </m:r>
                  </m:sub>
                </m:sSub>
              </m:oMath>
            </m:oMathPara>
          </w:p>
        </w:tc>
        <w:tc>
          <w:tcPr>
            <w:tcW w:w="7958" w:type="dxa"/>
            <w:vAlign w:val="center"/>
          </w:tcPr>
          <w:p w14:paraId="2D8B819F" w14:textId="77777777" w:rsidR="00232743" w:rsidRPr="00393F30" w:rsidRDefault="00232743" w:rsidP="00781D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color w:val="000000"/>
              </w:rPr>
            </w:pPr>
            <w:r w:rsidRPr="00393F30">
              <w:rPr>
                <w:color w:val="000000"/>
              </w:rPr>
              <w:t xml:space="preserve">An </w:t>
            </w:r>
            <w:r w:rsidRPr="00393F30">
              <w:rPr>
                <w:i/>
                <w:color w:val="000000"/>
              </w:rPr>
              <w:t xml:space="preserve">N × q </w:t>
            </w:r>
            <w:r w:rsidRPr="00393F30">
              <w:rPr>
                <w:color w:val="000000"/>
              </w:rPr>
              <w:t xml:space="preserve">matrix, with </w:t>
            </w:r>
            <w:r w:rsidRPr="00393F30">
              <w:rPr>
                <w:i/>
                <w:color w:val="000000"/>
              </w:rPr>
              <w:t>q</w:t>
            </w:r>
            <w:r w:rsidRPr="00393F30">
              <w:rPr>
                <w:color w:val="000000"/>
              </w:rPr>
              <w:t xml:space="preserve"> columns of TDX predictors; </w:t>
            </w:r>
            <m:oMath>
              <m:r>
                <w:rPr>
                  <w:rFonts w:ascii="Cambria Math" w:hAnsi="Cambria Math"/>
                  <w:color w:val="000000"/>
                </w:rPr>
                <m:t>U</m:t>
              </m:r>
            </m:oMath>
            <w:r w:rsidRPr="00393F30">
              <w:rPr>
                <w:color w:val="000000"/>
              </w:rPr>
              <w:t xml:space="preserve"> is the population data (over the target region where regionalized model is applied for height prediction) with size </w:t>
            </w:r>
            <w:r w:rsidRPr="00393F30">
              <w:rPr>
                <w:i/>
                <w:color w:val="000000"/>
              </w:rPr>
              <w:t>N</w:t>
            </w:r>
          </w:p>
        </w:tc>
      </w:tr>
      <w:tr w:rsidR="00232743" w:rsidRPr="00393F30" w14:paraId="618D4A57" w14:textId="77777777" w:rsidTr="00781D3D">
        <w:trPr>
          <w:trHeight w:val="612"/>
        </w:trPr>
        <w:tc>
          <w:tcPr>
            <w:tcW w:w="1364" w:type="dxa"/>
            <w:vAlign w:val="center"/>
          </w:tcPr>
          <w:p w14:paraId="69740168" w14:textId="77777777" w:rsidR="00232743" w:rsidRPr="00393F30" w:rsidRDefault="00232743" w:rsidP="00781D3D">
            <w:pPr>
              <w:jc w:val="center"/>
              <w:rPr>
                <w:color w:val="000000"/>
              </w:rPr>
            </w:pPr>
            <m:oMathPara>
              <m:oMath>
                <m:r>
                  <w:rPr>
                    <w:rFonts w:ascii="Cambria Math" w:hAnsi="Cambria Math"/>
                  </w:rPr>
                  <m:t>α</m:t>
                </m:r>
              </m:oMath>
            </m:oMathPara>
          </w:p>
        </w:tc>
        <w:tc>
          <w:tcPr>
            <w:tcW w:w="7958" w:type="dxa"/>
            <w:vAlign w:val="center"/>
          </w:tcPr>
          <w:p w14:paraId="2266EC8B" w14:textId="77777777" w:rsidR="00232743" w:rsidRPr="00393F30" w:rsidRDefault="00232743" w:rsidP="00781D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color w:val="000000"/>
              </w:rPr>
            </w:pPr>
            <w:r w:rsidRPr="00393F30">
              <w:rPr>
                <w:color w:val="000000"/>
              </w:rPr>
              <w:t>A</w:t>
            </w:r>
            <w:r w:rsidRPr="00393F30">
              <w:rPr>
                <w:i/>
              </w:rPr>
              <w:t xml:space="preserve"> </w:t>
            </w:r>
            <w:r w:rsidRPr="00393F30">
              <w:rPr>
                <w:i/>
                <w:color w:val="000000"/>
              </w:rPr>
              <w:t>q</w:t>
            </w:r>
            <w:r w:rsidRPr="00393F30">
              <w:rPr>
                <w:color w:val="000000"/>
              </w:rPr>
              <w:t>-length</w:t>
            </w:r>
            <w:r w:rsidRPr="00393F30">
              <w:rPr>
                <w:i/>
                <w:color w:val="000000"/>
              </w:rPr>
              <w:t xml:space="preserve"> </w:t>
            </w:r>
            <w:r w:rsidRPr="00393F30">
              <w:rPr>
                <w:color w:val="000000"/>
              </w:rPr>
              <w:t xml:space="preserve">column vector of model parameters; </w:t>
            </w:r>
            <w:r w:rsidRPr="00393F30">
              <w:rPr>
                <w:i/>
                <w:color w:val="000000"/>
              </w:rPr>
              <w:t>q</w:t>
            </w:r>
            <w:r w:rsidRPr="00393F30">
              <w:rPr>
                <w:color w:val="000000"/>
              </w:rPr>
              <w:t xml:space="preserve"> is the number of TDX predictors; </w:t>
            </w:r>
            <m:oMath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α</m:t>
                  </m:r>
                </m:e>
              </m:acc>
              <m:r>
                <w:rPr>
                  <w:rFonts w:ascii="Cambria Math" w:hAnsi="Cambria Math"/>
                  <w:color w:val="000000"/>
                </w:rPr>
                <m:t xml:space="preserve"> </m:t>
              </m:r>
            </m:oMath>
            <w:r w:rsidRPr="00393F30">
              <w:rPr>
                <w:color w:val="000000"/>
              </w:rPr>
              <w:t>is an estimate of this vector</w:t>
            </w:r>
          </w:p>
        </w:tc>
      </w:tr>
      <w:tr w:rsidR="00232743" w:rsidRPr="00393F30" w14:paraId="659BB8B2" w14:textId="77777777" w:rsidTr="00781D3D">
        <w:trPr>
          <w:trHeight w:val="612"/>
        </w:trPr>
        <w:tc>
          <w:tcPr>
            <w:tcW w:w="1364" w:type="dxa"/>
            <w:vAlign w:val="center"/>
          </w:tcPr>
          <w:p w14:paraId="0469CE24" w14:textId="77777777" w:rsidR="00232743" w:rsidRPr="00393F30" w:rsidRDefault="00232743" w:rsidP="00781D3D">
            <w:pPr>
              <w:jc w:val="center"/>
              <w:rPr>
                <w:color w:val="00000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Sa</m:t>
                    </m:r>
                  </m:sub>
                </m:sSub>
              </m:oMath>
            </m:oMathPara>
          </w:p>
        </w:tc>
        <w:tc>
          <w:tcPr>
            <w:tcW w:w="7958" w:type="dxa"/>
            <w:vAlign w:val="center"/>
          </w:tcPr>
          <w:p w14:paraId="6A15E915" w14:textId="77777777" w:rsidR="00232743" w:rsidRPr="00393F30" w:rsidRDefault="00232743" w:rsidP="00781D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color w:val="000000"/>
              </w:rPr>
            </w:pPr>
            <w:r w:rsidRPr="00393F30">
              <w:rPr>
                <w:color w:val="000000"/>
              </w:rPr>
              <w:t xml:space="preserve">An </w:t>
            </w:r>
            <w:r w:rsidRPr="00393F30">
              <w:rPr>
                <w:i/>
                <w:color w:val="000000"/>
              </w:rPr>
              <w:t>m-</w:t>
            </w:r>
            <w:r w:rsidRPr="00393F30">
              <w:rPr>
                <w:color w:val="000000"/>
              </w:rPr>
              <w:t xml:space="preserve">length column vector of random error for GEDI-TDX model with zero expectation </w:t>
            </w:r>
          </w:p>
        </w:tc>
      </w:tr>
      <w:tr w:rsidR="00232743" w:rsidRPr="00393F30" w14:paraId="1419C8B2" w14:textId="77777777" w:rsidTr="00781D3D">
        <w:trPr>
          <w:trHeight w:val="612"/>
        </w:trPr>
        <w:tc>
          <w:tcPr>
            <w:tcW w:w="1364" w:type="dxa"/>
            <w:vAlign w:val="center"/>
          </w:tcPr>
          <w:p w14:paraId="22097E5A" w14:textId="77777777" w:rsidR="00232743" w:rsidRPr="00393F30" w:rsidRDefault="00232743" w:rsidP="00781D3D">
            <w:pPr>
              <w:jc w:val="center"/>
              <w:rPr>
                <w:color w:val="00000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ι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U</m:t>
                    </m:r>
                  </m:sub>
                  <m:sup>
                    <m:r>
                      <w:rPr>
                        <w:rFonts w:ascii="Cambria Math" w:hAnsi="Cambria Math"/>
                        <w:color w:val="000000"/>
                      </w:rPr>
                      <m:t>T</m:t>
                    </m:r>
                  </m:sup>
                </m:sSubSup>
              </m:oMath>
            </m:oMathPara>
          </w:p>
        </w:tc>
        <w:tc>
          <w:tcPr>
            <w:tcW w:w="7958" w:type="dxa"/>
            <w:vAlign w:val="center"/>
          </w:tcPr>
          <w:p w14:paraId="6140F592" w14:textId="77777777" w:rsidR="00232743" w:rsidRPr="00393F30" w:rsidRDefault="00232743" w:rsidP="00781D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color w:val="000000"/>
              </w:rPr>
            </w:pPr>
            <w:r w:rsidRPr="00393F30">
              <w:rPr>
                <w:color w:val="000000"/>
              </w:rPr>
              <w:t>An</w:t>
            </w:r>
            <w:r w:rsidRPr="00393F30">
              <w:rPr>
                <w:i/>
                <w:color w:val="000000"/>
              </w:rPr>
              <w:t xml:space="preserve"> N</w:t>
            </w:r>
            <w:r w:rsidRPr="00393F30">
              <w:rPr>
                <w:color w:val="000000"/>
              </w:rPr>
              <w:t xml:space="preserve">-length vector, each element of which is </w:t>
            </w:r>
            <w:r w:rsidRPr="00393F30">
              <w:rPr>
                <w:i/>
                <w:color w:val="000000"/>
              </w:rPr>
              <w:t>1/N</w:t>
            </w:r>
          </w:p>
        </w:tc>
      </w:tr>
      <w:tr w:rsidR="00232743" w:rsidRPr="00393F30" w14:paraId="6FE241AA" w14:textId="77777777" w:rsidTr="00781D3D">
        <w:trPr>
          <w:trHeight w:val="612"/>
        </w:trPr>
        <w:tc>
          <w:tcPr>
            <w:tcW w:w="1364" w:type="dxa"/>
            <w:vAlign w:val="center"/>
          </w:tcPr>
          <w:p w14:paraId="3C35024C" w14:textId="77777777" w:rsidR="00232743" w:rsidRPr="00393F30" w:rsidRDefault="00232743" w:rsidP="00781D3D">
            <w:pPr>
              <w:jc w:val="center"/>
              <w:rPr>
                <w:color w:val="00000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U</m:t>
                    </m:r>
                  </m:sub>
                </m:sSub>
              </m:oMath>
            </m:oMathPara>
          </w:p>
        </w:tc>
        <w:tc>
          <w:tcPr>
            <w:tcW w:w="7958" w:type="dxa"/>
            <w:vAlign w:val="center"/>
          </w:tcPr>
          <w:p w14:paraId="58A5E8D6" w14:textId="77777777" w:rsidR="00232743" w:rsidRPr="00393F30" w:rsidRDefault="00232743" w:rsidP="00781D3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color w:val="000000"/>
              </w:rPr>
            </w:pPr>
            <w:r w:rsidRPr="00393F30">
              <w:rPr>
                <w:color w:val="000000"/>
              </w:rPr>
              <w:t xml:space="preserve">Mean value of predicted height at the target population; </w:t>
            </w:r>
            <m:oMath>
              <m:sSub>
                <m:sSubPr>
                  <m:ctrlPr>
                    <w:rPr>
                      <w:rFonts w:ascii="Cambria Math" w:hAnsi="Cambria Math"/>
                      <w:color w:val="00000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μ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color w:val="000000"/>
                    </w:rPr>
                    <m:t>U</m:t>
                  </m:r>
                </m:sub>
              </m:sSub>
            </m:oMath>
            <w:r w:rsidRPr="00393F30">
              <w:rPr>
                <w:color w:val="000000"/>
              </w:rPr>
              <w:t xml:space="preserve"> is an estimate of the mean value</w:t>
            </w:r>
          </w:p>
        </w:tc>
      </w:tr>
      <w:tr w:rsidR="00232743" w:rsidRPr="00393F30" w14:paraId="29C44B60" w14:textId="77777777" w:rsidTr="00781D3D">
        <w:trPr>
          <w:trHeight w:val="612"/>
        </w:trPr>
        <w:tc>
          <w:tcPr>
            <w:tcW w:w="1364" w:type="dxa"/>
            <w:vAlign w:val="center"/>
          </w:tcPr>
          <w:p w14:paraId="55FE147D" w14:textId="77777777" w:rsidR="00232743" w:rsidRPr="00393F30" w:rsidRDefault="00232743" w:rsidP="00781D3D">
            <w:pPr>
              <w:jc w:val="center"/>
              <w:rPr>
                <w:color w:val="000000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</w:rPr>
                  <m:t>V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color w:val="000000"/>
                          </w:rPr>
                        </m:ctrlPr>
                      </m:sSub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color w:val="00000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color w:val="000000"/>
                              </w:rPr>
                              <m:t>μ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U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7958" w:type="dxa"/>
            <w:vAlign w:val="center"/>
          </w:tcPr>
          <w:p w14:paraId="0F64D176" w14:textId="77777777" w:rsidR="00232743" w:rsidRPr="00393F30" w:rsidRDefault="00232743" w:rsidP="00781D3D">
            <w:pPr>
              <w:jc w:val="both"/>
              <w:rPr>
                <w:color w:val="000000"/>
              </w:rPr>
            </w:pPr>
            <w:r w:rsidRPr="00393F30">
              <w:rPr>
                <w:color w:val="000000"/>
              </w:rPr>
              <w:t>Variance of the estimate of mean predicted height at the target population</w:t>
            </w:r>
          </w:p>
        </w:tc>
      </w:tr>
      <w:tr w:rsidR="00232743" w:rsidRPr="00393F30" w14:paraId="5BBAED92" w14:textId="77777777" w:rsidTr="00781D3D">
        <w:trPr>
          <w:trHeight w:val="612"/>
        </w:trPr>
        <w:tc>
          <w:tcPr>
            <w:tcW w:w="1364" w:type="dxa"/>
            <w:vAlign w:val="center"/>
          </w:tcPr>
          <w:p w14:paraId="6A8C5B7E" w14:textId="77777777" w:rsidR="00232743" w:rsidRPr="00393F30" w:rsidRDefault="00232743" w:rsidP="00781D3D">
            <w:pPr>
              <w:jc w:val="center"/>
              <w:rPr>
                <w:color w:val="000000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</w:rPr>
                  <m:t>Cov(</m:t>
                </m:r>
                <m:acc>
                  <m:acc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color w:val="000000"/>
                      </w:rPr>
                      <m:t>α</m:t>
                    </m:r>
                  </m:e>
                </m:acc>
                <m:r>
                  <w:rPr>
                    <w:rFonts w:ascii="Cambria Math" w:hAnsi="Cambria Math"/>
                    <w:color w:val="000000"/>
                  </w:rPr>
                  <m:t>)</m:t>
                </m:r>
              </m:oMath>
            </m:oMathPara>
          </w:p>
        </w:tc>
        <w:tc>
          <w:tcPr>
            <w:tcW w:w="7958" w:type="dxa"/>
            <w:vAlign w:val="center"/>
          </w:tcPr>
          <w:p w14:paraId="259EE4C4" w14:textId="77777777" w:rsidR="00232743" w:rsidRPr="00393F30" w:rsidRDefault="00232743" w:rsidP="00781D3D">
            <w:pPr>
              <w:rPr>
                <w:color w:val="000000"/>
              </w:rPr>
            </w:pPr>
            <w:r w:rsidRPr="00393F30">
              <w:rPr>
                <w:color w:val="000000"/>
              </w:rPr>
              <w:t xml:space="preserve">Covariance matrix of the model parameters </w:t>
            </w:r>
            <m:oMath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α</m:t>
                  </m:r>
                </m:e>
              </m:acc>
            </m:oMath>
            <w:r w:rsidRPr="00393F30">
              <w:rPr>
                <w:color w:val="000000"/>
              </w:rPr>
              <w:t>;</w:t>
            </w:r>
            <m:oMath>
              <m:r>
                <w:rPr>
                  <w:rFonts w:ascii="Cambria Math" w:hAnsi="Cambria Math"/>
                  <w:color w:val="000000"/>
                </w:rPr>
                <m:t xml:space="preserve"> </m:t>
              </m:r>
            </m:oMath>
            <w:r w:rsidRPr="00393F30">
              <w:rPr>
                <w:color w:val="000000"/>
              </w:rPr>
              <w:t xml:space="preserve"> </w:t>
            </w:r>
            <m:oMath>
              <m:acc>
                <m:accPr>
                  <m:ctrlPr>
                    <w:rPr>
                      <w:rFonts w:ascii="Cambria Math" w:hAnsi="Cambria Math"/>
                      <w:color w:val="000000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/>
                    </w:rPr>
                    <m:t>Cov</m:t>
                  </m:r>
                </m:e>
              </m:acc>
              <m:d>
                <m:dPr>
                  <m:ctrlPr>
                    <w:rPr>
                      <w:rFonts w:ascii="Cambria Math" w:hAnsi="Cambria Math"/>
                      <w:color w:val="000000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/>
                    </w:rPr>
                    <m:t xml:space="preserve"> </m:t>
                  </m:r>
                  <m:acc>
                    <m:accPr>
                      <m:ctrlPr>
                        <w:rPr>
                          <w:rFonts w:ascii="Cambria Math" w:hAnsi="Cambria Math"/>
                          <w:color w:val="00000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color w:val="000000"/>
                        </w:rPr>
                        <m:t>α</m:t>
                      </m:r>
                    </m:e>
                  </m:acc>
                </m:e>
              </m:d>
            </m:oMath>
            <w:r w:rsidRPr="00393F30">
              <w:rPr>
                <w:color w:val="000000"/>
              </w:rPr>
              <w:t xml:space="preserve"> is an estimate of the covariance matrix</w:t>
            </w:r>
          </w:p>
        </w:tc>
      </w:tr>
      <w:tr w:rsidR="00232743" w:rsidRPr="00393F30" w14:paraId="1DE27FA8" w14:textId="77777777" w:rsidTr="00781D3D">
        <w:trPr>
          <w:trHeight w:val="612"/>
        </w:trPr>
        <w:tc>
          <w:tcPr>
            <w:tcW w:w="1364" w:type="dxa"/>
            <w:vAlign w:val="center"/>
          </w:tcPr>
          <w:p w14:paraId="2D38E6FC" w14:textId="77777777" w:rsidR="00232743" w:rsidRPr="00393F30" w:rsidRDefault="00232743" w:rsidP="00781D3D">
            <w:pPr>
              <w:jc w:val="center"/>
              <w:rPr>
                <w:color w:val="00000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σ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/>
                  </w:rPr>
                  <m:t>Σ</m:t>
                </m:r>
              </m:oMath>
            </m:oMathPara>
          </w:p>
        </w:tc>
        <w:tc>
          <w:tcPr>
            <w:tcW w:w="7958" w:type="dxa"/>
            <w:vAlign w:val="center"/>
          </w:tcPr>
          <w:p w14:paraId="7B022F6E" w14:textId="77777777" w:rsidR="00232743" w:rsidRPr="00393F30" w:rsidRDefault="00232743" w:rsidP="00781D3D">
            <w:pPr>
              <w:jc w:val="both"/>
              <w:rPr>
                <w:color w:val="000000"/>
              </w:rPr>
            </w:pPr>
            <w:r w:rsidRPr="00393F30">
              <w:rPr>
                <w:color w:val="000000"/>
              </w:rPr>
              <w:t xml:space="preserve">Random error variance-covariance matrix; </w:t>
            </w:r>
            <m:oMath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sSup>
                    <m:sSupPr>
                      <m:ctrlPr>
                        <w:rPr>
                          <w:rFonts w:ascii="Cambria Math" w:hAnsi="Cambria Math"/>
                          <w:color w:val="000000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00"/>
                        </w:rPr>
                        <m:t>2</m:t>
                      </m:r>
                    </m:sup>
                  </m:sSup>
                </m:e>
              </m:acc>
            </m:oMath>
            <w:r w:rsidRPr="00393F30">
              <w:rPr>
                <w:color w:val="000000"/>
              </w:rPr>
              <w:t xml:space="preserve"> is an estimate of the constant</w:t>
            </w:r>
          </w:p>
        </w:tc>
      </w:tr>
      <w:tr w:rsidR="00232743" w:rsidRPr="00393F30" w14:paraId="385BFD73" w14:textId="77777777" w:rsidTr="00781D3D">
        <w:trPr>
          <w:trHeight w:val="612"/>
        </w:trPr>
        <w:tc>
          <w:tcPr>
            <w:tcW w:w="1364" w:type="dxa"/>
            <w:vAlign w:val="center"/>
          </w:tcPr>
          <w:p w14:paraId="15480AB4" w14:textId="77777777" w:rsidR="00232743" w:rsidRPr="00393F30" w:rsidRDefault="00232743" w:rsidP="00781D3D">
            <w:pPr>
              <w:jc w:val="center"/>
              <w:rPr>
                <w:color w:val="000000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</w:rPr>
                  <m:t>SSR</m:t>
                </m:r>
                <m:d>
                  <m:d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m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7958" w:type="dxa"/>
            <w:vAlign w:val="center"/>
          </w:tcPr>
          <w:p w14:paraId="07CF577D" w14:textId="77777777" w:rsidR="00232743" w:rsidRPr="00393F30" w:rsidRDefault="00232743" w:rsidP="00781D3D">
            <w:pPr>
              <w:jc w:val="both"/>
              <w:rPr>
                <w:color w:val="000000"/>
              </w:rPr>
            </w:pPr>
            <w:r w:rsidRPr="00393F30">
              <w:rPr>
                <w:color w:val="000000"/>
              </w:rPr>
              <w:t xml:space="preserve">Generalized sum of squared residuals due to model </w:t>
            </w:r>
            <m:oMath>
              <m:r>
                <w:rPr>
                  <w:rFonts w:ascii="Cambria Math" w:hAnsi="Cambria Math"/>
                  <w:color w:val="000000"/>
                </w:rPr>
                <m:t>F</m:t>
              </m:r>
            </m:oMath>
          </w:p>
        </w:tc>
      </w:tr>
      <w:tr w:rsidR="00232743" w:rsidRPr="00393F30" w14:paraId="7E4FC35F" w14:textId="77777777" w:rsidTr="00781D3D">
        <w:trPr>
          <w:trHeight w:val="612"/>
        </w:trPr>
        <w:tc>
          <w:tcPr>
            <w:tcW w:w="1364" w:type="dxa"/>
            <w:vAlign w:val="center"/>
          </w:tcPr>
          <w:p w14:paraId="3C16F09B" w14:textId="77777777" w:rsidR="00232743" w:rsidRPr="00393F30" w:rsidRDefault="00232743" w:rsidP="00781D3D">
            <w:pPr>
              <w:jc w:val="center"/>
              <w:rPr>
                <w:color w:val="00000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/>
                      </w:rPr>
                      <m:t>df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Sa</m:t>
                    </m:r>
                  </m:sub>
                </m:sSub>
              </m:oMath>
            </m:oMathPara>
          </w:p>
        </w:tc>
        <w:tc>
          <w:tcPr>
            <w:tcW w:w="7958" w:type="dxa"/>
            <w:vAlign w:val="center"/>
          </w:tcPr>
          <w:p w14:paraId="57193D41" w14:textId="77777777" w:rsidR="00232743" w:rsidRPr="00393F30" w:rsidRDefault="00232743" w:rsidP="00781D3D">
            <w:pPr>
              <w:jc w:val="both"/>
              <w:rPr>
                <w:color w:val="000000"/>
              </w:rPr>
            </w:pPr>
            <w:r w:rsidRPr="00393F30">
              <w:rPr>
                <w:color w:val="000000"/>
              </w:rPr>
              <w:t xml:space="preserve">Degree of freedom in model </w:t>
            </w:r>
            <m:oMath>
              <m:r>
                <w:rPr>
                  <w:rFonts w:ascii="Cambria Math" w:hAnsi="Cambria Math"/>
                  <w:color w:val="000000"/>
                </w:rPr>
                <m:t>F</m:t>
              </m:r>
            </m:oMath>
          </w:p>
        </w:tc>
      </w:tr>
      <w:tr w:rsidR="00232743" w:rsidRPr="00393F30" w14:paraId="2C55B5A5" w14:textId="77777777" w:rsidTr="00781D3D">
        <w:trPr>
          <w:trHeight w:val="612"/>
        </w:trPr>
        <w:tc>
          <w:tcPr>
            <w:tcW w:w="1364" w:type="dxa"/>
            <w:vAlign w:val="center"/>
          </w:tcPr>
          <w:p w14:paraId="55070EC5" w14:textId="77777777" w:rsidR="00232743" w:rsidRPr="00393F30" w:rsidRDefault="00232743" w:rsidP="00781D3D">
            <w:pPr>
              <w:jc w:val="center"/>
              <w:rPr>
                <w:color w:val="000000"/>
              </w:rPr>
            </w:pPr>
            <m:oMathPara>
              <m:oMath>
                <m:r>
                  <w:rPr>
                    <w:rFonts w:ascii="Cambria Math" w:hAnsi="Cambria Math"/>
                    <w:color w:val="000000"/>
                  </w:rPr>
                  <m:t>MSE</m:t>
                </m:r>
              </m:oMath>
            </m:oMathPara>
          </w:p>
        </w:tc>
        <w:tc>
          <w:tcPr>
            <w:tcW w:w="7958" w:type="dxa"/>
            <w:vAlign w:val="center"/>
          </w:tcPr>
          <w:p w14:paraId="0ACE6DC4" w14:textId="77777777" w:rsidR="00232743" w:rsidRPr="00393F30" w:rsidRDefault="00232743" w:rsidP="00781D3D">
            <w:pPr>
              <w:rPr>
                <w:color w:val="000000"/>
              </w:rPr>
            </w:pPr>
            <w:r w:rsidRPr="00393F30">
              <w:rPr>
                <w:color w:val="000000"/>
              </w:rPr>
              <w:t xml:space="preserve">Mean squared error of the prediction; </w:t>
            </w:r>
            <m:oMath>
              <m:acc>
                <m:accPr>
                  <m:ctrlPr>
                    <w:rPr>
                      <w:rFonts w:ascii="Cambria Math" w:hAnsi="Cambria Math"/>
                      <w:color w:val="000000"/>
                    </w:rPr>
                  </m:ctrlPr>
                </m:accPr>
                <m:e>
                  <m:r>
                    <w:rPr>
                      <w:rFonts w:ascii="Cambria Math" w:hAnsi="Cambria Math"/>
                      <w:color w:val="000000"/>
                    </w:rPr>
                    <m:t>MSE</m:t>
                  </m:r>
                </m:e>
              </m:acc>
            </m:oMath>
            <w:r w:rsidRPr="00393F30">
              <w:rPr>
                <w:color w:val="000000"/>
              </w:rPr>
              <w:t xml:space="preserve"> is an estimate of </w:t>
            </w:r>
            <m:oMath>
              <m:r>
                <w:rPr>
                  <w:rFonts w:ascii="Cambria Math" w:hAnsi="Cambria Math"/>
                  <w:color w:val="000000"/>
                </w:rPr>
                <m:t>MSE</m:t>
              </m:r>
            </m:oMath>
          </w:p>
        </w:tc>
      </w:tr>
    </w:tbl>
    <w:p w14:paraId="6F2652AE" w14:textId="77777777" w:rsidR="00232743" w:rsidRPr="00393F30" w:rsidRDefault="00232743" w:rsidP="00232743">
      <w:pPr>
        <w:spacing w:line="480" w:lineRule="auto"/>
        <w:ind w:firstLine="720"/>
        <w:jc w:val="both"/>
        <w:rPr>
          <w:color w:val="000000"/>
        </w:rPr>
      </w:pPr>
    </w:p>
    <w:p w14:paraId="2C3ED1F3" w14:textId="77777777" w:rsidR="00232743" w:rsidRPr="00393F30" w:rsidRDefault="00232743" w:rsidP="00232743">
      <w:pPr>
        <w:spacing w:line="480" w:lineRule="auto"/>
        <w:ind w:firstLine="720"/>
        <w:jc w:val="both"/>
        <w:rPr>
          <w:color w:val="000000"/>
        </w:rPr>
      </w:pPr>
      <w:r w:rsidRPr="00393F30">
        <w:rPr>
          <w:color w:val="000000"/>
        </w:rPr>
        <w:t xml:space="preserve">Statistical uncertainty analysis was conducted for the GTDX height product, following model-based inference described </w:t>
      </w:r>
      <w:r w:rsidRPr="00393F30">
        <w:t>by Saarela, Holm et al. (2022)</w:t>
      </w:r>
      <w:r w:rsidRPr="00393F30">
        <w:rPr>
          <w:color w:val="000000"/>
        </w:rPr>
        <w:t xml:space="preserve">. We first denote the </w:t>
      </w:r>
      <w:r w:rsidRPr="00393F30">
        <w:t xml:space="preserve">linear calibration </w:t>
      </w:r>
      <w:r w:rsidRPr="00393F30">
        <w:rPr>
          <w:color w:val="000000"/>
        </w:rPr>
        <w:t xml:space="preserve">model as </w:t>
      </w:r>
      <w:r w:rsidRPr="00393F30">
        <w:rPr>
          <w:i/>
          <w:color w:val="000000"/>
        </w:rPr>
        <w:t>F</w:t>
      </w:r>
      <w:r w:rsidRPr="00393F30">
        <w:rPr>
          <w:color w:val="000000"/>
        </w:rPr>
        <w:t xml:space="preserve"> that is fitted for a certain window:</w:t>
      </w:r>
    </w:p>
    <w:p w14:paraId="0109311F" w14:textId="77777777" w:rsidR="00232743" w:rsidRPr="00393F30" w:rsidRDefault="00232743" w:rsidP="00232743">
      <w:pPr>
        <w:spacing w:line="480" w:lineRule="auto"/>
        <w:ind w:firstLine="720"/>
        <w:jc w:val="right"/>
        <w:rPr>
          <w:i/>
          <w:color w:val="000000"/>
        </w:rPr>
      </w:pPr>
      <w:r w:rsidRPr="00393F30">
        <w:rPr>
          <w:noProof/>
          <w:color w:val="000000"/>
        </w:rPr>
        <w:lastRenderedPageBreak/>
        <w:drawing>
          <wp:inline distT="0" distB="0" distL="114300" distR="114300" wp14:anchorId="60CA897A" wp14:editId="5508E9EE">
            <wp:extent cx="104775" cy="200025"/>
            <wp:effectExtent l="0" t="0" r="0" b="0"/>
            <wp:docPr id="15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200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F: y</m:t>
            </m:r>
          </m:e>
          <m:sub>
            <m:r>
              <w:rPr>
                <w:rFonts w:ascii="Cambria Math" w:hAnsi="Cambria Math"/>
                <w:color w:val="000000"/>
              </w:rPr>
              <m:t>Sa</m:t>
            </m:r>
          </m:sub>
        </m:sSub>
        <m:r>
          <w:rPr>
            <w:rFonts w:ascii="Cambria Math" w:hAnsi="Cambria Math"/>
            <w:color w:val="000000"/>
          </w:rPr>
          <m:t>=</m:t>
        </m:r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X</m:t>
            </m:r>
          </m:e>
          <m:sub>
            <m:r>
              <w:rPr>
                <w:rFonts w:ascii="Cambria Math" w:hAnsi="Cambria Math"/>
                <w:color w:val="000000"/>
              </w:rPr>
              <m:t>Sa</m:t>
            </m:r>
          </m:sub>
        </m:sSub>
        <m:r>
          <w:rPr>
            <w:rFonts w:ascii="Cambria Math" w:hAnsi="Cambria Math"/>
            <w:color w:val="000000"/>
          </w:rPr>
          <m:t>α+</m:t>
        </m:r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e</m:t>
            </m:r>
          </m:e>
          <m:sub>
            <m:r>
              <w:rPr>
                <w:rFonts w:ascii="Cambria Math" w:hAnsi="Cambria Math"/>
                <w:color w:val="000000"/>
              </w:rPr>
              <m:t>Sa</m:t>
            </m:r>
          </m:sub>
        </m:sSub>
        <m:r>
          <w:rPr>
            <w:rFonts w:ascii="Cambria Math" w:hAnsi="Cambria Math"/>
            <w:color w:val="000000"/>
          </w:rPr>
          <m:t>,</m:t>
        </m:r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e</m:t>
            </m:r>
          </m:e>
          <m:sub>
            <m:r>
              <w:rPr>
                <w:rFonts w:ascii="Cambria Math" w:hAnsi="Cambria Math"/>
                <w:color w:val="000000"/>
              </w:rPr>
              <m:t>Sa</m:t>
            </m:r>
          </m:sub>
        </m:sSub>
        <m:r>
          <w:rPr>
            <w:rFonts w:ascii="Cambria Math" w:hAnsi="Cambria Math"/>
            <w:color w:val="000000"/>
          </w:rPr>
          <m:t xml:space="preserve"> ~N</m:t>
        </m:r>
        <m:d>
          <m:dPr>
            <m:ctrlPr>
              <w:rPr>
                <w:rFonts w:ascii="Cambria Math" w:hAnsi="Cambria Math"/>
                <w:color w:val="000000"/>
              </w:rPr>
            </m:ctrlPr>
          </m:dPr>
          <m:e>
            <m:r>
              <w:rPr>
                <w:rFonts w:ascii="Cambria Math" w:hAnsi="Cambria Math"/>
                <w:color w:val="000000"/>
              </w:rPr>
              <m:t>0,</m:t>
            </m:r>
            <m:sSup>
              <m:sSupPr>
                <m:ctrlPr>
                  <w:rPr>
                    <w:rFonts w:ascii="Cambria Math" w:hAnsi="Cambria Math"/>
                    <w:color w:val="000000"/>
                  </w:rPr>
                </m:ctrlPr>
              </m:sSupPr>
              <m:e>
                <m:r>
                  <w:rPr>
                    <w:rFonts w:ascii="Cambria Math" w:hAnsi="Cambria Math"/>
                    <w:color w:val="000000"/>
                  </w:rPr>
                  <m:t>σ</m:t>
                </m:r>
              </m:e>
              <m:sup>
                <m:r>
                  <w:rPr>
                    <w:rFonts w:ascii="Cambria Math" w:hAnsi="Cambria Math"/>
                    <w:color w:val="000000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/>
              </w:rPr>
              <m:t>Σ</m:t>
            </m:r>
          </m:e>
        </m:d>
      </m:oMath>
      <w:r w:rsidRPr="00393F30">
        <w:rPr>
          <w:color w:val="000000"/>
        </w:rPr>
        <w:t xml:space="preserve">                                  (2)</w:t>
      </w:r>
    </w:p>
    <w:p w14:paraId="58AE1D92" w14:textId="77777777" w:rsidR="00232743" w:rsidRPr="00393F30" w:rsidRDefault="00232743" w:rsidP="00232743">
      <w:pPr>
        <w:spacing w:line="480" w:lineRule="auto"/>
        <w:jc w:val="both"/>
        <w:rPr>
          <w:color w:val="000000"/>
        </w:rPr>
      </w:pPr>
      <w:r w:rsidRPr="00393F30">
        <w:rPr>
          <w:color w:val="000000"/>
        </w:rPr>
        <w:t xml:space="preserve">with </w:t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y</m:t>
            </m:r>
          </m:e>
          <m:sub>
            <m:r>
              <w:rPr>
                <w:rFonts w:ascii="Cambria Math" w:hAnsi="Cambria Math"/>
                <w:color w:val="000000"/>
              </w:rPr>
              <m:t>Sa</m:t>
            </m:r>
          </m:sub>
        </m:sSub>
      </m:oMath>
      <w:r w:rsidRPr="00393F30">
        <w:rPr>
          <w:color w:val="000000"/>
        </w:rPr>
        <w:t xml:space="preserve">, </w:t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X</m:t>
            </m:r>
          </m:e>
          <m:sub>
            <m:r>
              <w:rPr>
                <w:rFonts w:ascii="Cambria Math" w:hAnsi="Cambria Math"/>
                <w:color w:val="000000"/>
              </w:rPr>
              <m:t>Sa</m:t>
            </m:r>
          </m:sub>
        </m:sSub>
      </m:oMath>
      <w:r w:rsidRPr="00393F30">
        <w:rPr>
          <w:color w:val="000000"/>
        </w:rPr>
        <w:t>,</w:t>
      </w:r>
      <w:r w:rsidRPr="00393F30">
        <w:rPr>
          <w:b/>
          <w:color w:val="000000"/>
        </w:rPr>
        <w:t xml:space="preserve"> </w:t>
      </w:r>
      <m:oMath>
        <m:r>
          <w:rPr>
            <w:rFonts w:ascii="Cambria Math" w:hAnsi="Cambria Math"/>
          </w:rPr>
          <m:t>α</m:t>
        </m:r>
      </m:oMath>
      <w:r w:rsidRPr="00393F30">
        <w:rPr>
          <w:color w:val="000000"/>
        </w:rPr>
        <w:t xml:space="preserve">, and </w:t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e</m:t>
            </m:r>
          </m:e>
          <m:sub>
            <m:r>
              <w:rPr>
                <w:rFonts w:ascii="Cambria Math" w:hAnsi="Cambria Math"/>
                <w:color w:val="000000"/>
              </w:rPr>
              <m:t>Sa</m:t>
            </m:r>
          </m:sub>
        </m:sSub>
      </m:oMath>
      <w:r w:rsidRPr="00393F30">
        <w:rPr>
          <w:color w:val="000000"/>
        </w:rPr>
        <w:t xml:space="preserve"> described in 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REF _Ref128849802 \h 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t xml:space="preserve">Table </w:t>
      </w:r>
      <w:r>
        <w:rPr>
          <w:noProof/>
        </w:rPr>
        <w:t>3</w:t>
      </w:r>
      <w:r>
        <w:rPr>
          <w:color w:val="000000"/>
        </w:rPr>
        <w:fldChar w:fldCharType="end"/>
      </w:r>
      <w:r w:rsidRPr="00393F30">
        <w:rPr>
          <w:color w:val="000000"/>
        </w:rPr>
        <w:t xml:space="preserve">. The </w:t>
      </w:r>
      <w:r w:rsidRPr="00393F30">
        <w:rPr>
          <w:i/>
          <w:color w:val="000000"/>
        </w:rPr>
        <w:t>Sa</w:t>
      </w:r>
      <w:r w:rsidRPr="00393F30">
        <w:rPr>
          <w:color w:val="000000"/>
        </w:rPr>
        <w:t xml:space="preserve"> samples in </w:t>
      </w:r>
      <w:r w:rsidRPr="00393F30">
        <w:rPr>
          <w:i/>
          <w:color w:val="000000"/>
        </w:rPr>
        <w:t>F</w:t>
      </w:r>
      <w:r w:rsidRPr="00393F30">
        <w:rPr>
          <w:color w:val="000000"/>
        </w:rPr>
        <w:t xml:space="preserve"> are GEDI grid cells containing </w:t>
      </w:r>
      <w:r w:rsidRPr="00393F30">
        <w:rPr>
          <w:rFonts w:eastAsia="Gungsuh"/>
        </w:rPr>
        <w:t xml:space="preserve">≥1 shot at 25 m (or </w:t>
      </w:r>
      <w:r w:rsidRPr="00393F30">
        <w:rPr>
          <w:rFonts w:eastAsia="Gungsuh"/>
          <w:color w:val="000000"/>
        </w:rPr>
        <w:t xml:space="preserve">≥2 shots </w:t>
      </w:r>
      <w:r w:rsidRPr="00393F30">
        <w:t>at</w:t>
      </w:r>
      <w:r w:rsidRPr="00393F30">
        <w:rPr>
          <w:color w:val="000000"/>
        </w:rPr>
        <w:t xml:space="preserve"> 100</w:t>
      </w:r>
      <w:r w:rsidRPr="00393F30">
        <w:t xml:space="preserve"> </w:t>
      </w:r>
      <w:r w:rsidRPr="00393F30">
        <w:rPr>
          <w:color w:val="000000"/>
        </w:rPr>
        <w:t xml:space="preserve">m) within the </w:t>
      </w:r>
      <w:r w:rsidRPr="00393F30">
        <w:t xml:space="preserve">region </w:t>
      </w:r>
      <w:r w:rsidRPr="00393F30">
        <w:rPr>
          <w:color w:val="000000"/>
        </w:rPr>
        <w:t xml:space="preserve">of interest. </w:t>
      </w:r>
      <w:r w:rsidRPr="00393F30">
        <w:rPr>
          <w:i/>
          <w:color w:val="000000"/>
        </w:rPr>
        <w:t>Sa</w:t>
      </w:r>
      <w:r w:rsidRPr="00393F30">
        <w:rPr>
          <w:color w:val="000000"/>
        </w:rPr>
        <w:t xml:space="preserve"> have a size of </w:t>
      </w:r>
      <w:r w:rsidRPr="00393F30">
        <w:rPr>
          <w:i/>
          <w:color w:val="000000"/>
        </w:rPr>
        <w:t>m</w:t>
      </w:r>
      <w:r w:rsidRPr="00393F30">
        <w:rPr>
          <w:color w:val="000000"/>
        </w:rPr>
        <w:t xml:space="preserve">, depending on the number of available GEDI samples </w:t>
      </w:r>
      <w:r w:rsidRPr="00393F30">
        <w:t>for</w:t>
      </w:r>
      <w:r w:rsidRPr="00393F30">
        <w:rPr>
          <w:color w:val="000000"/>
        </w:rPr>
        <w:t xml:space="preserve"> </w:t>
      </w:r>
      <w:r w:rsidRPr="00393F30">
        <w:t>calibration</w:t>
      </w:r>
      <w:r w:rsidRPr="00393F30">
        <w:rPr>
          <w:color w:val="000000"/>
        </w:rPr>
        <w:t xml:space="preserve">. In this study, we applied the generalized least squares (GLS) estimator to estimate model parameters. We didn’t account for the uncertainty due to the estimation of the variance-covariance matrix </w:t>
      </w: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w:rPr>
                <w:rFonts w:ascii="Cambria Math" w:hAnsi="Cambria Math"/>
              </w:rPr>
              <m:t>σ</m:t>
            </m:r>
          </m:e>
          <m:sup>
            <m:r>
              <w:rPr>
                <w:rFonts w:ascii="Cambria Math" w:hAnsi="Cambria Math"/>
                <w:color w:val="000000"/>
              </w:rPr>
              <m:t>2</m:t>
            </m:r>
          </m:sup>
        </m:sSup>
        <m:r>
          <w:rPr>
            <w:rFonts w:ascii="Cambria Math" w:hAnsi="Cambria Math"/>
            <w:color w:val="000000"/>
          </w:rPr>
          <m:t>Σ,</m:t>
        </m:r>
      </m:oMath>
      <w:r w:rsidRPr="00393F30">
        <w:rPr>
          <w:color w:val="000000"/>
        </w:rPr>
        <w:t xml:space="preserve"> and assumed that they are known to a constant, i.e. </w:t>
      </w:r>
      <m:oMath>
        <m:acc>
          <m:accPr>
            <m:ctrlPr>
              <w:rPr>
                <w:rFonts w:ascii="Cambria Math" w:hAnsi="Cambria Math"/>
              </w:rPr>
            </m:ctrlPr>
          </m:accPr>
          <m:e>
            <m:sSup>
              <m:sSupPr>
                <m:ctrlPr>
                  <w:rPr>
                    <w:rFonts w:ascii="Cambria Math" w:hAnsi="Cambria Math"/>
                    <w:color w:val="000000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σ</m:t>
                </m:r>
              </m:e>
              <m:sup>
                <m:r>
                  <w:rPr>
                    <w:rFonts w:ascii="Cambria Math" w:hAnsi="Cambria Math"/>
                    <w:color w:val="000000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/>
              </w:rPr>
              <m:t>Σ</m:t>
            </m:r>
          </m:e>
        </m:acc>
        <m:r>
          <w:rPr>
            <w:rFonts w:ascii="Cambria Math" w:hAnsi="Cambria Math"/>
            <w:color w:val="000000"/>
          </w:rPr>
          <m:t>=</m:t>
        </m:r>
        <m:acc>
          <m:accPr>
            <m:ctrlPr>
              <w:rPr>
                <w:rFonts w:ascii="Cambria Math" w:hAnsi="Cambria Math"/>
                <w:color w:val="000000"/>
              </w:rPr>
            </m:ctrlPr>
          </m:accPr>
          <m:e>
            <m:sSup>
              <m:sSupPr>
                <m:ctrlPr>
                  <w:rPr>
                    <w:rFonts w:ascii="Cambria Math" w:hAnsi="Cambria Math"/>
                    <w:color w:val="000000"/>
                  </w:rPr>
                </m:ctrlPr>
              </m:sSupPr>
              <m:e>
                <m:r>
                  <w:rPr>
                    <w:rFonts w:ascii="Cambria Math" w:hAnsi="Cambria Math"/>
                    <w:color w:val="000000"/>
                  </w:rPr>
                  <m:t>σ</m:t>
                </m:r>
              </m:e>
              <m:sup>
                <m:r>
                  <w:rPr>
                    <w:rFonts w:ascii="Cambria Math" w:hAnsi="Cambria Math"/>
                    <w:color w:val="000000"/>
                  </w:rPr>
                  <m:t>2</m:t>
                </m:r>
              </m:sup>
            </m:sSup>
          </m:e>
        </m:acc>
        <m:r>
          <w:rPr>
            <w:rFonts w:ascii="Cambria Math" w:hAnsi="Cambria Math"/>
            <w:color w:val="000000"/>
          </w:rPr>
          <m:t>Σ</m:t>
        </m:r>
      </m:oMath>
      <w:r w:rsidRPr="00393F30">
        <w:rPr>
          <w:color w:val="000000"/>
        </w:rPr>
        <w:t xml:space="preserve">, which is a common practice when GLS estimators are applied (Davidson and MacKinnon 1993, Melville, Welsh et al. 2015). This provides  </w:t>
      </w:r>
      <m:oMath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α</m:t>
            </m:r>
          </m:e>
        </m:acc>
        <m:r>
          <w:rPr>
            <w:rFonts w:ascii="Cambria Math" w:hAnsi="Cambria Math"/>
            <w:color w:val="000000"/>
          </w:rPr>
          <m:t>=(</m:t>
        </m:r>
        <m:sSubSup>
          <m:sSubSupPr>
            <m:ctrlPr>
              <w:rPr>
                <w:rFonts w:ascii="Cambria Math" w:hAnsi="Cambria Math"/>
                <w:color w:val="000000"/>
              </w:rPr>
            </m:ctrlPr>
          </m:sSubSupPr>
          <m:e>
            <m:r>
              <w:rPr>
                <w:rFonts w:ascii="Cambria Math" w:hAnsi="Cambria Math"/>
                <w:color w:val="000000"/>
              </w:rPr>
              <m:t>X</m:t>
            </m:r>
          </m:e>
          <m:sub>
            <m:r>
              <w:rPr>
                <w:rFonts w:ascii="Cambria Math" w:hAnsi="Cambria Math"/>
                <w:color w:val="000000"/>
              </w:rPr>
              <m:t>Sa</m:t>
            </m:r>
          </m:sub>
          <m:sup>
            <m:r>
              <w:rPr>
                <w:rFonts w:ascii="Cambria Math" w:hAnsi="Cambria Math"/>
                <w:color w:val="000000"/>
              </w:rPr>
              <m:t>T</m:t>
            </m:r>
          </m:sup>
        </m:sSubSup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sSup>
              <m:sSupPr>
                <m:ctrlPr>
                  <w:rPr>
                    <w:rFonts w:ascii="Cambria Math" w:hAnsi="Cambria Math"/>
                    <w:color w:val="000000"/>
                  </w:rPr>
                </m:ctrlPr>
              </m:sSupPr>
              <m:e>
                <m:r>
                  <w:rPr>
                    <w:rFonts w:ascii="Cambria Math" w:hAnsi="Cambria Math"/>
                    <w:color w:val="000000"/>
                  </w:rPr>
                  <m:t>Σ</m:t>
                </m:r>
              </m:e>
              <m:sup>
                <m:r>
                  <w:rPr>
                    <w:rFonts w:ascii="Cambria Math" w:hAnsi="Cambria Math"/>
                    <w:color w:val="000000"/>
                  </w:rPr>
                  <m:t>-1</m:t>
                </m:r>
              </m:sup>
            </m:sSup>
            <m:r>
              <w:rPr>
                <w:rFonts w:ascii="Cambria Math" w:hAnsi="Cambria Math"/>
                <w:color w:val="000000"/>
              </w:rPr>
              <m:t>X</m:t>
            </m:r>
          </m:e>
          <m:sub>
            <m:r>
              <w:rPr>
                <w:rFonts w:ascii="Cambria Math" w:hAnsi="Cambria Math"/>
                <w:color w:val="000000"/>
              </w:rPr>
              <m:t>Sa</m:t>
            </m:r>
          </m:sub>
        </m:sSub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w:rPr>
                <w:rFonts w:ascii="Cambria Math" w:hAnsi="Cambria Math"/>
                <w:color w:val="000000"/>
              </w:rPr>
              <m:t>)</m:t>
            </m:r>
          </m:e>
          <m:sup>
            <m:r>
              <w:rPr>
                <w:rFonts w:ascii="Cambria Math" w:hAnsi="Cambria Math"/>
                <w:color w:val="000000"/>
              </w:rPr>
              <m:t>-1</m:t>
            </m:r>
          </m:sup>
        </m:sSup>
        <m:sSubSup>
          <m:sSubSupPr>
            <m:ctrlPr>
              <w:rPr>
                <w:rFonts w:ascii="Cambria Math" w:hAnsi="Cambria Math"/>
                <w:color w:val="000000"/>
              </w:rPr>
            </m:ctrlPr>
          </m:sSubSupPr>
          <m:e>
            <m:r>
              <w:rPr>
                <w:rFonts w:ascii="Cambria Math" w:hAnsi="Cambria Math"/>
                <w:color w:val="000000"/>
              </w:rPr>
              <m:t>X</m:t>
            </m:r>
          </m:e>
          <m:sub>
            <m:r>
              <w:rPr>
                <w:rFonts w:ascii="Cambria Math" w:hAnsi="Cambria Math"/>
                <w:color w:val="000000"/>
              </w:rPr>
              <m:t>Sa</m:t>
            </m:r>
          </m:sub>
          <m:sup>
            <m:r>
              <w:rPr>
                <w:rFonts w:ascii="Cambria Math" w:hAnsi="Cambria Math"/>
                <w:color w:val="000000"/>
              </w:rPr>
              <m:t>T</m:t>
            </m:r>
          </m:sup>
        </m:sSubSup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w:rPr>
                <w:rFonts w:ascii="Cambria Math" w:hAnsi="Cambria Math"/>
                <w:color w:val="000000"/>
              </w:rPr>
              <m:t>Σ</m:t>
            </m:r>
          </m:e>
          <m:sup>
            <m:r>
              <w:rPr>
                <w:rFonts w:ascii="Cambria Math" w:hAnsi="Cambria Math"/>
                <w:color w:val="000000"/>
              </w:rPr>
              <m:t>-1</m:t>
            </m:r>
          </m:sup>
        </m:sSup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y</m:t>
            </m:r>
          </m:e>
          <m:sub>
            <m:r>
              <w:rPr>
                <w:rFonts w:ascii="Cambria Math" w:hAnsi="Cambria Math"/>
                <w:color w:val="000000"/>
              </w:rPr>
              <m:t>Sa</m:t>
            </m:r>
          </m:sub>
        </m:sSub>
      </m:oMath>
      <w:r w:rsidRPr="00393F30">
        <w:rPr>
          <w:color w:val="000000"/>
        </w:rPr>
        <w:t xml:space="preserve">, where the covariance matrix </w:t>
      </w:r>
      <m:oMath>
        <m:r>
          <w:rPr>
            <w:rFonts w:ascii="Cambria Math" w:hAnsi="Cambria Math"/>
          </w:rPr>
          <m:t>Σ</m:t>
        </m:r>
      </m:oMath>
      <w:r w:rsidRPr="00393F30">
        <w:rPr>
          <w:color w:val="000000"/>
        </w:rPr>
        <w:t xml:space="preserve"> is not estimated but assumed known. </w:t>
      </w:r>
    </w:p>
    <w:p w14:paraId="2AB1436E" w14:textId="77777777" w:rsidR="00232743" w:rsidRPr="00393F30" w:rsidRDefault="00232743" w:rsidP="00232743">
      <w:pPr>
        <w:spacing w:line="480" w:lineRule="auto"/>
        <w:ind w:firstLine="720"/>
        <w:jc w:val="both"/>
        <w:rPr>
          <w:color w:val="000000"/>
        </w:rPr>
      </w:pPr>
      <w:r w:rsidRPr="00393F30">
        <w:rPr>
          <w:color w:val="000000"/>
        </w:rPr>
        <w:t>A predictor of the mean value (</w:t>
      </w:r>
      <w:r w:rsidRPr="00393F30">
        <w:rPr>
          <w:i/>
          <w:color w:val="000000"/>
        </w:rPr>
        <w:t>μ</w:t>
      </w:r>
      <w:r w:rsidRPr="00393F30">
        <w:rPr>
          <w:color w:val="000000"/>
        </w:rPr>
        <w:t>) of predicted height at the target population is</w:t>
      </w:r>
    </w:p>
    <w:p w14:paraId="6D74ACA6" w14:textId="77777777" w:rsidR="00232743" w:rsidRPr="00393F30" w:rsidRDefault="00232743" w:rsidP="00232743">
      <w:pPr>
        <w:spacing w:line="480" w:lineRule="auto"/>
        <w:ind w:firstLine="720"/>
        <w:jc w:val="right"/>
        <w:rPr>
          <w:color w:val="000000"/>
        </w:rPr>
      </w:pPr>
      <m:oMath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μ</m:t>
            </m:r>
          </m:e>
        </m:acc>
        <m:r>
          <w:rPr>
            <w:rFonts w:ascii="Cambria Math" w:hAnsi="Cambria Math"/>
            <w:color w:val="000000"/>
          </w:rPr>
          <m:t>=</m:t>
        </m:r>
        <m:sSubSup>
          <m:sSubSupPr>
            <m:ctrlPr>
              <w:rPr>
                <w:rFonts w:ascii="Cambria Math" w:hAnsi="Cambria Math"/>
                <w:color w:val="000000"/>
              </w:rPr>
            </m:ctrlPr>
          </m:sSubSupPr>
          <m:e>
            <m:r>
              <w:rPr>
                <w:rFonts w:ascii="Cambria Math" w:hAnsi="Cambria Math"/>
                <w:color w:val="000000"/>
              </w:rPr>
              <m:t>ι</m:t>
            </m:r>
          </m:e>
          <m:sub>
            <m:r>
              <w:rPr>
                <w:rFonts w:ascii="Cambria Math" w:hAnsi="Cambria Math"/>
                <w:color w:val="000000"/>
              </w:rPr>
              <m:t>U</m:t>
            </m:r>
          </m:sub>
          <m:sup>
            <m:r>
              <w:rPr>
                <w:rFonts w:ascii="Cambria Math" w:hAnsi="Cambria Math"/>
                <w:color w:val="000000"/>
              </w:rPr>
              <m:t>T</m:t>
            </m:r>
          </m:sup>
        </m:sSubSup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X</m:t>
            </m:r>
          </m:e>
          <m:sub>
            <m:r>
              <w:rPr>
                <w:rFonts w:ascii="Cambria Math" w:hAnsi="Cambria Math"/>
                <w:color w:val="000000"/>
              </w:rPr>
              <m:t>U</m:t>
            </m:r>
          </m:sub>
        </m:sSub>
        <m:acc>
          <m:accPr>
            <m:ctrlPr>
              <w:rPr>
                <w:rFonts w:ascii="Cambria Math" w:hAnsi="Cambria Math"/>
                <w:color w:val="000000"/>
              </w:rPr>
            </m:ctrlPr>
          </m:accPr>
          <m:e>
            <m:r>
              <w:rPr>
                <w:rFonts w:ascii="Cambria Math" w:hAnsi="Cambria Math"/>
                <w:color w:val="000000"/>
              </w:rPr>
              <m:t>α,</m:t>
            </m:r>
          </m:e>
        </m:acc>
      </m:oMath>
      <w:r w:rsidRPr="00393F30">
        <w:rPr>
          <w:b/>
          <w:color w:val="000000"/>
        </w:rPr>
        <w:t xml:space="preserve">                                                             </w:t>
      </w:r>
      <w:r w:rsidRPr="00393F30">
        <w:rPr>
          <w:color w:val="000000"/>
        </w:rPr>
        <w:t>(3)</w:t>
      </w:r>
    </w:p>
    <w:p w14:paraId="30104668" w14:textId="77777777" w:rsidR="00232743" w:rsidRPr="00393F30" w:rsidRDefault="00232743" w:rsidP="00232743">
      <w:pPr>
        <w:spacing w:line="480" w:lineRule="auto"/>
        <w:jc w:val="both"/>
        <w:rPr>
          <w:color w:val="000000"/>
        </w:rPr>
      </w:pPr>
      <w:r w:rsidRPr="00393F30">
        <w:rPr>
          <w:color w:val="000000"/>
        </w:rPr>
        <w:t xml:space="preserve">with </w:t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X</m:t>
            </m:r>
          </m:e>
          <m:sub>
            <m:r>
              <w:rPr>
                <w:rFonts w:ascii="Cambria Math" w:hAnsi="Cambria Math"/>
                <w:color w:val="000000"/>
              </w:rPr>
              <m:t>U</m:t>
            </m:r>
          </m:sub>
        </m:sSub>
      </m:oMath>
      <w:r w:rsidRPr="00393F30">
        <w:rPr>
          <w:i/>
          <w:color w:val="000000"/>
        </w:rPr>
        <w:t xml:space="preserve"> </w:t>
      </w:r>
      <w:r w:rsidRPr="00393F30">
        <w:rPr>
          <w:color w:val="000000"/>
        </w:rPr>
        <w:t>and</w:t>
      </w:r>
      <w:r w:rsidRPr="00393F30">
        <w:rPr>
          <w:i/>
          <w:color w:val="000000"/>
        </w:rPr>
        <w:t xml:space="preserve"> </w:t>
      </w:r>
      <m:oMath>
        <m:sSubSup>
          <m:sSubSupPr>
            <m:ctrlPr>
              <w:rPr>
                <w:rFonts w:ascii="Cambria Math" w:hAnsi="Cambria Math"/>
                <w:color w:val="000000"/>
              </w:rPr>
            </m:ctrlPr>
          </m:sSubSupPr>
          <m:e>
            <m:r>
              <w:rPr>
                <w:rFonts w:ascii="Cambria Math" w:hAnsi="Cambria Math"/>
              </w:rPr>
              <m:t>ι</m:t>
            </m:r>
          </m:e>
          <m:sub>
            <m:r>
              <w:rPr>
                <w:rFonts w:ascii="Cambria Math" w:hAnsi="Cambria Math"/>
                <w:color w:val="000000"/>
              </w:rPr>
              <m:t>U</m:t>
            </m:r>
          </m:sub>
          <m:sup>
            <m:r>
              <w:rPr>
                <w:rFonts w:ascii="Cambria Math" w:hAnsi="Cambria Math"/>
                <w:color w:val="000000"/>
              </w:rPr>
              <m:t>T</m:t>
            </m:r>
          </m:sup>
        </m:sSubSup>
      </m:oMath>
      <w:r w:rsidRPr="00393F30">
        <w:rPr>
          <w:color w:val="000000"/>
        </w:rPr>
        <w:t xml:space="preserve"> described in 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REF _Ref128849802 \h 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t xml:space="preserve">Table </w:t>
      </w:r>
      <w:r>
        <w:rPr>
          <w:noProof/>
        </w:rPr>
        <w:t>3</w:t>
      </w:r>
      <w:r>
        <w:rPr>
          <w:color w:val="000000"/>
        </w:rPr>
        <w:fldChar w:fldCharType="end"/>
      </w:r>
      <w:r w:rsidRPr="00393F30">
        <w:rPr>
          <w:color w:val="000000"/>
        </w:rPr>
        <w:t>.</w:t>
      </w:r>
    </w:p>
    <w:p w14:paraId="7B69BF0C" w14:textId="77777777" w:rsidR="00232743" w:rsidRPr="00393F30" w:rsidRDefault="00232743" w:rsidP="00232743">
      <w:pPr>
        <w:spacing w:line="480" w:lineRule="auto"/>
        <w:ind w:firstLine="720"/>
        <w:jc w:val="both"/>
        <w:rPr>
          <w:color w:val="000000"/>
        </w:rPr>
      </w:pPr>
      <w:r w:rsidRPr="00393F30">
        <w:rPr>
          <w:color w:val="000000"/>
        </w:rPr>
        <w:t xml:space="preserve">Variances of the prediction at the target population can be described as follows (Ståhl, Holm et al. 2011, Ståhl, Heikkinen et al. 2014): </w:t>
      </w:r>
    </w:p>
    <w:p w14:paraId="22D32333" w14:textId="77777777" w:rsidR="00232743" w:rsidRPr="00393F30" w:rsidRDefault="00232743" w:rsidP="00232743">
      <w:pPr>
        <w:spacing w:line="480" w:lineRule="auto"/>
        <w:ind w:firstLine="720"/>
        <w:jc w:val="right"/>
        <w:rPr>
          <w:color w:val="000000"/>
        </w:rPr>
      </w:pPr>
      <m:oMath>
        <m:r>
          <w:rPr>
            <w:rFonts w:ascii="Cambria Math" w:hAnsi="Cambria Math"/>
            <w:color w:val="000000"/>
          </w:rPr>
          <m:t>V</m:t>
        </m:r>
        <m:d>
          <m:dPr>
            <m:begChr m:val="["/>
            <m:endChr m:val="]"/>
            <m:ctrlPr>
              <w:rPr>
                <w:rFonts w:ascii="Cambria Math" w:hAnsi="Cambria Math"/>
                <w:color w:val="000000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color w:val="000000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color w:val="000000"/>
                      </w:rPr>
                      <m:t>μ</m:t>
                    </m:r>
                  </m:e>
                </m:acc>
              </m:e>
              <m:sub>
                <m:r>
                  <w:rPr>
                    <w:rFonts w:ascii="Cambria Math" w:hAnsi="Cambria Math"/>
                    <w:color w:val="000000"/>
                  </w:rPr>
                  <m:t>U</m:t>
                </m:r>
              </m:sub>
            </m:sSub>
          </m:e>
        </m:d>
        <m:r>
          <w:rPr>
            <w:rFonts w:ascii="Cambria Math" w:hAnsi="Cambria Math"/>
            <w:color w:val="000000"/>
          </w:rPr>
          <m:t>=</m:t>
        </m:r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sSubSup>
              <m:sSubSupPr>
                <m:ctrlPr>
                  <w:rPr>
                    <w:rFonts w:ascii="Cambria Math" w:hAnsi="Cambria Math"/>
                    <w:color w:val="000000"/>
                  </w:rPr>
                </m:ctrlPr>
              </m:sSubSupPr>
              <m:e>
                <m:r>
                  <w:rPr>
                    <w:rFonts w:ascii="Cambria Math" w:hAnsi="Cambria Math"/>
                    <w:color w:val="000000"/>
                  </w:rPr>
                  <m:t>ι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U</m:t>
                </m:r>
              </m:sub>
              <m:sup>
                <m:r>
                  <w:rPr>
                    <w:rFonts w:ascii="Cambria Math" w:hAnsi="Cambria Math"/>
                    <w:color w:val="000000"/>
                  </w:rPr>
                  <m:t>T</m:t>
                </m:r>
              </m:sup>
            </m:sSubSup>
            <m:r>
              <w:rPr>
                <w:rFonts w:ascii="Cambria Math" w:hAnsi="Cambria Math"/>
                <w:color w:val="000000"/>
              </w:rPr>
              <m:t>X</m:t>
            </m:r>
          </m:e>
          <m:sub>
            <m:r>
              <w:rPr>
                <w:rFonts w:ascii="Cambria Math" w:hAnsi="Cambria Math"/>
                <w:color w:val="000000"/>
              </w:rPr>
              <m:t>U</m:t>
            </m:r>
          </m:sub>
        </m:sSub>
        <m:acc>
          <m:accPr>
            <m:ctrlPr>
              <w:rPr>
                <w:rFonts w:ascii="Cambria Math" w:hAnsi="Cambria Math"/>
                <w:color w:val="000000"/>
              </w:rPr>
            </m:ctrlPr>
          </m:accPr>
          <m:e>
            <m:r>
              <w:rPr>
                <w:rFonts w:ascii="Cambria Math" w:hAnsi="Cambria Math"/>
                <w:color w:val="000000"/>
              </w:rPr>
              <m:t>Cov</m:t>
            </m:r>
          </m:e>
        </m:acc>
        <m:d>
          <m:dPr>
            <m:ctrlPr>
              <w:rPr>
                <w:rFonts w:ascii="Cambria Math" w:hAnsi="Cambria Math"/>
                <w:color w:val="000000"/>
              </w:rPr>
            </m:ctrlPr>
          </m:dPr>
          <m:e>
            <m:acc>
              <m:accPr>
                <m:ctrlPr>
                  <w:rPr>
                    <w:rFonts w:ascii="Cambria Math" w:hAnsi="Cambria Math"/>
                    <w:color w:val="000000"/>
                  </w:rPr>
                </m:ctrlPr>
              </m:accPr>
              <m:e>
                <m:r>
                  <w:rPr>
                    <w:rFonts w:ascii="Cambria Math" w:hAnsi="Cambria Math"/>
                    <w:color w:val="000000"/>
                  </w:rPr>
                  <m:t>α</m:t>
                </m:r>
              </m:e>
            </m:acc>
          </m:e>
        </m:d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  <w:color w:val="000000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</w:rPr>
                  <m:t>X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U</m:t>
                </m:r>
              </m:sub>
            </m:sSub>
          </m:e>
          <m:sup>
            <m:r>
              <w:rPr>
                <w:rFonts w:ascii="Cambria Math" w:hAnsi="Cambria Math"/>
                <w:color w:val="000000"/>
              </w:rPr>
              <m:t>T</m:t>
            </m:r>
          </m:sup>
        </m:sSup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ι</m:t>
            </m:r>
          </m:e>
          <m:sub>
            <m:r>
              <w:rPr>
                <w:rFonts w:ascii="Cambria Math" w:hAnsi="Cambria Math"/>
                <w:color w:val="000000"/>
              </w:rPr>
              <m:t>U</m:t>
            </m:r>
          </m:sub>
        </m:sSub>
      </m:oMath>
      <w:r w:rsidRPr="00393F30">
        <w:rPr>
          <w:color w:val="000000"/>
        </w:rPr>
        <w:t>.                                                 (4)</w:t>
      </w:r>
    </w:p>
    <w:p w14:paraId="18FA2E7A" w14:textId="77777777" w:rsidR="00232743" w:rsidRPr="00393F30" w:rsidRDefault="00232743" w:rsidP="00232743">
      <w:pPr>
        <w:spacing w:line="480" w:lineRule="auto"/>
        <w:ind w:firstLine="720"/>
        <w:jc w:val="both"/>
        <w:rPr>
          <w:color w:val="000000"/>
        </w:rPr>
      </w:pPr>
      <w:r w:rsidRPr="00393F30">
        <w:rPr>
          <w:color w:val="000000"/>
        </w:rPr>
        <w:t xml:space="preserve">The covariance matrix </w:t>
      </w:r>
      <m:oMath>
        <m:acc>
          <m:accPr>
            <m:ctrlPr>
              <w:rPr>
                <w:rFonts w:ascii="Cambria Math" w:hAnsi="Cambria Math"/>
                <w:color w:val="000000"/>
              </w:rPr>
            </m:ctrlPr>
          </m:accPr>
          <m:e>
            <m:r>
              <w:rPr>
                <w:rFonts w:ascii="Cambria Math" w:hAnsi="Cambria Math"/>
                <w:color w:val="000000"/>
              </w:rPr>
              <m:t>Cov</m:t>
            </m:r>
          </m:e>
        </m:acc>
        <m:d>
          <m:dPr>
            <m:ctrlPr>
              <w:rPr>
                <w:rFonts w:ascii="Cambria Math" w:hAnsi="Cambria Math"/>
                <w:color w:val="000000"/>
              </w:rPr>
            </m:ctrlPr>
          </m:dPr>
          <m:e>
            <m:acc>
              <m:accPr>
                <m:ctrlPr>
                  <w:rPr>
                    <w:rFonts w:ascii="Cambria Math" w:hAnsi="Cambria Math"/>
                    <w:color w:val="000000"/>
                  </w:rPr>
                </m:ctrlPr>
              </m:accPr>
              <m:e>
                <m:r>
                  <w:rPr>
                    <w:rFonts w:ascii="Cambria Math" w:hAnsi="Cambria Math"/>
                    <w:color w:val="000000"/>
                  </w:rPr>
                  <m:t>α</m:t>
                </m:r>
              </m:e>
            </m:acc>
          </m:e>
        </m:d>
      </m:oMath>
      <w:r w:rsidRPr="00393F30">
        <w:rPr>
          <w:color w:val="000000"/>
        </w:rPr>
        <w:t xml:space="preserve"> can be calculated as:</w:t>
      </w:r>
    </w:p>
    <w:p w14:paraId="50D5B4B8" w14:textId="77777777" w:rsidR="00232743" w:rsidRPr="00393F30" w:rsidRDefault="00232743" w:rsidP="00232743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line="480" w:lineRule="auto"/>
        <w:jc w:val="both"/>
        <w:rPr>
          <w:color w:val="000000"/>
        </w:rPr>
      </w:pPr>
      <w:r w:rsidRPr="00393F30">
        <w:rPr>
          <w:color w:val="000000"/>
        </w:rPr>
        <w:tab/>
      </w:r>
      <m:oMath>
        <m:acc>
          <m:accPr>
            <m:ctrlPr>
              <w:rPr>
                <w:rFonts w:ascii="Cambria Math" w:hAnsi="Cambria Math"/>
                <w:color w:val="000000"/>
              </w:rPr>
            </m:ctrlPr>
          </m:accPr>
          <m:e>
            <m:r>
              <w:rPr>
                <w:rFonts w:ascii="Cambria Math" w:hAnsi="Cambria Math"/>
                <w:color w:val="000000"/>
              </w:rPr>
              <m:t>Cov</m:t>
            </m:r>
          </m:e>
        </m:acc>
        <m:d>
          <m:dPr>
            <m:ctrlPr>
              <w:rPr>
                <w:rFonts w:ascii="Cambria Math" w:hAnsi="Cambria Math"/>
                <w:color w:val="000000"/>
              </w:rPr>
            </m:ctrlPr>
          </m:dPr>
          <m:e>
            <m:acc>
              <m:accPr>
                <m:ctrlPr>
                  <w:rPr>
                    <w:rFonts w:ascii="Cambria Math" w:hAnsi="Cambria Math"/>
                    <w:color w:val="000000"/>
                  </w:rPr>
                </m:ctrlPr>
              </m:accPr>
              <m:e>
                <m:r>
                  <w:rPr>
                    <w:rFonts w:ascii="Cambria Math" w:hAnsi="Cambria Math"/>
                    <w:color w:val="000000"/>
                  </w:rPr>
                  <m:t>α</m:t>
                </m:r>
              </m:e>
            </m:acc>
          </m:e>
        </m:d>
        <m:r>
          <w:rPr>
            <w:rFonts w:ascii="Cambria Math" w:hAnsi="Cambria Math"/>
            <w:color w:val="000000"/>
          </w:rPr>
          <m:t>=</m:t>
        </m:r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acc>
              <m:accPr>
                <m:ctrlPr>
                  <w:rPr>
                    <w:rFonts w:ascii="Cambria Math" w:hAnsi="Cambria Math"/>
                    <w:color w:val="000000"/>
                  </w:rPr>
                </m:ctrlPr>
              </m:accPr>
              <m:e>
                <m:sSup>
                  <m:sSup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/>
                      </w:rPr>
                      <m:t>σ</m:t>
                    </m:r>
                  </m:e>
                  <m:sup>
                    <m:r>
                      <w:rPr>
                        <w:rFonts w:ascii="Cambria Math" w:hAnsi="Cambria Math"/>
                        <w:color w:val="000000"/>
                      </w:rPr>
                      <m:t>2</m:t>
                    </m:r>
                  </m:sup>
                </m:sSup>
              </m:e>
            </m:acc>
            <m:d>
              <m:dPr>
                <m:ctrlPr>
                  <w:rPr>
                    <w:rFonts w:ascii="Cambria Math" w:hAnsi="Cambria Math"/>
                    <w:color w:val="00000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000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Sa</m:t>
                    </m:r>
                  </m:sub>
                  <m:sup>
                    <m:r>
                      <w:rPr>
                        <w:rFonts w:ascii="Cambria Math" w:hAnsi="Cambria Math"/>
                        <w:color w:val="000000"/>
                      </w:rPr>
                      <m:t>T</m:t>
                    </m:r>
                  </m:sup>
                </m:sSubSup>
                <m:sSub>
                  <m:sSub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  <w:color w:val="00000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Σ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/>
                          </w:rPr>
                          <m:t>-1</m:t>
                        </m:r>
                      </m:sup>
                    </m:sSup>
                    <m:r>
                      <w:rPr>
                        <w:rFonts w:ascii="Cambria Math" w:hAnsi="Cambria Math"/>
                        <w:color w:val="00000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Sa</m:t>
                    </m:r>
                  </m:sub>
                </m:sSub>
              </m:e>
            </m:d>
          </m:e>
          <m:sup>
            <m:r>
              <w:rPr>
                <w:rFonts w:ascii="Cambria Math" w:hAnsi="Cambria Math"/>
                <w:color w:val="000000"/>
              </w:rPr>
              <m:t>-1</m:t>
            </m:r>
          </m:sup>
        </m:sSup>
      </m:oMath>
      <w:r w:rsidRPr="00393F30">
        <w:rPr>
          <w:color w:val="000000"/>
        </w:rPr>
        <w:t>,</w:t>
      </w:r>
      <w:r w:rsidRPr="00393F30">
        <w:rPr>
          <w:color w:val="000000"/>
        </w:rPr>
        <w:tab/>
        <w:t>(5)</w:t>
      </w:r>
    </w:p>
    <w:p w14:paraId="3182CBBD" w14:textId="77777777" w:rsidR="00232743" w:rsidRPr="00393F30" w:rsidRDefault="00232743" w:rsidP="00232743">
      <w:pPr>
        <w:spacing w:line="480" w:lineRule="auto"/>
        <w:jc w:val="both"/>
        <w:rPr>
          <w:i/>
          <w:color w:val="000000"/>
        </w:rPr>
      </w:pPr>
      <w:r w:rsidRPr="00393F30">
        <w:rPr>
          <w:color w:val="000000"/>
        </w:rPr>
        <w:t xml:space="preserve">where </w:t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X</m:t>
            </m:r>
          </m:e>
          <m:sub>
            <m:r>
              <w:rPr>
                <w:rFonts w:ascii="Cambria Math" w:hAnsi="Cambria Math"/>
                <w:color w:val="000000"/>
              </w:rPr>
              <m:t>Sa</m:t>
            </m:r>
          </m:sub>
        </m:sSub>
      </m:oMath>
      <w:r w:rsidRPr="00393F30">
        <w:rPr>
          <w:color w:val="000000"/>
        </w:rPr>
        <w:t xml:space="preserve"> is a matrix of TDX predictor </w:t>
      </w:r>
      <w:r w:rsidRPr="00393F30">
        <w:t>variables</w:t>
      </w:r>
      <w:r w:rsidRPr="00393F30">
        <w:rPr>
          <w:color w:val="000000"/>
        </w:rPr>
        <w:t xml:space="preserve"> over dataset </w:t>
      </w:r>
      <w:r w:rsidRPr="00393F30">
        <w:rPr>
          <w:i/>
          <w:color w:val="000000"/>
        </w:rPr>
        <w:t>Sa</w:t>
      </w:r>
      <w:r w:rsidRPr="00393F30">
        <w:rPr>
          <w:color w:val="000000"/>
        </w:rPr>
        <w:t>.</w:t>
      </w:r>
    </w:p>
    <w:p w14:paraId="01CEE3C9" w14:textId="77777777" w:rsidR="00232743" w:rsidRPr="00393F30" w:rsidRDefault="00232743" w:rsidP="00232743">
      <w:pPr>
        <w:spacing w:line="480" w:lineRule="auto"/>
        <w:ind w:firstLine="720"/>
        <w:jc w:val="both"/>
        <w:rPr>
          <w:color w:val="000000"/>
        </w:rPr>
      </w:pPr>
      <w:r w:rsidRPr="00393F30">
        <w:rPr>
          <w:color w:val="000000"/>
        </w:rPr>
        <w:t xml:space="preserve">If the target population U is large, the variance of prediction </w:t>
      </w:r>
      <m:oMath>
        <m:r>
          <w:rPr>
            <w:rFonts w:ascii="Cambria Math" w:hAnsi="Cambria Math"/>
            <w:color w:val="000000"/>
          </w:rPr>
          <m:t>V</m:t>
        </m:r>
        <m:d>
          <m:dPr>
            <m:begChr m:val="["/>
            <m:endChr m:val="]"/>
            <m:ctrlPr>
              <w:rPr>
                <w:rFonts w:ascii="Cambria Math" w:hAnsi="Cambria Math"/>
                <w:color w:val="000000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color w:val="000000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color w:val="000000"/>
                      </w:rPr>
                      <m:t>μ</m:t>
                    </m:r>
                  </m:e>
                </m:acc>
              </m:e>
              <m:sub>
                <m:r>
                  <w:rPr>
                    <w:rFonts w:ascii="Cambria Math" w:hAnsi="Cambria Math"/>
                    <w:color w:val="000000"/>
                  </w:rPr>
                  <m:t>U</m:t>
                </m:r>
              </m:sub>
            </m:sSub>
          </m:e>
        </m:d>
      </m:oMath>
      <w:r w:rsidRPr="00393F30">
        <w:rPr>
          <w:color w:val="000000"/>
        </w:rPr>
        <w:t xml:space="preserve"> is approximately equal to the mean squared error (MSE) of the prediction, i.e. </w:t>
      </w:r>
      <m:oMath>
        <m:r>
          <w:rPr>
            <w:rFonts w:ascii="Cambria Math" w:hAnsi="Cambria Math"/>
            <w:color w:val="000000"/>
          </w:rPr>
          <m:t>V</m:t>
        </m:r>
        <m:d>
          <m:dPr>
            <m:begChr m:val="["/>
            <m:endChr m:val="]"/>
            <m:ctrlPr>
              <w:rPr>
                <w:rFonts w:ascii="Cambria Math" w:hAnsi="Cambria Math"/>
                <w:color w:val="000000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color w:val="000000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color w:val="000000"/>
                      </w:rPr>
                      <m:t>μ</m:t>
                    </m:r>
                  </m:e>
                </m:acc>
              </m:e>
              <m:sub>
                <m:r>
                  <w:rPr>
                    <w:rFonts w:ascii="Cambria Math" w:hAnsi="Cambria Math"/>
                    <w:color w:val="000000"/>
                  </w:rPr>
                  <m:t>U</m:t>
                </m:r>
              </m:sub>
            </m:sSub>
          </m:e>
        </m:d>
        <m:r>
          <w:rPr>
            <w:rFonts w:ascii="Cambria Math" w:hAnsi="Cambria Math"/>
            <w:color w:val="000000"/>
          </w:rPr>
          <m:t>≈MSE</m:t>
        </m:r>
        <m:d>
          <m:dPr>
            <m:begChr m:val="["/>
            <m:endChr m:val="]"/>
            <m:ctrlPr>
              <w:rPr>
                <w:rFonts w:ascii="Cambria Math" w:hAnsi="Cambria Math"/>
                <w:color w:val="000000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color w:val="000000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color w:val="000000"/>
                      </w:rPr>
                      <m:t>μ</m:t>
                    </m:r>
                  </m:e>
                </m:acc>
              </m:e>
              <m:sub>
                <m:r>
                  <w:rPr>
                    <w:rFonts w:ascii="Cambria Math" w:hAnsi="Cambria Math"/>
                    <w:color w:val="000000"/>
                  </w:rPr>
                  <m:t>U</m:t>
                </m:r>
              </m:sub>
            </m:sSub>
          </m:e>
        </m:d>
      </m:oMath>
      <w:r w:rsidRPr="00393F30">
        <w:rPr>
          <w:color w:val="000000"/>
        </w:rPr>
        <w:t xml:space="preserve">. However, at the prediction level of a population unit i, it is not the case. Under assumptions that our prediction model </w:t>
      </w:r>
      <w:r w:rsidRPr="00393F30">
        <w:rPr>
          <w:i/>
          <w:color w:val="000000"/>
        </w:rPr>
        <w:t>F</w:t>
      </w:r>
      <w:r w:rsidRPr="00393F30">
        <w:rPr>
          <w:color w:val="000000"/>
        </w:rPr>
        <w:t xml:space="preserve"> is being design- and model-unbiased, the </w:t>
      </w:r>
      <w:r w:rsidRPr="00393F30">
        <w:rPr>
          <w:i/>
          <w:color w:val="000000"/>
        </w:rPr>
        <w:t>MSE</w:t>
      </w:r>
      <w:r w:rsidRPr="00393F30">
        <w:rPr>
          <w:color w:val="000000"/>
        </w:rPr>
        <w:t xml:space="preserve"> of prediction is estimated as (Saarela, </w:t>
      </w:r>
      <w:r w:rsidRPr="00393F30">
        <w:t>Holm</w:t>
      </w:r>
      <w:r w:rsidRPr="00393F30">
        <w:rPr>
          <w:color w:val="000000"/>
        </w:rPr>
        <w:t xml:space="preserve"> et al. 202</w:t>
      </w:r>
      <w:r w:rsidRPr="00393F30">
        <w:t>2</w:t>
      </w:r>
      <w:r w:rsidRPr="00393F30">
        <w:rPr>
          <w:color w:val="000000"/>
        </w:rPr>
        <w:t>).</w:t>
      </w:r>
    </w:p>
    <w:p w14:paraId="79054C7D" w14:textId="77777777" w:rsidR="00232743" w:rsidRPr="00393F30" w:rsidRDefault="00232743" w:rsidP="00232743">
      <w:pPr>
        <w:spacing w:line="480" w:lineRule="auto"/>
        <w:ind w:firstLine="720"/>
        <w:jc w:val="right"/>
        <w:rPr>
          <w:i/>
          <w:color w:val="000000"/>
        </w:rPr>
      </w:pPr>
      <m:oMath>
        <m:acc>
          <m:accPr>
            <m:ctrlPr>
              <w:rPr>
                <w:rFonts w:ascii="Cambria Math" w:hAnsi="Cambria Math"/>
                <w:color w:val="000000"/>
              </w:rPr>
            </m:ctrlPr>
          </m:accPr>
          <m:e>
            <m:r>
              <w:rPr>
                <w:rFonts w:ascii="Cambria Math" w:hAnsi="Cambria Math"/>
                <w:color w:val="000000"/>
              </w:rPr>
              <m:t>MSE</m:t>
            </m:r>
          </m:e>
        </m:acc>
        <m:d>
          <m:dPr>
            <m:ctrlPr>
              <w:rPr>
                <w:rFonts w:ascii="Cambria Math" w:hAnsi="Cambria Math"/>
                <w:color w:val="000000"/>
              </w:rPr>
            </m:ctrlPr>
          </m:dPr>
          <m:e>
            <m:acc>
              <m:accPr>
                <m:ctrlPr>
                  <w:rPr>
                    <w:rFonts w:ascii="Cambria Math" w:hAnsi="Cambria Math"/>
                    <w:color w:val="000000"/>
                  </w:rPr>
                </m:ctrlPr>
              </m:accPr>
              <m:e>
                <m:r>
                  <w:rPr>
                    <w:rFonts w:ascii="Cambria Math" w:hAnsi="Cambria Math"/>
                    <w:color w:val="000000"/>
                  </w:rPr>
                  <m:t>y</m:t>
                </m:r>
              </m:e>
            </m:acc>
          </m:e>
        </m:d>
        <m:r>
          <w:rPr>
            <w:rFonts w:ascii="Cambria Math" w:hAnsi="Cambria Math"/>
            <w:color w:val="000000"/>
          </w:rPr>
          <m:t>=</m:t>
        </m:r>
        <m:acc>
          <m:accPr>
            <m:ctrlPr>
              <w:rPr>
                <w:rFonts w:ascii="Cambria Math" w:hAnsi="Cambria Math"/>
                <w:color w:val="000000"/>
              </w:rPr>
            </m:ctrlPr>
          </m:accPr>
          <m:e>
            <m:r>
              <w:rPr>
                <w:rFonts w:ascii="Cambria Math" w:hAnsi="Cambria Math"/>
                <w:color w:val="000000"/>
              </w:rPr>
              <m:t>V</m:t>
            </m:r>
          </m:e>
        </m:acc>
        <m:d>
          <m:dPr>
            <m:ctrlPr>
              <w:rPr>
                <w:rFonts w:ascii="Cambria Math" w:hAnsi="Cambria Math"/>
                <w:color w:val="000000"/>
              </w:rPr>
            </m:ctrlPr>
          </m:dPr>
          <m:e>
            <m:acc>
              <m:accPr>
                <m:ctrlPr>
                  <w:rPr>
                    <w:rFonts w:ascii="Cambria Math" w:hAnsi="Cambria Math"/>
                    <w:color w:val="000000"/>
                  </w:rPr>
                </m:ctrlPr>
              </m:accPr>
              <m:e>
                <m:r>
                  <w:rPr>
                    <w:rFonts w:ascii="Cambria Math" w:hAnsi="Cambria Math"/>
                    <w:color w:val="000000"/>
                  </w:rPr>
                  <m:t>y</m:t>
                </m:r>
              </m:e>
            </m:acc>
          </m:e>
        </m:d>
        <m:r>
          <w:rPr>
            <w:rFonts w:ascii="Cambria Math" w:hAnsi="Cambria Math"/>
            <w:color w:val="000000"/>
          </w:rPr>
          <m:t>+</m:t>
        </m:r>
        <m:acc>
          <m:accPr>
            <m:ctrlPr>
              <w:rPr>
                <w:rFonts w:ascii="Cambria Math" w:hAnsi="Cambria Math"/>
                <w:color w:val="000000"/>
              </w:rPr>
            </m:ctrlPr>
          </m:accPr>
          <m:e>
            <m:sSup>
              <m:sSupPr>
                <m:ctrlPr>
                  <w:rPr>
                    <w:rFonts w:ascii="Cambria Math" w:hAnsi="Cambria Math"/>
                    <w:color w:val="000000"/>
                  </w:rPr>
                </m:ctrlPr>
              </m:sSupPr>
              <m:e>
                <m:r>
                  <w:rPr>
                    <w:rFonts w:ascii="Cambria Math" w:hAnsi="Cambria Math"/>
                    <w:color w:val="000000"/>
                  </w:rPr>
                  <m:t>σ</m:t>
                </m:r>
              </m:e>
              <m:sup>
                <m:r>
                  <w:rPr>
                    <w:rFonts w:ascii="Cambria Math" w:hAnsi="Cambria Math"/>
                    <w:color w:val="000000"/>
                  </w:rPr>
                  <m:t>2</m:t>
                </m:r>
              </m:sup>
            </m:sSup>
          </m:e>
        </m:acc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ω</m:t>
            </m:r>
          </m:e>
          <m:sub>
            <m:r>
              <w:rPr>
                <w:rFonts w:ascii="Cambria Math" w:hAnsi="Cambria Math"/>
                <w:color w:val="000000"/>
              </w:rPr>
              <m:t>Σ</m:t>
            </m:r>
          </m:sub>
        </m:sSub>
        <m:r>
          <w:rPr>
            <w:rFonts w:ascii="Cambria Math" w:hAnsi="Cambria Math"/>
            <w:color w:val="000000"/>
          </w:rPr>
          <m:t>.</m:t>
        </m:r>
      </m:oMath>
      <w:r w:rsidRPr="00393F30">
        <w:rPr>
          <w:i/>
          <w:color w:val="000000"/>
        </w:rPr>
        <w:t xml:space="preserve">                                                  </w:t>
      </w:r>
      <w:r w:rsidRPr="00393F30">
        <w:rPr>
          <w:color w:val="000000"/>
        </w:rPr>
        <w:t>(6)</w:t>
      </w:r>
    </w:p>
    <w:p w14:paraId="5B5459A3" w14:textId="77777777" w:rsidR="00232743" w:rsidRPr="00393F30" w:rsidRDefault="00232743" w:rsidP="00232743">
      <w:pPr>
        <w:spacing w:line="480" w:lineRule="auto"/>
        <w:ind w:firstLine="720"/>
        <w:jc w:val="both"/>
        <w:rPr>
          <w:color w:val="000000"/>
        </w:rPr>
      </w:pPr>
      <w:r w:rsidRPr="00393F30">
        <w:rPr>
          <w:color w:val="000000"/>
        </w:rPr>
        <w:t>The variance of prediction at the population unit level is estimated as</w:t>
      </w:r>
    </w:p>
    <w:p w14:paraId="4DFFA74B" w14:textId="77777777" w:rsidR="00232743" w:rsidRPr="00393F30" w:rsidRDefault="00232743" w:rsidP="00232743">
      <w:pPr>
        <w:spacing w:line="480" w:lineRule="auto"/>
        <w:ind w:firstLine="720"/>
        <w:jc w:val="right"/>
        <w:rPr>
          <w:color w:val="000000"/>
        </w:rPr>
      </w:pPr>
      <m:oMath>
        <m:acc>
          <m:accPr>
            <m:ctrlPr>
              <w:rPr>
                <w:rFonts w:ascii="Cambria Math" w:hAnsi="Cambria Math"/>
                <w:color w:val="000000"/>
              </w:rPr>
            </m:ctrlPr>
          </m:accPr>
          <m:e>
            <m:r>
              <w:rPr>
                <w:rFonts w:ascii="Cambria Math" w:hAnsi="Cambria Math"/>
                <w:color w:val="000000"/>
              </w:rPr>
              <m:t>V</m:t>
            </m:r>
          </m:e>
        </m:acc>
        <m:d>
          <m:dPr>
            <m:ctrlPr>
              <w:rPr>
                <w:rFonts w:ascii="Cambria Math" w:hAnsi="Cambria Math"/>
                <w:color w:val="000000"/>
              </w:rPr>
            </m:ctrlPr>
          </m:dPr>
          <m:e>
            <m:acc>
              <m:accPr>
                <m:ctrlPr>
                  <w:rPr>
                    <w:rFonts w:ascii="Cambria Math" w:hAnsi="Cambria Math"/>
                    <w:color w:val="000000"/>
                  </w:rPr>
                </m:ctrlPr>
              </m:accPr>
              <m:e>
                <m:r>
                  <w:rPr>
                    <w:rFonts w:ascii="Cambria Math" w:hAnsi="Cambria Math"/>
                    <w:color w:val="000000"/>
                  </w:rPr>
                  <m:t>y</m:t>
                </m:r>
              </m:e>
            </m:acc>
          </m:e>
        </m:d>
        <m:r>
          <w:rPr>
            <w:rFonts w:ascii="Cambria Math" w:hAnsi="Cambria Math"/>
            <w:color w:val="000000"/>
          </w:rPr>
          <m:t>=</m:t>
        </m:r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x</m:t>
            </m:r>
          </m:e>
          <m:sub>
            <m:r>
              <w:rPr>
                <w:rFonts w:ascii="Cambria Math" w:hAnsi="Cambria Math"/>
                <w:color w:val="000000"/>
              </w:rPr>
              <m:t>i</m:t>
            </m:r>
          </m:sub>
        </m:sSub>
        <m:acc>
          <m:accPr>
            <m:ctrlPr>
              <w:rPr>
                <w:rFonts w:ascii="Cambria Math" w:hAnsi="Cambria Math"/>
                <w:color w:val="000000"/>
              </w:rPr>
            </m:ctrlPr>
          </m:accPr>
          <m:e>
            <m:r>
              <w:rPr>
                <w:rFonts w:ascii="Cambria Math" w:hAnsi="Cambria Math"/>
                <w:color w:val="000000"/>
              </w:rPr>
              <m:t>Cov</m:t>
            </m:r>
          </m:e>
        </m:acc>
        <m:d>
          <m:dPr>
            <m:ctrlPr>
              <w:rPr>
                <w:rFonts w:ascii="Cambria Math" w:hAnsi="Cambria Math"/>
                <w:color w:val="000000"/>
              </w:rPr>
            </m:ctrlPr>
          </m:dPr>
          <m:e>
            <m:acc>
              <m:accPr>
                <m:ctrlPr>
                  <w:rPr>
                    <w:rFonts w:ascii="Cambria Math" w:hAnsi="Cambria Math"/>
                    <w:color w:val="000000"/>
                  </w:rPr>
                </m:ctrlPr>
              </m:accPr>
              <m:e>
                <m:r>
                  <w:rPr>
                    <w:rFonts w:ascii="Cambria Math" w:hAnsi="Cambria Math"/>
                    <w:color w:val="000000"/>
                  </w:rPr>
                  <m:t>α</m:t>
                </m:r>
              </m:e>
            </m:acc>
          </m:e>
        </m:d>
        <m:sSubSup>
          <m:sSubSupPr>
            <m:ctrlPr>
              <w:rPr>
                <w:rFonts w:ascii="Cambria Math" w:hAnsi="Cambria Math"/>
                <w:color w:val="000000"/>
              </w:rPr>
            </m:ctrlPr>
          </m:sSubSupPr>
          <m:e>
            <m:r>
              <w:rPr>
                <w:rFonts w:ascii="Cambria Math" w:hAnsi="Cambria Math"/>
                <w:color w:val="000000"/>
              </w:rPr>
              <m:t>x</m:t>
            </m:r>
          </m:e>
          <m:sub>
            <m:r>
              <w:rPr>
                <w:rFonts w:ascii="Cambria Math" w:hAnsi="Cambria Math"/>
                <w:color w:val="000000"/>
              </w:rPr>
              <m:t>i</m:t>
            </m:r>
          </m:sub>
          <m:sup>
            <m:r>
              <w:rPr>
                <w:rFonts w:ascii="Cambria Math" w:hAnsi="Cambria Math"/>
                <w:color w:val="000000"/>
              </w:rPr>
              <m:t>T</m:t>
            </m:r>
          </m:sup>
        </m:sSubSup>
      </m:oMath>
      <w:r w:rsidRPr="00393F30">
        <w:rPr>
          <w:color w:val="000000"/>
        </w:rPr>
        <w:t>,</w:t>
      </w:r>
      <w:r w:rsidRPr="00393F30">
        <w:rPr>
          <w:b/>
          <w:i/>
          <w:color w:val="000000"/>
        </w:rPr>
        <w:t xml:space="preserve">                                                      </w:t>
      </w:r>
      <w:r w:rsidRPr="00393F30">
        <w:rPr>
          <w:color w:val="000000"/>
        </w:rPr>
        <w:t>(7)</w:t>
      </w:r>
    </w:p>
    <w:p w14:paraId="63C1C35B" w14:textId="77777777" w:rsidR="00232743" w:rsidRPr="00393F30" w:rsidRDefault="00232743" w:rsidP="00232743">
      <w:pPr>
        <w:spacing w:line="480" w:lineRule="auto"/>
        <w:jc w:val="both"/>
        <w:rPr>
          <w:color w:val="000000"/>
        </w:rPr>
      </w:pPr>
      <w:r w:rsidRPr="00393F30">
        <w:rPr>
          <w:color w:val="000000"/>
        </w:rPr>
        <w:t xml:space="preserve">and the constant </w:t>
      </w: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w:rPr>
                <w:rFonts w:ascii="Cambria Math" w:hAnsi="Cambria Math"/>
              </w:rPr>
              <m:t>σ</m:t>
            </m:r>
          </m:e>
          <m:sup>
            <m:r>
              <w:rPr>
                <w:rFonts w:ascii="Cambria Math" w:hAnsi="Cambria Math"/>
                <w:color w:val="000000"/>
              </w:rPr>
              <m:t>2</m:t>
            </m:r>
          </m:sup>
        </m:sSup>
      </m:oMath>
      <w:r w:rsidRPr="00393F30">
        <w:rPr>
          <w:color w:val="000000"/>
        </w:rPr>
        <w:t xml:space="preserve"> is estimated as (Saarela, </w:t>
      </w:r>
      <w:r w:rsidRPr="00393F30">
        <w:t>Holm</w:t>
      </w:r>
      <w:r w:rsidRPr="00393F30">
        <w:rPr>
          <w:color w:val="000000"/>
        </w:rPr>
        <w:t xml:space="preserve"> et al. 202</w:t>
      </w:r>
      <w:r w:rsidRPr="00393F30">
        <w:t>2</w:t>
      </w:r>
      <w:r w:rsidRPr="00393F30">
        <w:rPr>
          <w:color w:val="000000"/>
        </w:rPr>
        <w:t>)</w:t>
      </w:r>
    </w:p>
    <w:p w14:paraId="1B707578" w14:textId="77777777" w:rsidR="00232743" w:rsidRPr="00393F30" w:rsidRDefault="00232743" w:rsidP="00232743">
      <w:pPr>
        <w:spacing w:line="480" w:lineRule="auto"/>
        <w:jc w:val="right"/>
        <w:rPr>
          <w:color w:val="000000"/>
        </w:rPr>
      </w:pPr>
      <m:oMath>
        <m:acc>
          <m:accPr>
            <m:ctrlPr>
              <w:rPr>
                <w:rFonts w:ascii="Cambria Math" w:hAnsi="Cambria Math"/>
              </w:rPr>
            </m:ctrlPr>
          </m:accPr>
          <m:e>
            <m:sSup>
              <m:sSupPr>
                <m:ctrlPr>
                  <w:rPr>
                    <w:rFonts w:ascii="Cambria Math" w:hAnsi="Cambria Math"/>
                    <w:color w:val="000000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σ</m:t>
                </m:r>
              </m:e>
              <m:sup>
                <m:r>
                  <w:rPr>
                    <w:rFonts w:ascii="Cambria Math" w:hAnsi="Cambria Math"/>
                    <w:color w:val="000000"/>
                  </w:rPr>
                  <m:t>2</m:t>
                </m:r>
              </m:sup>
            </m:sSup>
          </m:e>
        </m:acc>
        <m:r>
          <w:rPr>
            <w:rFonts w:ascii="Cambria Math" w:hAnsi="Cambria Math"/>
            <w:color w:val="000000"/>
          </w:rPr>
          <m:t>=</m:t>
        </m:r>
        <m:f>
          <m:fPr>
            <m:ctrlPr>
              <w:rPr>
                <w:rFonts w:ascii="Cambria Math" w:hAnsi="Cambria Math"/>
                <w:color w:val="000000"/>
              </w:rPr>
            </m:ctrlPr>
          </m:fPr>
          <m:num>
            <m:r>
              <w:rPr>
                <w:rFonts w:ascii="Cambria Math" w:hAnsi="Cambria Math"/>
                <w:color w:val="000000"/>
              </w:rPr>
              <m:t>SSR</m:t>
            </m:r>
            <m:d>
              <m:dPr>
                <m:ctrlPr>
                  <w:rPr>
                    <w:rFonts w:ascii="Cambria Math" w:hAnsi="Cambria Math"/>
                    <w:color w:val="000000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</w:rPr>
                  <m:t>Σ</m:t>
                </m:r>
              </m:e>
            </m:d>
          </m:num>
          <m:den>
            <m:sSub>
              <m:sSubPr>
                <m:ctrlPr>
                  <w:rPr>
                    <w:rFonts w:ascii="Cambria Math" w:hAnsi="Cambria Math"/>
                    <w:color w:val="000000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</w:rPr>
                  <m:t>df</m:t>
                </m:r>
              </m:e>
              <m:sub>
                <m:sSub>
                  <m:sSub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</w:rPr>
                      <m:t>a</m:t>
                    </m:r>
                  </m:sub>
                </m:sSub>
              </m:sub>
            </m:sSub>
          </m:den>
        </m:f>
        <m:r>
          <w:rPr>
            <w:rFonts w:ascii="Cambria Math" w:hAnsi="Cambria Math"/>
            <w:color w:val="000000"/>
          </w:rPr>
          <m:t>=</m:t>
        </m:r>
        <m:f>
          <m:fPr>
            <m:ctrlPr>
              <w:rPr>
                <w:rFonts w:ascii="Cambria Math" w:hAnsi="Cambria Math"/>
                <w:color w:val="000000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color w:val="00000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color w:val="00000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/>
                      </w:rPr>
                      <m:t>y-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/>
                          </w:rPr>
                          <m:t>i</m:t>
                        </m:r>
                      </m:sub>
                    </m:sSub>
                    <m:acc>
                      <m:accPr>
                        <m:ctrlPr>
                          <w:rPr>
                            <w:rFonts w:ascii="Cambria Math" w:hAnsi="Cambria Math"/>
                            <w:color w:val="000000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color w:val="000000"/>
                          </w:rPr>
                          <m:t>α</m:t>
                        </m:r>
                      </m:e>
                    </m:acc>
                  </m:e>
                </m:d>
              </m:e>
              <m:sup>
                <m:r>
                  <w:rPr>
                    <w:rFonts w:ascii="Cambria Math" w:hAnsi="Cambria Math"/>
                    <w:color w:val="000000"/>
                  </w:rPr>
                  <m:t>T</m:t>
                </m:r>
              </m:sup>
            </m:sSup>
            <m:sSup>
              <m:sSupPr>
                <m:ctrlPr>
                  <w:rPr>
                    <w:rFonts w:ascii="Cambria Math" w:hAnsi="Cambria Math"/>
                    <w:color w:val="000000"/>
                  </w:rPr>
                </m:ctrlPr>
              </m:sSupPr>
              <m:e>
                <m:r>
                  <w:rPr>
                    <w:rFonts w:ascii="Cambria Math" w:hAnsi="Cambria Math"/>
                    <w:color w:val="000000"/>
                  </w:rPr>
                  <m:t>Σ</m:t>
                </m:r>
              </m:e>
              <m:sup>
                <m:r>
                  <w:rPr>
                    <w:rFonts w:ascii="Cambria Math" w:hAnsi="Cambria Math"/>
                    <w:color w:val="000000"/>
                  </w:rPr>
                  <m:t>-1</m:t>
                </m:r>
              </m:sup>
            </m:sSup>
            <m:r>
              <w:rPr>
                <w:rFonts w:ascii="Cambria Math" w:hAnsi="Cambria Math"/>
                <w:color w:val="000000"/>
              </w:rPr>
              <m:t>(y-</m:t>
            </m:r>
            <m:sSub>
              <m:sSubPr>
                <m:ctrlPr>
                  <w:rPr>
                    <w:rFonts w:ascii="Cambria Math" w:hAnsi="Cambria Math"/>
                    <w:color w:val="000000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</w:rPr>
                  <m:t>x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i</m:t>
                </m:r>
              </m:sub>
            </m:sSub>
            <m:acc>
              <m:accPr>
                <m:ctrlPr>
                  <w:rPr>
                    <w:rFonts w:ascii="Cambria Math" w:hAnsi="Cambria Math"/>
                    <w:color w:val="000000"/>
                  </w:rPr>
                </m:ctrlPr>
              </m:accPr>
              <m:e>
                <m:r>
                  <w:rPr>
                    <w:rFonts w:ascii="Cambria Math" w:hAnsi="Cambria Math"/>
                    <w:color w:val="000000"/>
                  </w:rPr>
                  <m:t>α</m:t>
                </m:r>
              </m:e>
            </m:acc>
            <m:r>
              <w:rPr>
                <w:rFonts w:ascii="Cambria Math" w:hAnsi="Cambria Math"/>
                <w:color w:val="000000"/>
              </w:rPr>
              <m:t>)</m:t>
            </m:r>
          </m:num>
          <m:den>
            <m:r>
              <w:rPr>
                <w:rFonts w:ascii="Cambria Math" w:hAnsi="Cambria Math"/>
                <w:color w:val="000000"/>
              </w:rPr>
              <m:t>m-(q+1)</m:t>
            </m:r>
          </m:den>
        </m:f>
      </m:oMath>
      <w:r w:rsidRPr="00393F30">
        <w:rPr>
          <w:color w:val="000000"/>
        </w:rPr>
        <w:t>,</w:t>
      </w:r>
      <w:r w:rsidRPr="00393F30">
        <w:rPr>
          <w:i/>
          <w:color w:val="000000"/>
        </w:rPr>
        <w:t xml:space="preserve">                                             </w:t>
      </w:r>
      <w:r w:rsidRPr="00393F30">
        <w:rPr>
          <w:color w:val="000000"/>
        </w:rPr>
        <w:t>(8)</w:t>
      </w:r>
    </w:p>
    <w:p w14:paraId="4457364A" w14:textId="77777777" w:rsidR="00232743" w:rsidRPr="00393F30" w:rsidRDefault="00232743" w:rsidP="00232743">
      <w:pPr>
        <w:spacing w:line="480" w:lineRule="auto"/>
        <w:jc w:val="both"/>
        <w:rPr>
          <w:i/>
          <w:color w:val="000000"/>
        </w:rPr>
      </w:pPr>
      <w:r w:rsidRPr="00393F30">
        <w:rPr>
          <w:color w:val="000000"/>
        </w:rPr>
        <w:t xml:space="preserve">where </w:t>
      </w:r>
      <m:oMath>
        <m:r>
          <w:rPr>
            <w:rFonts w:ascii="Cambria Math" w:hAnsi="Cambria Math"/>
            <w:color w:val="000000"/>
          </w:rPr>
          <m:t>SSR</m:t>
        </m:r>
        <m:d>
          <m:dPr>
            <m:ctrlPr>
              <w:rPr>
                <w:rFonts w:ascii="Cambria Math" w:hAnsi="Cambria Math"/>
                <w:color w:val="000000"/>
              </w:rPr>
            </m:ctrlPr>
          </m:dPr>
          <m:e>
            <m:r>
              <w:rPr>
                <w:rFonts w:ascii="Cambria Math" w:hAnsi="Cambria Math"/>
                <w:color w:val="000000"/>
              </w:rPr>
              <m:t>Σ</m:t>
            </m:r>
          </m:e>
        </m:d>
      </m:oMath>
      <w:r w:rsidRPr="00393F30">
        <w:rPr>
          <w:color w:val="000000"/>
        </w:rPr>
        <w:t xml:space="preserve"> is a generalized sum of squared residuals, and </w:t>
      </w:r>
      <m:oMath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df</m:t>
            </m:r>
          </m:e>
          <m:sub>
            <m:r>
              <w:rPr>
                <w:rFonts w:ascii="Cambria Math" w:hAnsi="Cambria Math"/>
                <w:color w:val="000000"/>
              </w:rPr>
              <m:t>Sa</m:t>
            </m:r>
          </m:sub>
        </m:sSub>
      </m:oMath>
      <w:r w:rsidRPr="00393F30">
        <w:rPr>
          <w:color w:val="000000"/>
        </w:rPr>
        <w:t xml:space="preserve"> is the degree of freedom in model </w:t>
      </w:r>
      <w:r w:rsidRPr="00393F30">
        <w:rPr>
          <w:i/>
          <w:color w:val="000000"/>
        </w:rPr>
        <w:t xml:space="preserve">F. </w:t>
      </w:r>
      <m:oMath>
        <m:r>
          <w:rPr>
            <w:rFonts w:ascii="Cambria Math" w:hAnsi="Cambria Math"/>
            <w:color w:val="000000"/>
          </w:rPr>
          <m:t xml:space="preserve"> </m:t>
        </m:r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ω</m:t>
            </m:r>
          </m:e>
          <m:sub>
            <m:sSub>
              <m:sSubPr>
                <m:ctrlPr>
                  <w:rPr>
                    <w:rFonts w:ascii="Cambria Math" w:hAnsi="Cambria Math"/>
                    <w:color w:val="000000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</w:rPr>
                  <m:t>Σ</m:t>
                </m:r>
              </m:e>
              <m:sub>
                <m:r>
                  <w:rPr>
                    <w:rFonts w:ascii="Cambria Math" w:hAnsi="Cambria Math"/>
                    <w:color w:val="000000"/>
                  </w:rPr>
                  <m:t>i</m:t>
                </m:r>
              </m:sub>
            </m:sSub>
          </m:sub>
        </m:sSub>
      </m:oMath>
      <w:r w:rsidRPr="00393F30">
        <w:rPr>
          <w:color w:val="000000"/>
        </w:rPr>
        <w:t xml:space="preserve"> is the individual error weight which is the i</w:t>
      </w:r>
      <w:r w:rsidRPr="00393F30">
        <w:rPr>
          <w:color w:val="000000"/>
          <w:vertAlign w:val="superscript"/>
        </w:rPr>
        <w:t>th</w:t>
      </w:r>
      <w:r w:rsidRPr="00393F30">
        <w:rPr>
          <w:color w:val="000000"/>
        </w:rPr>
        <w:t xml:space="preserve"> diagonal element from matrix </w:t>
      </w:r>
      <m:oMath>
        <m:r>
          <w:rPr>
            <w:rFonts w:ascii="Cambria Math" w:hAnsi="Cambria Math"/>
          </w:rPr>
          <m:t>Σ</m:t>
        </m:r>
      </m:oMath>
      <w:r w:rsidRPr="00393F30">
        <w:rPr>
          <w:color w:val="000000"/>
        </w:rPr>
        <w:t>.</w:t>
      </w:r>
    </w:p>
    <w:p w14:paraId="01796A2C" w14:textId="77777777" w:rsidR="002F0F5E" w:rsidRDefault="00232743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743"/>
    <w:rsid w:val="0021090F"/>
    <w:rsid w:val="00232743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D9B2B"/>
  <w15:chartTrackingRefBased/>
  <w15:docId w15:val="{9C5FBF76-021D-4AA9-ADD7-BA98B50FB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743"/>
    <w:pPr>
      <w:spacing w:after="0" w:line="240" w:lineRule="auto"/>
    </w:pPr>
    <w:rPr>
      <w:rFonts w:ascii="Times New Roman" w:eastAsia="SimSu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2743"/>
    <w:pPr>
      <w:keepNext/>
      <w:keepLines/>
      <w:spacing w:before="240" w:after="240" w:line="480" w:lineRule="auto"/>
      <w:ind w:left="432" w:hanging="432"/>
      <w:outlineLvl w:val="0"/>
    </w:pPr>
    <w:rPr>
      <w:b/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743"/>
    <w:rPr>
      <w:rFonts w:ascii="Times New Roman" w:eastAsia="SimSun" w:hAnsi="Times New Roman" w:cs="Times New Roman"/>
      <w:b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670</Words>
  <Characters>3823</Characters>
  <Application>Microsoft Office Word</Application>
  <DocSecurity>0</DocSecurity>
  <Lines>31</Lines>
  <Paragraphs>8</Paragraphs>
  <ScaleCrop>false</ScaleCrop>
  <Company>Springer Nature</Company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2023-09-22T07:05:00Z</dcterms:created>
  <dcterms:modified xsi:type="dcterms:W3CDTF">2023-09-22T07:06:00Z</dcterms:modified>
</cp:coreProperties>
</file>