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Extended Data Figure Legends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6605588" cy="4450080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5101" l="19054" r="8739" t="8248"/>
                    <a:stretch>
                      <a:fillRect/>
                    </a:stretch>
                  </pic:blipFill>
                  <pic:spPr>
                    <a:xfrm>
                      <a:off x="0" y="0"/>
                      <a:ext cx="6605588" cy="44500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Fig. 1 - Activity of pyramidal cells and interneurons in relation to locomotion and SCEs.</w:t>
      </w:r>
    </w:p>
    <w:p w:rsidR="00000000" w:rsidDel="00000000" w:rsidP="00000000" w:rsidRDefault="00000000" w:rsidRPr="00000000" w14:paraId="00000006">
      <w:pPr>
        <w:widowControl w:val="0"/>
        <w:spacing w:line="240" w:lineRule="auto"/>
        <w:ind w:left="0" w:firstLine="0"/>
        <w:jc w:val="both"/>
        <w:rPr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Same as Fig. 1c, but restricted to rest or locomotion periods. Interneurons show higher activity than pyramidal cells during rest periods (p = 0.009), but not locomotion periods (p = 0.115, both </w:t>
      </w:r>
      <w:r w:rsidDel="00000000" w:rsidR="00000000" w:rsidRPr="00000000">
        <w:rPr>
          <w:rtl w:val="0"/>
        </w:rPr>
        <w:t xml:space="preserve">Wilcoxon signed rank tests, n=11 FOVs from 6 mice). </w:t>
      </w: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Distribution of the proportion of SCEs to which each cell participates. Both pyramidal cell and interneuron distribution show lognormal shapes. Lognormal fits are depicted in grey. </w:t>
      </w:r>
      <w:r w:rsidDel="00000000" w:rsidR="00000000" w:rsidRPr="00000000">
        <w:rPr>
          <w:b w:val="1"/>
          <w:rtl w:val="0"/>
        </w:rPr>
        <w:t xml:space="preserve">c. </w:t>
      </w:r>
      <w:r w:rsidDel="00000000" w:rsidR="00000000" w:rsidRPr="00000000">
        <w:rPr>
          <w:rtl w:val="0"/>
        </w:rPr>
        <w:t xml:space="preserve">Linear model fitted for individual recordings: proportion of recordings displaying significant fit (p&lt;0.05).</w:t>
      </w:r>
    </w:p>
    <w:p w:rsidR="00000000" w:rsidDel="00000000" w:rsidP="00000000" w:rsidRDefault="00000000" w:rsidRPr="00000000" w14:paraId="00000007">
      <w:pPr>
        <w:widowControl w:val="0"/>
        <w:spacing w:line="360" w:lineRule="auto"/>
        <w:ind w:left="0" w:firstLine="0"/>
        <w:jc w:val="both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line="360" w:lineRule="auto"/>
        <w:ind w:left="0" w:firstLine="0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6648450" cy="7637145"/>
            <wp:effectExtent b="0" l="0" r="0" t="0"/>
            <wp:docPr id="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19126" l="0" r="0" t="1309"/>
                    <a:stretch>
                      <a:fillRect/>
                    </a:stretch>
                  </pic:blipFill>
                  <pic:spPr>
                    <a:xfrm>
                      <a:off x="0" y="0"/>
                      <a:ext cx="6648450" cy="76371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360" w:lineRule="auto"/>
        <w:ind w:lef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Fig. 2 - Indirectly modulated cells: spatial distribution, correlation and link to success rate of the stimulated neuron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b w:val="1"/>
          <w:rtl w:val="0"/>
        </w:rPr>
        <w:t xml:space="preserve">a.</w:t>
      </w:r>
      <w:r w:rsidDel="00000000" w:rsidR="00000000" w:rsidRPr="00000000">
        <w:rPr>
          <w:rtl w:val="0"/>
        </w:rPr>
        <w:t xml:space="preserve"> Distribution of the distance between the stimulated interneuron and negatively (red), positively (blue) or unmodulated (gray) cells (Kruskal–Wallis H-test, three groups, p=0.08). </w:t>
      </w: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 Box plot indicates the correlation between the fluorescence calcium traces of positively (blue), negatively (red), and unmodulated (gray) neurons (Kruskal–Wallis H-test, three groups, p=0.17). </w:t>
      </w:r>
      <w:r w:rsidDel="00000000" w:rsidR="00000000" w:rsidRPr="00000000">
        <w:rPr>
          <w:b w:val="1"/>
          <w:rtl w:val="0"/>
        </w:rPr>
        <w:t xml:space="preserve">c.</w:t>
      </w:r>
      <w:r w:rsidDel="00000000" w:rsidR="00000000" w:rsidRPr="00000000">
        <w:rPr>
          <w:rtl w:val="0"/>
        </w:rPr>
        <w:t xml:space="preserve"> Scatter plot with linear regression best-fit line indicating a significant correlation </w:t>
      </w:r>
      <w:r w:rsidDel="00000000" w:rsidR="00000000" w:rsidRPr="00000000">
        <w:rPr>
          <w:rtl w:val="0"/>
        </w:rPr>
        <w:t xml:space="preserve">between the stimulation success rate and the mean baseline dF/F signal of the stimulated neuron (Pearson r=0.206, p=0.012) </w:t>
      </w:r>
      <w:r w:rsidDel="00000000" w:rsidR="00000000" w:rsidRPr="00000000">
        <w:rPr>
          <w:b w:val="1"/>
          <w:rtl w:val="0"/>
        </w:rPr>
        <w:t xml:space="preserve">d. </w:t>
      </w:r>
      <w:r w:rsidDel="00000000" w:rsidR="00000000" w:rsidRPr="00000000">
        <w:rPr>
          <w:rtl w:val="0"/>
        </w:rPr>
        <w:t xml:space="preserve">Scatter plot with linear regression best-fit line indicating a correlation between the fraction of positively (</w:t>
      </w:r>
      <w:r w:rsidDel="00000000" w:rsidR="00000000" w:rsidRPr="00000000">
        <w:rPr>
          <w:b w:val="1"/>
          <w:rtl w:val="0"/>
        </w:rPr>
        <w:t xml:space="preserve">d1</w:t>
      </w:r>
      <w:r w:rsidDel="00000000" w:rsidR="00000000" w:rsidRPr="00000000">
        <w:rPr>
          <w:rtl w:val="0"/>
        </w:rPr>
        <w:t xml:space="preserve">) or negatively (</w:t>
      </w:r>
      <w:r w:rsidDel="00000000" w:rsidR="00000000" w:rsidRPr="00000000">
        <w:rPr>
          <w:b w:val="1"/>
          <w:rtl w:val="0"/>
        </w:rPr>
        <w:t xml:space="preserve">d2</w:t>
      </w:r>
      <w:r w:rsidDel="00000000" w:rsidR="00000000" w:rsidRPr="00000000">
        <w:rPr>
          <w:rtl w:val="0"/>
        </w:rPr>
        <w:t xml:space="preserve">)   modulated neurons and the success rate of the target cell (Pearson's r=0.251, p=0.002; Pearson's r=0.295, p=0.0003, respectively).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line="360" w:lineRule="auto"/>
        <w:jc w:val="both"/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6648450" cy="3436667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54189" l="0" r="0" t="10039"/>
                    <a:stretch>
                      <a:fillRect/>
                    </a:stretch>
                  </pic:blipFill>
                  <pic:spPr>
                    <a:xfrm>
                      <a:off x="0" y="0"/>
                      <a:ext cx="6648450" cy="343666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line="36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Fig. 3 - Additional results on the network model</w:t>
      </w:r>
    </w:p>
    <w:p w:rsidR="00000000" w:rsidDel="00000000" w:rsidP="00000000" w:rsidRDefault="00000000" w:rsidRPr="00000000" w14:paraId="0000000F">
      <w:pPr>
        <w:widowControl w:val="0"/>
        <w:spacing w:line="276" w:lineRule="auto"/>
        <w:jc w:val="both"/>
        <w:rPr/>
      </w:pPr>
      <w:r w:rsidDel="00000000" w:rsidR="00000000" w:rsidRPr="00000000">
        <w:rPr>
          <w:b w:val="1"/>
          <w:rtl w:val="0"/>
        </w:rPr>
        <w:t xml:space="preserve">a1.</w:t>
      </w:r>
      <w:r w:rsidDel="00000000" w:rsidR="00000000" w:rsidRPr="00000000">
        <w:rPr>
          <w:rtl w:val="0"/>
        </w:rPr>
        <w:t xml:space="preserve"> Same as Fig. 3a, but when the effect of single I neuron perturbations is assessed from a linear analysis of the network dynamics and its weight matrix (W). </w:t>
      </w:r>
      <w:r w:rsidDel="00000000" w:rsidR="00000000" w:rsidRPr="00000000">
        <w:rPr>
          <w:b w:val="1"/>
          <w:rtl w:val="0"/>
        </w:rPr>
        <w:t xml:space="preserve">a2. </w:t>
      </w:r>
      <w:r w:rsidDel="00000000" w:rsidR="00000000" w:rsidRPr="00000000">
        <w:rPr>
          <w:rtl w:val="0"/>
        </w:rPr>
        <w:t xml:space="preserve">Same as Fig.3a, but with I-I connections displaying the same specificity as E-I connections (m_II = 1). </w:t>
      </w: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Same as Fig. 3d, but with external stimulation of inhibitory neurons (20 I neurons in the middle; the changes in the activity of stimulated I neurons are not shown).</w:t>
      </w:r>
    </w:p>
    <w:p w:rsidR="00000000" w:rsidDel="00000000" w:rsidP="00000000" w:rsidRDefault="00000000" w:rsidRPr="00000000" w14:paraId="00000010">
      <w:pPr>
        <w:widowControl w:val="0"/>
        <w:spacing w:line="276" w:lineRule="auto"/>
        <w:jc w:val="both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276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282913" cy="4526490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50452" l="13323" r="26217" t="5277"/>
                    <a:stretch>
                      <a:fillRect/>
                    </a:stretch>
                  </pic:blipFill>
                  <pic:spPr>
                    <a:xfrm>
                      <a:off x="0" y="0"/>
                      <a:ext cx="4282913" cy="45264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line="36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Fig. 4 - Additional results related to the impact of single interneuron photostimulation on SCEs</w:t>
      </w:r>
    </w:p>
    <w:p w:rsidR="00000000" w:rsidDel="00000000" w:rsidP="00000000" w:rsidRDefault="00000000" w:rsidRPr="00000000" w14:paraId="00000013">
      <w:pPr>
        <w:widowControl w:val="0"/>
        <w:spacing w:line="276" w:lineRule="auto"/>
        <w:jc w:val="both"/>
        <w:rPr/>
      </w:pPr>
      <w:r w:rsidDel="00000000" w:rsidR="00000000" w:rsidRPr="00000000">
        <w:rPr>
          <w:b w:val="1"/>
          <w:rtl w:val="0"/>
        </w:rPr>
        <w:t xml:space="preserve">a1. </w:t>
      </w:r>
      <w:r w:rsidDel="00000000" w:rsidR="00000000" w:rsidRPr="00000000">
        <w:rPr>
          <w:rtl w:val="0"/>
        </w:rPr>
        <w:t xml:space="preserve">Same as Fig. 4 b3, but for all the experiments, excluding the experiments with unresponsive cells, p=0.035. </w:t>
      </w:r>
      <w:r w:rsidDel="00000000" w:rsidR="00000000" w:rsidRPr="00000000">
        <w:rPr>
          <w:b w:val="1"/>
          <w:rtl w:val="0"/>
        </w:rPr>
        <w:t xml:space="preserve">a2. </w:t>
      </w:r>
      <w:r w:rsidDel="00000000" w:rsidR="00000000" w:rsidRPr="00000000">
        <w:rPr>
          <w:rtl w:val="0"/>
        </w:rPr>
        <w:t xml:space="preserve">Same as Fig. 4 b4, but for all the experiments, excluding the experiments with unresponsive cells, p=0.0007. </w:t>
      </w:r>
      <w:r w:rsidDel="00000000" w:rsidR="00000000" w:rsidRPr="00000000">
        <w:rPr>
          <w:b w:val="1"/>
          <w:rtl w:val="0"/>
        </w:rPr>
        <w:t xml:space="preserve">b1. </w:t>
      </w:r>
      <w:r w:rsidDel="00000000" w:rsidR="00000000" w:rsidRPr="00000000">
        <w:rPr>
          <w:rtl w:val="0"/>
        </w:rPr>
        <w:t xml:space="preserve">Same as Fig. 4 b3, but for the experiments with unresponsive cells only, p=0.45. </w:t>
      </w:r>
      <w:r w:rsidDel="00000000" w:rsidR="00000000" w:rsidRPr="00000000">
        <w:rPr>
          <w:b w:val="1"/>
          <w:rtl w:val="0"/>
        </w:rPr>
        <w:t xml:space="preserve">b2. </w:t>
      </w:r>
      <w:r w:rsidDel="00000000" w:rsidR="00000000" w:rsidRPr="00000000">
        <w:rPr>
          <w:rtl w:val="0"/>
        </w:rPr>
        <w:t xml:space="preserve">Same as Fig. 4 b4, but for the experiments with unresponsive cells only, p=0.13 (Mann Whitney U test in all cases)</w:t>
      </w:r>
    </w:p>
    <w:p w:rsidR="00000000" w:rsidDel="00000000" w:rsidP="00000000" w:rsidRDefault="00000000" w:rsidRPr="00000000" w14:paraId="00000014">
      <w:pPr>
        <w:widowControl w:val="0"/>
        <w:spacing w:line="360" w:lineRule="auto"/>
        <w:jc w:val="both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360" w:lineRule="auto"/>
        <w:jc w:val="both"/>
        <w:rPr/>
      </w:pPr>
      <w:r w:rsidDel="00000000" w:rsidR="00000000" w:rsidRPr="00000000">
        <w:rPr/>
        <w:drawing>
          <wp:inline distB="114300" distT="114300" distL="114300" distR="114300">
            <wp:extent cx="6805613" cy="3471057"/>
            <wp:effectExtent b="0" l="0" r="0" t="0"/>
            <wp:docPr id="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6326" l="0" r="6446" t="8729"/>
                    <a:stretch>
                      <a:fillRect/>
                    </a:stretch>
                  </pic:blipFill>
                  <pic:spPr>
                    <a:xfrm>
                      <a:off x="0" y="0"/>
                      <a:ext cx="6805613" cy="34710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line="36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Fig. 5 - Relationship between interneuron activity and cell assemblies</w:t>
      </w:r>
    </w:p>
    <w:p w:rsidR="00000000" w:rsidDel="00000000" w:rsidP="00000000" w:rsidRDefault="00000000" w:rsidRPr="00000000" w14:paraId="00000017">
      <w:pPr>
        <w:spacing w:line="276" w:lineRule="auto"/>
        <w:jc w:val="both"/>
        <w:rPr/>
      </w:pPr>
      <w:r w:rsidDel="00000000" w:rsidR="00000000" w:rsidRPr="00000000">
        <w:rPr>
          <w:b w:val="1"/>
          <w:rtl w:val="0"/>
        </w:rPr>
        <w:t xml:space="preserve">a. </w:t>
      </w:r>
      <w:r w:rsidDel="00000000" w:rsidR="00000000" w:rsidRPr="00000000">
        <w:rPr>
          <w:rtl w:val="0"/>
        </w:rPr>
        <w:t xml:space="preserve">Interneurons are not clustered into single assemblies, as evidenced by the fact that pairwise correlations between interneurons are not higher than correlations between interneurons and pyramidal cells (</w:t>
      </w:r>
      <w:r w:rsidDel="00000000" w:rsidR="00000000" w:rsidRPr="00000000">
        <w:rPr>
          <w:rtl w:val="0"/>
        </w:rPr>
        <w:t xml:space="preserve">p = 0.16791, Wilcoxon signed rank tests, n=11 FOVs from 6 mice). </w:t>
      </w:r>
      <w:r w:rsidDel="00000000" w:rsidR="00000000" w:rsidRPr="00000000">
        <w:rPr>
          <w:b w:val="1"/>
          <w:rtl w:val="0"/>
        </w:rPr>
        <w:t xml:space="preserve">b.</w:t>
      </w:r>
      <w:r w:rsidDel="00000000" w:rsidR="00000000" w:rsidRPr="00000000">
        <w:rPr>
          <w:rtl w:val="0"/>
        </w:rPr>
        <w:t xml:space="preserve"> Contour maps indicating the centroids of all active neurons in a representative imaging session with four cell assemblies (SCE-based method). Pyramidal cells are depicted in blue, interneurons in red. Filled contours belong to an individual assembly, whereas empty contours do not. Note the lack of spatial clustering: pyramidal cells and interneurons, as well as cells forming and not forming assemblies, are intermingled. </w:t>
      </w:r>
      <w:r w:rsidDel="00000000" w:rsidR="00000000" w:rsidRPr="00000000">
        <w:rPr>
          <w:b w:val="1"/>
          <w:rtl w:val="0"/>
        </w:rPr>
        <w:t xml:space="preserve">c1.</w:t>
      </w:r>
      <w:r w:rsidDel="00000000" w:rsidR="00000000" w:rsidRPr="00000000">
        <w:rPr>
          <w:rtl w:val="0"/>
        </w:rPr>
        <w:t xml:space="preserve"> Assembly patterns (from 3 significant cell assemblies) obtained from a representative recording (same imaging session as c1) using the PCA/ICA assembly detection method (see Methods for details). Each plot represents a significant principal component (assembly), with a given weight for each neuron. Interneurons’ weights are depicted in red, pyramidal cells’ weights in blue. </w:t>
      </w:r>
      <w:r w:rsidDel="00000000" w:rsidR="00000000" w:rsidRPr="00000000">
        <w:rPr>
          <w:b w:val="1"/>
          <w:rtl w:val="0"/>
        </w:rPr>
        <w:t xml:space="preserve">c2.</w:t>
      </w:r>
      <w:r w:rsidDel="00000000" w:rsidR="00000000" w:rsidRPr="00000000">
        <w:rPr>
          <w:rtl w:val="0"/>
        </w:rPr>
        <w:t xml:space="preserve"> Pyramidal cells and interneurons display similar assembly weights (p=0.4, Wilcoxon signed rank test, n = 31 assemblies from 11 recordings from 6 mice). </w:t>
      </w:r>
      <w:r w:rsidDel="00000000" w:rsidR="00000000" w:rsidRPr="00000000">
        <w:rPr>
          <w:b w:val="1"/>
          <w:rtl w:val="0"/>
        </w:rPr>
        <w:t xml:space="preserve">c3.</w:t>
      </w:r>
      <w:r w:rsidDel="00000000" w:rsidR="00000000" w:rsidRPr="00000000">
        <w:rPr>
          <w:rtl w:val="0"/>
        </w:rPr>
        <w:t xml:space="preserve"> Fit of linear model between pyramidal cell assembly weight and interneuron assembly weight for each recording (averaged across 31 assemblies, n = 11 recordings, 6 mice). </w:t>
      </w:r>
      <w:r w:rsidDel="00000000" w:rsidR="00000000" w:rsidRPr="00000000">
        <w:rPr>
          <w:b w:val="1"/>
          <w:rtl w:val="0"/>
        </w:rPr>
        <w:t xml:space="preserve">c4.</w:t>
      </w:r>
      <w:r w:rsidDel="00000000" w:rsidR="00000000" w:rsidRPr="00000000">
        <w:rPr>
          <w:rtl w:val="0"/>
        </w:rPr>
        <w:t xml:space="preserve"> Pyramidal cell assembly weights are more clustered in a single assembly compared to interneurons (maximum assembly weight across assemblies divided by the absolute average of assembly weights; p = 0.0025, Mann Whitney U test, n = 31 assemblies, from 11 FOVs from 6 mice).</w:t>
      </w:r>
    </w:p>
    <w:p w:rsidR="00000000" w:rsidDel="00000000" w:rsidP="00000000" w:rsidRDefault="00000000" w:rsidRPr="00000000" w14:paraId="00000018">
      <w:pPr>
        <w:widowControl w:val="0"/>
        <w:spacing w:line="360" w:lineRule="auto"/>
        <w:jc w:val="both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line="360" w:lineRule="auto"/>
        <w:jc w:val="both"/>
        <w:rPr/>
      </w:pPr>
      <w:r w:rsidDel="00000000" w:rsidR="00000000" w:rsidRPr="00000000">
        <w:rPr>
          <w:b w:val="1"/>
          <w:rtl w:val="0"/>
        </w:rPr>
        <w:t xml:space="preserve">Supplementary movie. Effect of single interneuron photoactivation on SCEs.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after="60" w:before="240"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Representative movie of a stimulation experiment c</w:t>
      </w:r>
      <w:r w:rsidDel="00000000" w:rsidR="00000000" w:rsidRPr="00000000">
        <w:rPr>
          <w:rtl w:val="0"/>
        </w:rPr>
        <w:t xml:space="preserve">orresponding to Fig. 4b.</w:t>
      </w:r>
      <w:r w:rsidDel="00000000" w:rsidR="00000000" w:rsidRPr="00000000">
        <w:rPr>
          <w:rtl w:val="0"/>
        </w:rPr>
        <w:t xml:space="preserve"> Synchronous calcium events (SCEs) were recorded in the </w:t>
      </w:r>
      <w:r w:rsidDel="00000000" w:rsidR="00000000" w:rsidRPr="00000000">
        <w:rPr>
          <w:rtl w:val="0"/>
        </w:rPr>
        <w:t xml:space="preserve">CA1 region of a GAD67-Cre adult mouse, injected with AAV1.Syn-GCaMP6m and AAV9.CAG.DIO.ChroME-ST.mRuby3 at birth. Movie (top) was recorded at 8.4 Hz in a field of view of 280x280μm</w:t>
      </w:r>
      <w:r w:rsidDel="00000000" w:rsidR="00000000" w:rsidRPr="00000000">
        <w:rPr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  <w:t xml:space="preserve"> The baseline period was followed by a stimulation period and a post stimulation period. </w:t>
      </w:r>
      <w:r w:rsidDel="00000000" w:rsidR="00000000" w:rsidRPr="00000000">
        <w:rPr>
          <w:rtl w:val="0"/>
        </w:rPr>
        <w:t xml:space="preserve">Stimulated cell corresponds to the cell illustrated in Fig. 2c. </w:t>
      </w:r>
      <w:r w:rsidDel="00000000" w:rsidR="00000000" w:rsidRPr="00000000">
        <w:rPr>
          <w:rtl w:val="0"/>
        </w:rPr>
        <w:t xml:space="preserve">At the frame corresponding to stimulation, the cell is highlighted with a white rectangle. Presented alongside the movie above is a raster plot that displays the average calcium fluorescence signal from all imaged neurons over time. This rasterplot shows vertical white stripes that identify SCEs. They occur at a higher rate during the stimulation period. </w:t>
      </w: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B">
      <w:pPr>
        <w:widowControl w:val="0"/>
        <w:spacing w:line="36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52" w:top="1152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5.png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