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C9CD3" w14:textId="14156B72" w:rsidR="007F2791" w:rsidRDefault="007F2791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BF43F23" wp14:editId="0862E5F1">
            <wp:extent cx="5692418" cy="3037398"/>
            <wp:effectExtent l="0" t="0" r="3810" b="0"/>
            <wp:docPr id="412795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 b="60631"/>
                    <a:stretch/>
                  </pic:blipFill>
                  <pic:spPr bwMode="auto">
                    <a:xfrm>
                      <a:off x="0" y="0"/>
                      <a:ext cx="5693410" cy="3037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F95C09" w14:textId="72C65069" w:rsidR="007F2791" w:rsidRP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b/>
          <w:bCs/>
          <w:sz w:val="24"/>
          <w:szCs w:val="24"/>
        </w:rPr>
      </w:pPr>
      <w:r w:rsidRPr="007F2791">
        <w:rPr>
          <w:rFonts w:ascii="Arial" w:eastAsia="DengXian" w:hAnsi="Arial" w:cs="Arial"/>
          <w:b/>
          <w:bCs/>
          <w:sz w:val="24"/>
          <w:szCs w:val="24"/>
        </w:rPr>
        <w:t>Supplementary Figure 1. Blocking SET8 inhibited cisplatin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(CP)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>-induced cell cycle arrest and cell damage in cultured</w:t>
      </w:r>
      <w:r>
        <w:rPr>
          <w:rFonts w:ascii="Arial" w:eastAsia="DengXian" w:hAnsi="Arial" w:cs="Arial"/>
          <w:b/>
          <w:bCs/>
          <w:sz w:val="24"/>
          <w:szCs w:val="24"/>
        </w:rPr>
        <w:t xml:space="preserve"> 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 xml:space="preserve">murine proximal tubular epithelial cells </w:t>
      </w:r>
      <w:r>
        <w:rPr>
          <w:rFonts w:ascii="Arial" w:eastAsia="DengXian" w:hAnsi="Arial" w:cs="Arial"/>
          <w:b/>
          <w:bCs/>
          <w:sz w:val="24"/>
          <w:szCs w:val="24"/>
        </w:rPr>
        <w:t>(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>TKPTs</w:t>
      </w:r>
      <w:r>
        <w:rPr>
          <w:rFonts w:ascii="Arial" w:eastAsia="DengXian" w:hAnsi="Arial" w:cs="Arial"/>
          <w:b/>
          <w:bCs/>
          <w:sz w:val="24"/>
          <w:szCs w:val="24"/>
        </w:rPr>
        <w:t>)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>.</w:t>
      </w:r>
    </w:p>
    <w:p w14:paraId="764C8BA0" w14:textId="3D340907" w:rsid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  <w:r w:rsidRPr="007F2791">
        <w:rPr>
          <w:rFonts w:ascii="Arial" w:eastAsia="DengXian" w:hAnsi="Arial" w:cs="Arial"/>
          <w:sz w:val="24"/>
          <w:szCs w:val="24"/>
        </w:rPr>
        <w:t xml:space="preserve">(A, D) Kidney tissue lysates were subject to immunoblot analysis using antibodies against </w:t>
      </w:r>
      <w:r>
        <w:rPr>
          <w:rFonts w:ascii="Arial" w:hAnsi="Arial" w:cs="Arial"/>
          <w:color w:val="000000" w:themeColor="text1"/>
          <w:sz w:val="24"/>
          <w:szCs w:val="24"/>
          <w14:ligatures w14:val="none"/>
        </w:rPr>
        <w:t>p</w:t>
      </w:r>
      <w:r>
        <w:rPr>
          <w:rFonts w:ascii="Arial" w:hAnsi="Arial" w:cs="Arial"/>
          <w:color w:val="000000" w:themeColor="text1"/>
          <w:sz w:val="24"/>
          <w:szCs w:val="24"/>
          <w14:ligatures w14:val="none"/>
        </w:rPr>
        <w:t>hosphorylation of the histone variant H2A</w:t>
      </w:r>
      <w:r w:rsidRPr="007F2791">
        <w:rPr>
          <w:rFonts w:ascii="Arial" w:eastAsia="DengXian" w:hAnsi="Arial" w:cs="Arial"/>
          <w:sz w:val="24"/>
          <w:szCs w:val="24"/>
        </w:rPr>
        <w:t xml:space="preserve"> </w:t>
      </w:r>
      <w:r>
        <w:rPr>
          <w:rFonts w:ascii="Arial" w:eastAsia="DengXian" w:hAnsi="Arial" w:cs="Arial"/>
          <w:sz w:val="24"/>
          <w:szCs w:val="24"/>
        </w:rPr>
        <w:t>(</w:t>
      </w:r>
      <w:r w:rsidRPr="007F2791">
        <w:rPr>
          <w:rFonts w:ascii="Arial" w:eastAsia="DengXian" w:hAnsi="Arial" w:cs="Arial"/>
          <w:sz w:val="24"/>
          <w:szCs w:val="24"/>
        </w:rPr>
        <w:t>p-H2A</w:t>
      </w:r>
      <w:r>
        <w:rPr>
          <w:rFonts w:ascii="Arial" w:eastAsia="DengXian" w:hAnsi="Arial" w:cs="Arial"/>
          <w:sz w:val="24"/>
          <w:szCs w:val="24"/>
        </w:rPr>
        <w:t>)</w:t>
      </w:r>
      <w:r w:rsidRPr="007F2791">
        <w:rPr>
          <w:rFonts w:ascii="Arial" w:eastAsia="DengXian" w:hAnsi="Arial" w:cs="Arial"/>
          <w:sz w:val="24"/>
          <w:szCs w:val="24"/>
        </w:rPr>
        <w:t>, H2A, p21</w:t>
      </w:r>
      <w:r w:rsidRPr="007F2791">
        <w:rPr>
          <w:rFonts w:ascii="Arial" w:eastAsia="DengXian" w:hAnsi="Arial" w:cs="Arial" w:hint="eastAsia"/>
          <w:sz w:val="24"/>
          <w:szCs w:val="24"/>
        </w:rPr>
        <w:t>,</w:t>
      </w:r>
      <w:r w:rsidRPr="007F2791">
        <w:rPr>
          <w:rFonts w:ascii="Arial" w:eastAsia="DengXian" w:hAnsi="Arial" w:cs="Arial"/>
          <w:sz w:val="24"/>
          <w:szCs w:val="24"/>
        </w:rPr>
        <w:t xml:space="preserve"> and Tubulin. The p-H2A (B, E) and p21 (C, F) levels were quantified by densitometry and normalized with H2A and Tubulin as indicated. Data are represented as the mean ± SEM of at least three experiments. *P &lt; 0.05, **P &lt; 0.01, ***P&lt;0.001.</w:t>
      </w:r>
      <w:r>
        <w:rPr>
          <w:rFonts w:ascii="Arial" w:eastAsia="DengXian" w:hAnsi="Arial" w:cs="Arial"/>
          <w:sz w:val="24"/>
          <w:szCs w:val="24"/>
        </w:rPr>
        <w:t xml:space="preserve"> </w:t>
      </w:r>
    </w:p>
    <w:p w14:paraId="6B858EB3" w14:textId="77777777" w:rsid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57CE828F" w14:textId="000BCCBB" w:rsidR="007F2791" w:rsidRDefault="007A3FEA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  <w:r>
        <w:rPr>
          <w:rFonts w:ascii="Arial" w:eastAsia="DengXian" w:hAnsi="Arial" w:cs="Arial"/>
          <w:noProof/>
          <w:sz w:val="24"/>
          <w:szCs w:val="24"/>
        </w:rPr>
        <w:lastRenderedPageBreak/>
        <w:drawing>
          <wp:inline distT="0" distB="0" distL="0" distR="0" wp14:anchorId="6CF3A7BB" wp14:editId="283E261A">
            <wp:extent cx="5692775" cy="3800723"/>
            <wp:effectExtent l="0" t="0" r="3175" b="9525"/>
            <wp:docPr id="9181498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81" b="47284"/>
                    <a:stretch/>
                  </pic:blipFill>
                  <pic:spPr bwMode="auto">
                    <a:xfrm>
                      <a:off x="0" y="0"/>
                      <a:ext cx="5693410" cy="380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2CE72" w14:textId="4D164D32" w:rsidR="007F2791" w:rsidRP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b/>
          <w:bCs/>
          <w:sz w:val="24"/>
          <w:szCs w:val="24"/>
        </w:rPr>
      </w:pPr>
      <w:r w:rsidRPr="007F2791">
        <w:rPr>
          <w:rFonts w:ascii="Arial" w:eastAsia="DengXian" w:hAnsi="Arial" w:cs="Arial"/>
          <w:b/>
          <w:bCs/>
          <w:sz w:val="24"/>
          <w:szCs w:val="24"/>
        </w:rPr>
        <w:t xml:space="preserve">Supplementary Figure 2. Suppressing of p53 using p53 siRNA </w:t>
      </w:r>
      <w:r w:rsidR="007A3FEA">
        <w:rPr>
          <w:rFonts w:ascii="Arial" w:eastAsia="DengXian" w:hAnsi="Arial" w:cs="Arial"/>
          <w:b/>
          <w:bCs/>
          <w:sz w:val="24"/>
          <w:szCs w:val="24"/>
        </w:rPr>
        <w:t xml:space="preserve">(sip53) 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>attenuated cisplatin</w:t>
      </w:r>
      <w:r w:rsidR="007A3FEA">
        <w:rPr>
          <w:rFonts w:ascii="Arial" w:eastAsia="DengXian" w:hAnsi="Arial" w:cs="Arial"/>
          <w:b/>
          <w:bCs/>
          <w:sz w:val="24"/>
          <w:szCs w:val="24"/>
        </w:rPr>
        <w:t xml:space="preserve"> (CP)</w:t>
      </w:r>
      <w:r w:rsidRPr="007F2791">
        <w:rPr>
          <w:rFonts w:ascii="Arial" w:eastAsia="DengXian" w:hAnsi="Arial" w:cs="Arial"/>
          <w:b/>
          <w:bCs/>
          <w:sz w:val="24"/>
          <w:szCs w:val="24"/>
        </w:rPr>
        <w:t xml:space="preserve">-induced apoptosis in the presence of UNC0379 or </w:t>
      </w:r>
      <w:proofErr w:type="spellStart"/>
      <w:r w:rsidRPr="007F2791">
        <w:rPr>
          <w:rFonts w:ascii="Arial" w:eastAsia="DengXian" w:hAnsi="Arial" w:cs="Arial"/>
          <w:b/>
          <w:bCs/>
          <w:sz w:val="24"/>
          <w:szCs w:val="24"/>
        </w:rPr>
        <w:t>Bpv</w:t>
      </w:r>
      <w:proofErr w:type="spellEnd"/>
      <w:r w:rsidRPr="007F2791">
        <w:rPr>
          <w:rFonts w:ascii="Arial" w:eastAsia="DengXian" w:hAnsi="Arial" w:cs="Arial"/>
          <w:b/>
          <w:bCs/>
          <w:sz w:val="24"/>
          <w:szCs w:val="24"/>
        </w:rPr>
        <w:t xml:space="preserve"> in TKPTs.</w:t>
      </w:r>
    </w:p>
    <w:p w14:paraId="7BD6AAE0" w14:textId="77777777" w:rsidR="007F2791" w:rsidRP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  <w:bookmarkStart w:id="0" w:name="_Hlk136336633"/>
      <w:r w:rsidRPr="007F2791">
        <w:rPr>
          <w:rFonts w:ascii="Arial" w:eastAsia="DengXian" w:hAnsi="Arial" w:cs="Arial"/>
          <w:sz w:val="24"/>
          <w:szCs w:val="24"/>
        </w:rPr>
        <w:t>(A, G) Kidney tissue lysates from eight groups were subject to immunoblot analysis using antibodies against PTEN, SET8, H4K20me1, H4, cleaved cas3, p-p53, p53, and GAPDH. The levels of PTEN (B, H), SET8 (C), H4K20me1 (D), cleaved cas3 (E, J), and p-p53 (F, I) were quantified by densitometry and normalized with H4, p53, or GAPDH as indicated. Data are represented as the mean ± SEM of at least three experiments. *P &lt; 0.05, **P &lt; 0.01, ***P&lt;0.001.</w:t>
      </w:r>
    </w:p>
    <w:bookmarkEnd w:id="0"/>
    <w:p w14:paraId="75664DCE" w14:textId="1A24B0F1" w:rsidR="007F2791" w:rsidRPr="007F2791" w:rsidRDefault="007A3FEA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  <w:r>
        <w:rPr>
          <w:rFonts w:ascii="Arial" w:eastAsia="DengXian" w:hAnsi="Arial" w:cs="Arial"/>
          <w:noProof/>
          <w:sz w:val="24"/>
          <w:szCs w:val="24"/>
        </w:rPr>
        <w:lastRenderedPageBreak/>
        <w:drawing>
          <wp:inline distT="0" distB="0" distL="0" distR="0" wp14:anchorId="4770EF9D" wp14:editId="4B5A691B">
            <wp:extent cx="5692604" cy="3784821"/>
            <wp:effectExtent l="0" t="0" r="3810" b="6350"/>
            <wp:docPr id="10872084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6" b="48541"/>
                    <a:stretch/>
                  </pic:blipFill>
                  <pic:spPr bwMode="auto">
                    <a:xfrm>
                      <a:off x="0" y="0"/>
                      <a:ext cx="5693410" cy="3785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3D08B" w14:textId="77777777" w:rsidR="007F2791" w:rsidRP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b/>
          <w:bCs/>
          <w:sz w:val="24"/>
          <w:szCs w:val="24"/>
        </w:rPr>
      </w:pPr>
      <w:r w:rsidRPr="007F2791">
        <w:rPr>
          <w:rFonts w:ascii="Arial" w:eastAsia="DengXian" w:hAnsi="Arial" w:cs="Arial"/>
          <w:b/>
          <w:bCs/>
          <w:sz w:val="24"/>
          <w:szCs w:val="24"/>
        </w:rPr>
        <w:t>Supplementary Figure 3. Inhibition of SET8 decreased cisplatin-induced upregulation of extracellular signal-regulated kinase 1/2 (ERK1/2) and p38 pathways in mice and cultured TKPTs.</w:t>
      </w:r>
    </w:p>
    <w:p w14:paraId="23245650" w14:textId="77777777" w:rsidR="007F2791" w:rsidRDefault="007F2791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  <w:r w:rsidRPr="007F2791">
        <w:rPr>
          <w:rFonts w:ascii="Arial" w:eastAsia="DengXian" w:hAnsi="Arial" w:cs="Arial"/>
          <w:sz w:val="24"/>
          <w:szCs w:val="24"/>
        </w:rPr>
        <w:t>(A, C, E) Kidney tissue lysates were subject to immunoblot analysis using antibodies against p-ERK1/2, ERK1/2, p-p38, and p38. The levels of p-ERK1/2 and p-p38 were quantified by densitometry and normalized with ERK1/2 and p38 as indicated. Data are represented as the mean ± SEM of at least three experiments. *P &lt; 0.05, **P &lt; 0.01, ***P&lt;0.001.</w:t>
      </w:r>
    </w:p>
    <w:p w14:paraId="353AF7C9" w14:textId="77777777" w:rsidR="007A3FEA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74C86D0B" w14:textId="77777777" w:rsidR="007A3FEA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16B3B25E" w14:textId="77777777" w:rsidR="007A3FEA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3944F227" w14:textId="77777777" w:rsidR="007A3FEA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582ED378" w14:textId="77777777" w:rsidR="001A28E0" w:rsidRPr="001A28E0" w:rsidRDefault="001A28E0" w:rsidP="001A28E0">
      <w:pPr>
        <w:pStyle w:val="NormalWeb"/>
        <w:tabs>
          <w:tab w:val="left" w:pos="1361"/>
        </w:tabs>
        <w:spacing w:line="480" w:lineRule="auto"/>
        <w:rPr>
          <w:rFonts w:ascii="Arial" w:eastAsia="DengXian" w:hAnsi="Arial" w:cs="Arial"/>
          <w:b/>
          <w:bCs/>
          <w:color w:val="000000" w:themeColor="text1"/>
          <w:kern w:val="2"/>
        </w:rPr>
      </w:pPr>
      <w:r w:rsidRPr="001A28E0">
        <w:rPr>
          <w:rFonts w:ascii="Arial" w:eastAsia="DengXian" w:hAnsi="Arial" w:cs="Arial"/>
          <w:b/>
          <w:bCs/>
          <w:color w:val="000000" w:themeColor="text1"/>
          <w:kern w:val="2"/>
        </w:rPr>
        <w:lastRenderedPageBreak/>
        <w:t>Supplementary Table 1. Details of primary antibodies used for immunoblot analysis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05"/>
        <w:gridCol w:w="1350"/>
        <w:gridCol w:w="5220"/>
        <w:gridCol w:w="1075"/>
      </w:tblGrid>
      <w:tr w:rsidR="001A28E0" w:rsidRPr="00485B71" w14:paraId="78EE75A4" w14:textId="77777777" w:rsidTr="001A28E0">
        <w:tc>
          <w:tcPr>
            <w:tcW w:w="1705" w:type="dxa"/>
            <w:vAlign w:val="center"/>
          </w:tcPr>
          <w:p w14:paraId="177376D1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bookmarkStart w:id="1" w:name="_Hlk139401228"/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Antibody</w:t>
            </w:r>
          </w:p>
        </w:tc>
        <w:tc>
          <w:tcPr>
            <w:tcW w:w="1350" w:type="dxa"/>
            <w:vAlign w:val="center"/>
          </w:tcPr>
          <w:p w14:paraId="43A1E9B2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Catalogue number</w:t>
            </w:r>
          </w:p>
        </w:tc>
        <w:tc>
          <w:tcPr>
            <w:tcW w:w="5220" w:type="dxa"/>
            <w:vAlign w:val="center"/>
          </w:tcPr>
          <w:p w14:paraId="358F2D3A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Supplier</w:t>
            </w:r>
          </w:p>
        </w:tc>
        <w:tc>
          <w:tcPr>
            <w:tcW w:w="1075" w:type="dxa"/>
            <w:vAlign w:val="center"/>
          </w:tcPr>
          <w:p w14:paraId="50C6E28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Dilution</w:t>
            </w:r>
          </w:p>
        </w:tc>
      </w:tr>
      <w:tr w:rsidR="001A28E0" w:rsidRPr="00485B71" w14:paraId="0696D151" w14:textId="77777777" w:rsidTr="001A28E0">
        <w:tc>
          <w:tcPr>
            <w:tcW w:w="1705" w:type="dxa"/>
            <w:vAlign w:val="center"/>
          </w:tcPr>
          <w:p w14:paraId="6F2411C8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SET8</w:t>
            </w:r>
          </w:p>
        </w:tc>
        <w:tc>
          <w:tcPr>
            <w:tcW w:w="1350" w:type="dxa"/>
            <w:vAlign w:val="center"/>
          </w:tcPr>
          <w:p w14:paraId="55CB1393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MA5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>-</w:t>
            </w: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14804</w:t>
            </w:r>
          </w:p>
        </w:tc>
        <w:tc>
          <w:tcPr>
            <w:tcW w:w="5220" w:type="dxa"/>
            <w:vAlign w:val="center"/>
          </w:tcPr>
          <w:p w14:paraId="6ABADA3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Themo fisher Scientific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Waltham, </w:t>
            </w: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MA, USA)</w:t>
            </w:r>
          </w:p>
        </w:tc>
        <w:tc>
          <w:tcPr>
            <w:tcW w:w="1075" w:type="dxa"/>
            <w:vAlign w:val="center"/>
          </w:tcPr>
          <w:p w14:paraId="1D52A52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2ABFDA0A" w14:textId="77777777" w:rsidTr="001A28E0">
        <w:tc>
          <w:tcPr>
            <w:tcW w:w="1705" w:type="dxa"/>
            <w:vAlign w:val="center"/>
          </w:tcPr>
          <w:p w14:paraId="62E8C57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cleaved-cas3</w:t>
            </w:r>
          </w:p>
        </w:tc>
        <w:tc>
          <w:tcPr>
            <w:tcW w:w="1350" w:type="dxa"/>
            <w:vAlign w:val="center"/>
          </w:tcPr>
          <w:p w14:paraId="16ECA3E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9664</w:t>
            </w:r>
          </w:p>
        </w:tc>
        <w:tc>
          <w:tcPr>
            <w:tcW w:w="5220" w:type="dxa"/>
            <w:vAlign w:val="center"/>
          </w:tcPr>
          <w:p w14:paraId="0F5797F4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2E6D1B5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664BEA73" w14:textId="77777777" w:rsidTr="001A28E0">
        <w:tc>
          <w:tcPr>
            <w:tcW w:w="1705" w:type="dxa"/>
            <w:vAlign w:val="center"/>
          </w:tcPr>
          <w:p w14:paraId="1D1C72E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p-p53(ser15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>)</w:t>
            </w:r>
          </w:p>
        </w:tc>
        <w:tc>
          <w:tcPr>
            <w:tcW w:w="1350" w:type="dxa"/>
            <w:vAlign w:val="center"/>
          </w:tcPr>
          <w:p w14:paraId="67709D0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9284</w:t>
            </w:r>
          </w:p>
        </w:tc>
        <w:tc>
          <w:tcPr>
            <w:tcW w:w="5220" w:type="dxa"/>
            <w:vAlign w:val="center"/>
          </w:tcPr>
          <w:p w14:paraId="6645B7BD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1BA6BA7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70334AE5" w14:textId="77777777" w:rsidTr="001A28E0">
        <w:tc>
          <w:tcPr>
            <w:tcW w:w="1705" w:type="dxa"/>
            <w:vAlign w:val="center"/>
          </w:tcPr>
          <w:p w14:paraId="096E36B7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p53</w:t>
            </w:r>
          </w:p>
        </w:tc>
        <w:tc>
          <w:tcPr>
            <w:tcW w:w="1350" w:type="dxa"/>
            <w:vAlign w:val="center"/>
          </w:tcPr>
          <w:p w14:paraId="6435C46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2524</w:t>
            </w:r>
          </w:p>
        </w:tc>
        <w:tc>
          <w:tcPr>
            <w:tcW w:w="5220" w:type="dxa"/>
            <w:vAlign w:val="center"/>
          </w:tcPr>
          <w:p w14:paraId="7DBC668D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3FB725D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6DC57352" w14:textId="77777777" w:rsidTr="001A28E0">
        <w:tc>
          <w:tcPr>
            <w:tcW w:w="1705" w:type="dxa"/>
            <w:vAlign w:val="center"/>
          </w:tcPr>
          <w:p w14:paraId="7ACD3052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proofErr w:type="spellStart"/>
            <w:r>
              <w:rPr>
                <w:rFonts w:ascii="Arial" w:eastAsia="DengXian" w:hAnsi="Arial" w:cs="Arial"/>
                <w:color w:val="000000" w:themeColor="text1"/>
                <w:kern w:val="2"/>
              </w:rPr>
              <w:t>Bax</w:t>
            </w:r>
            <w:proofErr w:type="spellEnd"/>
          </w:p>
        </w:tc>
        <w:tc>
          <w:tcPr>
            <w:tcW w:w="1350" w:type="dxa"/>
            <w:vAlign w:val="center"/>
          </w:tcPr>
          <w:p w14:paraId="2CC3A0D1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2772</w:t>
            </w:r>
          </w:p>
        </w:tc>
        <w:tc>
          <w:tcPr>
            <w:tcW w:w="5220" w:type="dxa"/>
            <w:vAlign w:val="center"/>
          </w:tcPr>
          <w:p w14:paraId="67FD427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79EBFFE8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bookmarkEnd w:id="1"/>
      <w:tr w:rsidR="001A28E0" w:rsidRPr="00485B71" w14:paraId="006E4598" w14:textId="77777777" w:rsidTr="001A28E0">
        <w:tc>
          <w:tcPr>
            <w:tcW w:w="1705" w:type="dxa"/>
            <w:vAlign w:val="center"/>
          </w:tcPr>
          <w:p w14:paraId="4AE5FD5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proofErr w:type="spellStart"/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Bcl</w:t>
            </w:r>
            <w:proofErr w:type="spellEnd"/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-X</w:t>
            </w:r>
            <w:r w:rsidRPr="00E9730D">
              <w:rPr>
                <w:rFonts w:ascii="Arial" w:eastAsia="DengXian" w:hAnsi="Arial" w:cs="Arial"/>
                <w:color w:val="000000" w:themeColor="text1"/>
                <w:kern w:val="2"/>
                <w:vertAlign w:val="subscript"/>
              </w:rPr>
              <w:t>L</w:t>
            </w:r>
          </w:p>
        </w:tc>
        <w:tc>
          <w:tcPr>
            <w:tcW w:w="1350" w:type="dxa"/>
            <w:vAlign w:val="center"/>
          </w:tcPr>
          <w:p w14:paraId="743593E7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2764</w:t>
            </w:r>
          </w:p>
        </w:tc>
        <w:tc>
          <w:tcPr>
            <w:tcW w:w="5220" w:type="dxa"/>
            <w:vAlign w:val="center"/>
          </w:tcPr>
          <w:p w14:paraId="4677EAD2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0178555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43319C91" w14:textId="77777777" w:rsidTr="001A28E0">
        <w:tc>
          <w:tcPr>
            <w:tcW w:w="1705" w:type="dxa"/>
            <w:vAlign w:val="center"/>
          </w:tcPr>
          <w:p w14:paraId="2170960A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E-cadherin</w:t>
            </w:r>
          </w:p>
        </w:tc>
        <w:tc>
          <w:tcPr>
            <w:tcW w:w="1350" w:type="dxa"/>
            <w:vAlign w:val="center"/>
          </w:tcPr>
          <w:p w14:paraId="7738B6F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14472</w:t>
            </w:r>
          </w:p>
        </w:tc>
        <w:tc>
          <w:tcPr>
            <w:tcW w:w="5220" w:type="dxa"/>
            <w:vAlign w:val="center"/>
          </w:tcPr>
          <w:p w14:paraId="55D0DFB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49224804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67183ED8" w14:textId="77777777" w:rsidTr="001A28E0">
        <w:tc>
          <w:tcPr>
            <w:tcW w:w="1705" w:type="dxa"/>
            <w:vAlign w:val="center"/>
          </w:tcPr>
          <w:p w14:paraId="61503BB8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PTEN</w:t>
            </w:r>
          </w:p>
        </w:tc>
        <w:tc>
          <w:tcPr>
            <w:tcW w:w="1350" w:type="dxa"/>
            <w:vAlign w:val="center"/>
          </w:tcPr>
          <w:p w14:paraId="5E0FE1E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9559</w:t>
            </w:r>
          </w:p>
        </w:tc>
        <w:tc>
          <w:tcPr>
            <w:tcW w:w="5220" w:type="dxa"/>
            <w:vAlign w:val="center"/>
          </w:tcPr>
          <w:p w14:paraId="225A2F84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78DD9133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74F5EE12" w14:textId="77777777" w:rsidTr="001A28E0">
        <w:tc>
          <w:tcPr>
            <w:tcW w:w="1705" w:type="dxa"/>
            <w:vAlign w:val="center"/>
          </w:tcPr>
          <w:p w14:paraId="282FE54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p-ERK</w:t>
            </w:r>
          </w:p>
        </w:tc>
        <w:tc>
          <w:tcPr>
            <w:tcW w:w="1350" w:type="dxa"/>
            <w:vAlign w:val="center"/>
          </w:tcPr>
          <w:p w14:paraId="507B6B1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9101</w:t>
            </w:r>
          </w:p>
        </w:tc>
        <w:tc>
          <w:tcPr>
            <w:tcW w:w="5220" w:type="dxa"/>
            <w:vAlign w:val="center"/>
          </w:tcPr>
          <w:p w14:paraId="29C9630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2DE9949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032220DF" w14:textId="77777777" w:rsidTr="001A28E0">
        <w:tc>
          <w:tcPr>
            <w:tcW w:w="1705" w:type="dxa"/>
            <w:vAlign w:val="center"/>
          </w:tcPr>
          <w:p w14:paraId="19BB0F7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ERK</w:t>
            </w:r>
          </w:p>
        </w:tc>
        <w:tc>
          <w:tcPr>
            <w:tcW w:w="1350" w:type="dxa"/>
            <w:vAlign w:val="center"/>
          </w:tcPr>
          <w:p w14:paraId="384E1E6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4695</w:t>
            </w:r>
          </w:p>
        </w:tc>
        <w:tc>
          <w:tcPr>
            <w:tcW w:w="5220" w:type="dxa"/>
            <w:vAlign w:val="center"/>
          </w:tcPr>
          <w:p w14:paraId="27F22AA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105AB6C3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362EA544" w14:textId="77777777" w:rsidTr="001A28E0">
        <w:tc>
          <w:tcPr>
            <w:tcW w:w="1705" w:type="dxa"/>
            <w:vAlign w:val="center"/>
          </w:tcPr>
          <w:p w14:paraId="4F53D02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p-p38</w:t>
            </w:r>
          </w:p>
        </w:tc>
        <w:tc>
          <w:tcPr>
            <w:tcW w:w="1350" w:type="dxa"/>
            <w:vAlign w:val="center"/>
          </w:tcPr>
          <w:p w14:paraId="5D65F49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4511</w:t>
            </w:r>
          </w:p>
        </w:tc>
        <w:tc>
          <w:tcPr>
            <w:tcW w:w="5220" w:type="dxa"/>
            <w:vAlign w:val="center"/>
          </w:tcPr>
          <w:p w14:paraId="2B641B38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3A750431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17AB4F40" w14:textId="77777777" w:rsidTr="001A28E0">
        <w:tc>
          <w:tcPr>
            <w:tcW w:w="1705" w:type="dxa"/>
            <w:vAlign w:val="center"/>
          </w:tcPr>
          <w:p w14:paraId="3686F6E6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p38</w:t>
            </w:r>
          </w:p>
        </w:tc>
        <w:tc>
          <w:tcPr>
            <w:tcW w:w="1350" w:type="dxa"/>
            <w:vAlign w:val="center"/>
          </w:tcPr>
          <w:p w14:paraId="72BA9D2F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9212</w:t>
            </w:r>
          </w:p>
        </w:tc>
        <w:tc>
          <w:tcPr>
            <w:tcW w:w="5220" w:type="dxa"/>
            <w:vAlign w:val="center"/>
          </w:tcPr>
          <w:p w14:paraId="7C2D06C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666A50D1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71DA2D21" w14:textId="77777777" w:rsidTr="001A28E0">
        <w:tc>
          <w:tcPr>
            <w:tcW w:w="1705" w:type="dxa"/>
            <w:vAlign w:val="center"/>
          </w:tcPr>
          <w:p w14:paraId="220BFE41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FOXO1</w:t>
            </w:r>
          </w:p>
        </w:tc>
        <w:tc>
          <w:tcPr>
            <w:tcW w:w="1350" w:type="dxa"/>
            <w:vAlign w:val="center"/>
          </w:tcPr>
          <w:p w14:paraId="4125B956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28807</w:t>
            </w:r>
          </w:p>
        </w:tc>
        <w:tc>
          <w:tcPr>
            <w:tcW w:w="5220" w:type="dxa"/>
            <w:vAlign w:val="center"/>
          </w:tcPr>
          <w:p w14:paraId="5F43FB2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4E06B1A7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076C9008" w14:textId="77777777" w:rsidTr="001A28E0">
        <w:trPr>
          <w:trHeight w:val="296"/>
        </w:trPr>
        <w:tc>
          <w:tcPr>
            <w:tcW w:w="1705" w:type="dxa"/>
            <w:vAlign w:val="center"/>
          </w:tcPr>
          <w:p w14:paraId="5A02468B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p-H2A</w:t>
            </w:r>
          </w:p>
        </w:tc>
        <w:tc>
          <w:tcPr>
            <w:tcW w:w="1350" w:type="dxa"/>
            <w:vAlign w:val="center"/>
          </w:tcPr>
          <w:p w14:paraId="24593091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9718</w:t>
            </w:r>
          </w:p>
        </w:tc>
        <w:tc>
          <w:tcPr>
            <w:tcW w:w="5220" w:type="dxa"/>
            <w:vAlign w:val="center"/>
          </w:tcPr>
          <w:p w14:paraId="0CA8FE0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4A24F8E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6FDE83EC" w14:textId="77777777" w:rsidTr="001A28E0">
        <w:tc>
          <w:tcPr>
            <w:tcW w:w="1705" w:type="dxa"/>
            <w:vAlign w:val="center"/>
          </w:tcPr>
          <w:p w14:paraId="6ADE3089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H2A</w:t>
            </w:r>
          </w:p>
        </w:tc>
        <w:tc>
          <w:tcPr>
            <w:tcW w:w="1350" w:type="dxa"/>
            <w:vAlign w:val="center"/>
          </w:tcPr>
          <w:p w14:paraId="68F8E95C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7631</w:t>
            </w:r>
          </w:p>
        </w:tc>
        <w:tc>
          <w:tcPr>
            <w:tcW w:w="5220" w:type="dxa"/>
            <w:vAlign w:val="center"/>
          </w:tcPr>
          <w:p w14:paraId="301D565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(Danvers, MA, USA)</w:t>
            </w:r>
          </w:p>
        </w:tc>
        <w:tc>
          <w:tcPr>
            <w:tcW w:w="1075" w:type="dxa"/>
            <w:vAlign w:val="center"/>
          </w:tcPr>
          <w:p w14:paraId="70866BB2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5B93FB67" w14:textId="77777777" w:rsidTr="001A28E0">
        <w:tc>
          <w:tcPr>
            <w:tcW w:w="1705" w:type="dxa"/>
            <w:vAlign w:val="center"/>
          </w:tcPr>
          <w:p w14:paraId="4677E31B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p21</w:t>
            </w:r>
          </w:p>
        </w:tc>
        <w:tc>
          <w:tcPr>
            <w:tcW w:w="1350" w:type="dxa"/>
            <w:vAlign w:val="center"/>
          </w:tcPr>
          <w:p w14:paraId="00504BB8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Ab107099</w:t>
            </w:r>
          </w:p>
        </w:tc>
        <w:tc>
          <w:tcPr>
            <w:tcW w:w="5220" w:type="dxa"/>
            <w:vAlign w:val="center"/>
          </w:tcPr>
          <w:p w14:paraId="23757B35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Abcam (Cambridge, MA, USA)</w:t>
            </w:r>
          </w:p>
        </w:tc>
        <w:tc>
          <w:tcPr>
            <w:tcW w:w="1075" w:type="dxa"/>
            <w:vAlign w:val="center"/>
          </w:tcPr>
          <w:p w14:paraId="6D045DEB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1668174A" w14:textId="77777777" w:rsidTr="001A28E0">
        <w:tc>
          <w:tcPr>
            <w:tcW w:w="1705" w:type="dxa"/>
            <w:vAlign w:val="center"/>
          </w:tcPr>
          <w:p w14:paraId="57208225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NGAL</w:t>
            </w:r>
          </w:p>
        </w:tc>
        <w:tc>
          <w:tcPr>
            <w:tcW w:w="1350" w:type="dxa"/>
            <w:vAlign w:val="center"/>
          </w:tcPr>
          <w:p w14:paraId="152DBC95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AF857</w:t>
            </w:r>
          </w:p>
        </w:tc>
        <w:tc>
          <w:tcPr>
            <w:tcW w:w="5220" w:type="dxa"/>
            <w:vAlign w:val="center"/>
          </w:tcPr>
          <w:p w14:paraId="16A84C44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R&amp;D systems (Minneapolis, MN, USA)</w:t>
            </w:r>
          </w:p>
        </w:tc>
        <w:tc>
          <w:tcPr>
            <w:tcW w:w="1075" w:type="dxa"/>
            <w:vAlign w:val="center"/>
          </w:tcPr>
          <w:p w14:paraId="51827FA7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0C0BABBC" w14:textId="77777777" w:rsidTr="001A28E0">
        <w:tc>
          <w:tcPr>
            <w:tcW w:w="1705" w:type="dxa"/>
            <w:vAlign w:val="center"/>
          </w:tcPr>
          <w:p w14:paraId="325241C2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Kim-1</w:t>
            </w:r>
          </w:p>
        </w:tc>
        <w:tc>
          <w:tcPr>
            <w:tcW w:w="1350" w:type="dxa"/>
            <w:vAlign w:val="center"/>
          </w:tcPr>
          <w:p w14:paraId="18B17B15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AF1817</w:t>
            </w:r>
          </w:p>
        </w:tc>
        <w:tc>
          <w:tcPr>
            <w:tcW w:w="5220" w:type="dxa"/>
            <w:vAlign w:val="center"/>
          </w:tcPr>
          <w:p w14:paraId="6BCB92AB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R&amp;D systems (Minneapolis, MN, USA)</w:t>
            </w:r>
          </w:p>
        </w:tc>
        <w:tc>
          <w:tcPr>
            <w:tcW w:w="1075" w:type="dxa"/>
            <w:vAlign w:val="center"/>
          </w:tcPr>
          <w:p w14:paraId="7BC6933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07CC050F" w14:textId="77777777" w:rsidTr="001A28E0">
        <w:tc>
          <w:tcPr>
            <w:tcW w:w="1705" w:type="dxa"/>
            <w:vAlign w:val="center"/>
          </w:tcPr>
          <w:p w14:paraId="36C808AA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CHMP2A</w:t>
            </w:r>
          </w:p>
        </w:tc>
        <w:tc>
          <w:tcPr>
            <w:tcW w:w="1350" w:type="dxa"/>
            <w:vAlign w:val="center"/>
          </w:tcPr>
          <w:p w14:paraId="33013288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10477-1-AP</w:t>
            </w:r>
          </w:p>
        </w:tc>
        <w:tc>
          <w:tcPr>
            <w:tcW w:w="5220" w:type="dxa"/>
            <w:vAlign w:val="center"/>
          </w:tcPr>
          <w:p w14:paraId="4FFC5DE7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proofErr w:type="spellStart"/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ProteinTech</w:t>
            </w:r>
            <w:proofErr w:type="spellEnd"/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Rosemont, </w:t>
            </w: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IL, USA)</w:t>
            </w:r>
          </w:p>
        </w:tc>
        <w:tc>
          <w:tcPr>
            <w:tcW w:w="1075" w:type="dxa"/>
            <w:vAlign w:val="center"/>
          </w:tcPr>
          <w:p w14:paraId="1FAB403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4762BA1C" w14:textId="77777777" w:rsidTr="001A28E0">
        <w:tc>
          <w:tcPr>
            <w:tcW w:w="1705" w:type="dxa"/>
            <w:vAlign w:val="center"/>
          </w:tcPr>
          <w:p w14:paraId="38EAB9F6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H4K20me1</w:t>
            </w:r>
          </w:p>
        </w:tc>
        <w:tc>
          <w:tcPr>
            <w:tcW w:w="1350" w:type="dxa"/>
            <w:vAlign w:val="center"/>
          </w:tcPr>
          <w:p w14:paraId="1FECDDF9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sc-134221</w:t>
            </w:r>
          </w:p>
        </w:tc>
        <w:tc>
          <w:tcPr>
            <w:tcW w:w="5220" w:type="dxa"/>
            <w:vAlign w:val="center"/>
          </w:tcPr>
          <w:p w14:paraId="5D0C577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hAnsi="Arial" w:cs="Arial"/>
              </w:rPr>
              <w:t>Santa Cruz Biotechnology (Dallas, TX, USA)</w:t>
            </w:r>
          </w:p>
        </w:tc>
        <w:tc>
          <w:tcPr>
            <w:tcW w:w="1075" w:type="dxa"/>
            <w:vAlign w:val="center"/>
          </w:tcPr>
          <w:p w14:paraId="3D858C43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1:500</w:t>
            </w:r>
          </w:p>
        </w:tc>
      </w:tr>
      <w:tr w:rsidR="001A28E0" w:rsidRPr="00485B71" w14:paraId="5DD27C2B" w14:textId="77777777" w:rsidTr="001A28E0">
        <w:tc>
          <w:tcPr>
            <w:tcW w:w="1705" w:type="dxa"/>
            <w:vAlign w:val="center"/>
          </w:tcPr>
          <w:p w14:paraId="318AA0DC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hAnsi="Arial" w:cs="Arial"/>
              </w:rPr>
              <w:t>Tubulin</w:t>
            </w:r>
          </w:p>
        </w:tc>
        <w:tc>
          <w:tcPr>
            <w:tcW w:w="1350" w:type="dxa"/>
            <w:vAlign w:val="center"/>
          </w:tcPr>
          <w:p w14:paraId="2E49E5D9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sc-5286</w:t>
            </w:r>
          </w:p>
        </w:tc>
        <w:tc>
          <w:tcPr>
            <w:tcW w:w="5220" w:type="dxa"/>
            <w:vAlign w:val="center"/>
          </w:tcPr>
          <w:p w14:paraId="64038C13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Santa Cruz Biotechnology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>Dallas, TX</w:t>
            </w: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, USA)</w:t>
            </w:r>
          </w:p>
        </w:tc>
        <w:tc>
          <w:tcPr>
            <w:tcW w:w="1075" w:type="dxa"/>
            <w:vAlign w:val="center"/>
          </w:tcPr>
          <w:p w14:paraId="7721915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7D417592" w14:textId="77777777" w:rsidTr="001A28E0">
        <w:tc>
          <w:tcPr>
            <w:tcW w:w="1705" w:type="dxa"/>
            <w:vAlign w:val="center"/>
          </w:tcPr>
          <w:p w14:paraId="6EF2604D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β-actin</w:t>
            </w:r>
          </w:p>
        </w:tc>
        <w:tc>
          <w:tcPr>
            <w:tcW w:w="1350" w:type="dxa"/>
            <w:vAlign w:val="center"/>
          </w:tcPr>
          <w:p w14:paraId="63654C47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sc-47778</w:t>
            </w:r>
          </w:p>
        </w:tc>
        <w:tc>
          <w:tcPr>
            <w:tcW w:w="5220" w:type="dxa"/>
            <w:vAlign w:val="center"/>
          </w:tcPr>
          <w:p w14:paraId="402C259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hAnsi="Arial" w:cs="Arial"/>
              </w:rPr>
              <w:t>Santa Cruz Biotechnology (Dallas, TX, USA)</w:t>
            </w:r>
          </w:p>
        </w:tc>
        <w:tc>
          <w:tcPr>
            <w:tcW w:w="1075" w:type="dxa"/>
            <w:vAlign w:val="center"/>
          </w:tcPr>
          <w:p w14:paraId="78AC18D4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703080F6" w14:textId="77777777" w:rsidTr="001A28E0">
        <w:tc>
          <w:tcPr>
            <w:tcW w:w="1705" w:type="dxa"/>
            <w:vAlign w:val="center"/>
          </w:tcPr>
          <w:p w14:paraId="53486C48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GAPDH</w:t>
            </w:r>
          </w:p>
        </w:tc>
        <w:tc>
          <w:tcPr>
            <w:tcW w:w="1350" w:type="dxa"/>
            <w:vAlign w:val="center"/>
          </w:tcPr>
          <w:p w14:paraId="1C6EE4F1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sc-32233</w:t>
            </w:r>
          </w:p>
        </w:tc>
        <w:tc>
          <w:tcPr>
            <w:tcW w:w="5220" w:type="dxa"/>
            <w:vAlign w:val="center"/>
          </w:tcPr>
          <w:p w14:paraId="6551C2C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Santa Cruz Biotechnology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>Dallas, TX</w:t>
            </w: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, USA)</w:t>
            </w:r>
          </w:p>
        </w:tc>
        <w:tc>
          <w:tcPr>
            <w:tcW w:w="1075" w:type="dxa"/>
            <w:vAlign w:val="center"/>
          </w:tcPr>
          <w:p w14:paraId="0CA9FBE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  <w:tr w:rsidR="001A28E0" w:rsidRPr="00485B71" w14:paraId="68AB5AA7" w14:textId="77777777" w:rsidTr="001A28E0">
        <w:trPr>
          <w:trHeight w:val="242"/>
        </w:trPr>
        <w:tc>
          <w:tcPr>
            <w:tcW w:w="1705" w:type="dxa"/>
            <w:vAlign w:val="center"/>
          </w:tcPr>
          <w:p w14:paraId="0FD04D3D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lastRenderedPageBreak/>
              <w:t>Histone H4</w:t>
            </w:r>
          </w:p>
        </w:tc>
        <w:tc>
          <w:tcPr>
            <w:tcW w:w="1350" w:type="dxa"/>
            <w:vAlign w:val="center"/>
          </w:tcPr>
          <w:p w14:paraId="452FD7FB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07-108</w:t>
            </w:r>
          </w:p>
        </w:tc>
        <w:tc>
          <w:tcPr>
            <w:tcW w:w="5220" w:type="dxa"/>
            <w:vAlign w:val="center"/>
          </w:tcPr>
          <w:p w14:paraId="577D8236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Sigma-Aldrich (St. Louis, 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MO, </w:t>
            </w:r>
            <w:r w:rsidRPr="00E9730D">
              <w:rPr>
                <w:rFonts w:ascii="Arial" w:eastAsia="DengXian" w:hAnsi="Arial" w:cs="Arial"/>
                <w:color w:val="000000" w:themeColor="text1"/>
                <w:kern w:val="2"/>
              </w:rPr>
              <w:t>USA)</w:t>
            </w:r>
          </w:p>
        </w:tc>
        <w:tc>
          <w:tcPr>
            <w:tcW w:w="1075" w:type="dxa"/>
            <w:vAlign w:val="center"/>
          </w:tcPr>
          <w:p w14:paraId="04F93D25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1:1000</w:t>
            </w:r>
          </w:p>
        </w:tc>
      </w:tr>
    </w:tbl>
    <w:p w14:paraId="10C1AAF0" w14:textId="77777777" w:rsidR="001A28E0" w:rsidRDefault="001A28E0" w:rsidP="001A28E0">
      <w:pPr>
        <w:pStyle w:val="NormalWeb"/>
        <w:tabs>
          <w:tab w:val="left" w:pos="1361"/>
        </w:tabs>
        <w:spacing w:line="480" w:lineRule="auto"/>
        <w:ind w:firstLine="418"/>
        <w:rPr>
          <w:rFonts w:eastAsia="DengXian"/>
          <w:color w:val="000000" w:themeColor="text1"/>
          <w:kern w:val="2"/>
        </w:rPr>
      </w:pPr>
    </w:p>
    <w:tbl>
      <w:tblPr>
        <w:tblStyle w:val="TableGrid"/>
        <w:tblpPr w:leftFromText="180" w:rightFromText="180" w:vertAnchor="text" w:horzAnchor="margin" w:tblpY="778"/>
        <w:tblW w:w="0" w:type="auto"/>
        <w:tblLook w:val="04A0" w:firstRow="1" w:lastRow="0" w:firstColumn="1" w:lastColumn="0" w:noHBand="0" w:noVBand="1"/>
      </w:tblPr>
      <w:tblGrid>
        <w:gridCol w:w="1701"/>
        <w:gridCol w:w="1354"/>
        <w:gridCol w:w="5278"/>
        <w:gridCol w:w="1017"/>
      </w:tblGrid>
      <w:tr w:rsidR="001A28E0" w:rsidRPr="00485B71" w14:paraId="3F03ACE6" w14:textId="77777777" w:rsidTr="00D2788F">
        <w:tc>
          <w:tcPr>
            <w:tcW w:w="1701" w:type="dxa"/>
            <w:vAlign w:val="center"/>
          </w:tcPr>
          <w:p w14:paraId="70C76CB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Antibody</w:t>
            </w:r>
          </w:p>
        </w:tc>
        <w:tc>
          <w:tcPr>
            <w:tcW w:w="1354" w:type="dxa"/>
            <w:vAlign w:val="center"/>
          </w:tcPr>
          <w:p w14:paraId="2DA3674D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Catalogue number</w:t>
            </w:r>
          </w:p>
        </w:tc>
        <w:tc>
          <w:tcPr>
            <w:tcW w:w="5278" w:type="dxa"/>
            <w:vAlign w:val="center"/>
          </w:tcPr>
          <w:p w14:paraId="70BECA50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Supplier</w:t>
            </w:r>
          </w:p>
        </w:tc>
        <w:tc>
          <w:tcPr>
            <w:tcW w:w="1017" w:type="dxa"/>
            <w:vAlign w:val="center"/>
          </w:tcPr>
          <w:p w14:paraId="62645AF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Dilution</w:t>
            </w:r>
          </w:p>
        </w:tc>
      </w:tr>
      <w:tr w:rsidR="001A28E0" w:rsidRPr="00485B71" w14:paraId="2C8969E6" w14:textId="77777777" w:rsidTr="00D2788F">
        <w:tc>
          <w:tcPr>
            <w:tcW w:w="1701" w:type="dxa"/>
            <w:vAlign w:val="center"/>
          </w:tcPr>
          <w:p w14:paraId="0B0CB93E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SET8 </w:t>
            </w:r>
          </w:p>
        </w:tc>
        <w:tc>
          <w:tcPr>
            <w:tcW w:w="1354" w:type="dxa"/>
            <w:vAlign w:val="center"/>
          </w:tcPr>
          <w:p w14:paraId="022B3028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MA5-14804</w:t>
            </w:r>
          </w:p>
        </w:tc>
        <w:tc>
          <w:tcPr>
            <w:tcW w:w="5278" w:type="dxa"/>
            <w:vAlign w:val="center"/>
          </w:tcPr>
          <w:p w14:paraId="4DE31D96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Themo fisher Scientific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Waltham, </w:t>
            </w:r>
            <w:r w:rsidRPr="00485B71">
              <w:rPr>
                <w:rFonts w:ascii="Arial" w:eastAsia="DengXian" w:hAnsi="Arial" w:cs="Arial"/>
                <w:color w:val="000000" w:themeColor="text1"/>
                <w:kern w:val="2"/>
              </w:rPr>
              <w:t>MA, USA)</w:t>
            </w:r>
          </w:p>
        </w:tc>
        <w:tc>
          <w:tcPr>
            <w:tcW w:w="1017" w:type="dxa"/>
            <w:vAlign w:val="center"/>
          </w:tcPr>
          <w:p w14:paraId="1CF2E009" w14:textId="77777777" w:rsidR="001A28E0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1:200</w:t>
            </w:r>
          </w:p>
        </w:tc>
      </w:tr>
      <w:tr w:rsidR="001A28E0" w:rsidRPr="00485B71" w14:paraId="2E15F763" w14:textId="77777777" w:rsidTr="00D2788F">
        <w:tc>
          <w:tcPr>
            <w:tcW w:w="1701" w:type="dxa"/>
            <w:vAlign w:val="center"/>
          </w:tcPr>
          <w:p w14:paraId="2EB071F9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NGAL</w:t>
            </w:r>
          </w:p>
        </w:tc>
        <w:tc>
          <w:tcPr>
            <w:tcW w:w="1354" w:type="dxa"/>
            <w:vAlign w:val="center"/>
          </w:tcPr>
          <w:p w14:paraId="421139F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AF857</w:t>
            </w:r>
          </w:p>
        </w:tc>
        <w:tc>
          <w:tcPr>
            <w:tcW w:w="5278" w:type="dxa"/>
            <w:vAlign w:val="center"/>
          </w:tcPr>
          <w:p w14:paraId="29EAABA1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R&amp;D systems (Minneapolis, MN, USA)</w:t>
            </w:r>
          </w:p>
        </w:tc>
        <w:tc>
          <w:tcPr>
            <w:tcW w:w="1017" w:type="dxa"/>
            <w:vAlign w:val="center"/>
          </w:tcPr>
          <w:p w14:paraId="2AC6F79C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1:200</w:t>
            </w:r>
          </w:p>
        </w:tc>
      </w:tr>
      <w:tr w:rsidR="001A28E0" w:rsidRPr="00485B71" w14:paraId="5C02FBF1" w14:textId="77777777" w:rsidTr="00D2788F">
        <w:tc>
          <w:tcPr>
            <w:tcW w:w="1701" w:type="dxa"/>
            <w:vAlign w:val="center"/>
          </w:tcPr>
          <w:p w14:paraId="1BC05108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PTEN</w:t>
            </w:r>
          </w:p>
        </w:tc>
        <w:tc>
          <w:tcPr>
            <w:tcW w:w="1354" w:type="dxa"/>
            <w:vAlign w:val="center"/>
          </w:tcPr>
          <w:p w14:paraId="3BF15EFF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7C0F9E">
              <w:rPr>
                <w:rFonts w:ascii="Arial" w:eastAsia="DengXian" w:hAnsi="Arial" w:cs="Arial"/>
                <w:color w:val="000000" w:themeColor="text1"/>
                <w:kern w:val="2"/>
              </w:rPr>
              <w:t>60300-1-Ig</w:t>
            </w:r>
          </w:p>
        </w:tc>
        <w:tc>
          <w:tcPr>
            <w:tcW w:w="5278" w:type="dxa"/>
            <w:vAlign w:val="center"/>
          </w:tcPr>
          <w:p w14:paraId="35D6343B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Cell Signaling Technology (</w:t>
            </w:r>
            <w:r>
              <w:rPr>
                <w:rFonts w:ascii="Arial" w:eastAsia="DengXian" w:hAnsi="Arial" w:cs="Arial"/>
                <w:color w:val="000000" w:themeColor="text1"/>
                <w:kern w:val="2"/>
              </w:rPr>
              <w:t xml:space="preserve">Danvers, </w:t>
            </w:r>
            <w:r w:rsidRPr="00C0565A">
              <w:rPr>
                <w:rFonts w:ascii="Arial" w:eastAsia="DengXian" w:hAnsi="Arial" w:cs="Arial"/>
                <w:color w:val="000000" w:themeColor="text1"/>
                <w:kern w:val="2"/>
              </w:rPr>
              <w:t>MA, USA)</w:t>
            </w:r>
          </w:p>
        </w:tc>
        <w:tc>
          <w:tcPr>
            <w:tcW w:w="1017" w:type="dxa"/>
            <w:vAlign w:val="center"/>
          </w:tcPr>
          <w:p w14:paraId="759E7BDE" w14:textId="77777777" w:rsidR="001A28E0" w:rsidRPr="00485B71" w:rsidRDefault="001A28E0" w:rsidP="00D2788F">
            <w:pPr>
              <w:pStyle w:val="NormalWeb"/>
              <w:tabs>
                <w:tab w:val="left" w:pos="1361"/>
              </w:tabs>
              <w:spacing w:line="360" w:lineRule="auto"/>
              <w:rPr>
                <w:rFonts w:ascii="Arial" w:eastAsia="DengXian" w:hAnsi="Arial" w:cs="Arial"/>
                <w:color w:val="000000" w:themeColor="text1"/>
                <w:kern w:val="2"/>
              </w:rPr>
            </w:pPr>
            <w:r>
              <w:rPr>
                <w:rFonts w:ascii="Arial" w:eastAsia="DengXian" w:hAnsi="Arial" w:cs="Arial"/>
                <w:color w:val="000000" w:themeColor="text1"/>
                <w:kern w:val="2"/>
              </w:rPr>
              <w:t>1:200</w:t>
            </w:r>
          </w:p>
        </w:tc>
      </w:tr>
    </w:tbl>
    <w:p w14:paraId="798835F9" w14:textId="77777777" w:rsidR="001A28E0" w:rsidRPr="001A28E0" w:rsidRDefault="001A28E0" w:rsidP="001A28E0">
      <w:pPr>
        <w:pStyle w:val="NormalWeb"/>
        <w:tabs>
          <w:tab w:val="left" w:pos="1361"/>
        </w:tabs>
        <w:spacing w:line="480" w:lineRule="auto"/>
        <w:rPr>
          <w:rFonts w:ascii="Arial" w:eastAsia="DengXian" w:hAnsi="Arial" w:cs="Arial"/>
          <w:b/>
          <w:bCs/>
          <w:color w:val="000000" w:themeColor="text1"/>
          <w:kern w:val="2"/>
        </w:rPr>
      </w:pPr>
      <w:r w:rsidRPr="001A28E0">
        <w:rPr>
          <w:rFonts w:ascii="Arial" w:eastAsia="DengXian" w:hAnsi="Arial" w:cs="Arial"/>
          <w:b/>
          <w:bCs/>
          <w:color w:val="000000" w:themeColor="text1"/>
          <w:kern w:val="2"/>
        </w:rPr>
        <w:t>Supplementary Table 2. The antibodies used for immunofluorescence staining</w:t>
      </w:r>
    </w:p>
    <w:p w14:paraId="1FE80EBE" w14:textId="77777777" w:rsidR="007A3FEA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6825CEA9" w14:textId="77777777" w:rsidR="007A3FEA" w:rsidRPr="007F2791" w:rsidRDefault="007A3FEA" w:rsidP="007F2791">
      <w:pPr>
        <w:snapToGrid w:val="0"/>
        <w:spacing w:line="480" w:lineRule="auto"/>
        <w:contextualSpacing/>
        <w:rPr>
          <w:rFonts w:ascii="Arial" w:eastAsia="DengXian" w:hAnsi="Arial" w:cs="Arial"/>
          <w:color w:val="000000"/>
        </w:rPr>
      </w:pPr>
    </w:p>
    <w:p w14:paraId="526F1E98" w14:textId="77777777" w:rsidR="007F2791" w:rsidRPr="007F2791" w:rsidRDefault="007F2791" w:rsidP="007F2791">
      <w:pPr>
        <w:snapToGrid w:val="0"/>
        <w:spacing w:before="100" w:beforeAutospacing="1" w:after="100" w:afterAutospacing="1" w:line="480" w:lineRule="auto"/>
        <w:contextualSpacing/>
        <w:rPr>
          <w:rFonts w:ascii="Arial" w:eastAsia="DengXian" w:hAnsi="Arial" w:cs="Arial"/>
          <w:sz w:val="24"/>
          <w:szCs w:val="24"/>
        </w:rPr>
      </w:pPr>
    </w:p>
    <w:p w14:paraId="31A5B443" w14:textId="77777777" w:rsidR="007F2791" w:rsidRPr="007F2791" w:rsidRDefault="007F2791">
      <w:pPr>
        <w:rPr>
          <w:b/>
          <w:bCs/>
        </w:rPr>
      </w:pPr>
    </w:p>
    <w:sectPr w:rsidR="007F2791" w:rsidRPr="007F27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91"/>
    <w:rsid w:val="000218B8"/>
    <w:rsid w:val="00086534"/>
    <w:rsid w:val="001A28E0"/>
    <w:rsid w:val="007A3FEA"/>
    <w:rsid w:val="007F2791"/>
    <w:rsid w:val="008179ED"/>
    <w:rsid w:val="0089403C"/>
    <w:rsid w:val="00E62169"/>
    <w:rsid w:val="00F5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64834"/>
  <w15:chartTrackingRefBased/>
  <w15:docId w15:val="{521E328E-DF0A-458D-8B34-A140C53F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1A2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1A28E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13813067934@163.com</dc:creator>
  <cp:keywords/>
  <dc:description/>
  <cp:lastModifiedBy>13813067934@163.com</cp:lastModifiedBy>
  <cp:revision>2</cp:revision>
  <dcterms:created xsi:type="dcterms:W3CDTF">2023-08-15T19:54:00Z</dcterms:created>
  <dcterms:modified xsi:type="dcterms:W3CDTF">2023-08-15T20:16:00Z</dcterms:modified>
</cp:coreProperties>
</file>