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1589C" w14:textId="77777777" w:rsidR="00787543" w:rsidRPr="001718A2" w:rsidRDefault="00787543" w:rsidP="00787543">
      <w:pPr>
        <w:spacing w:before="240" w:after="240"/>
        <w:rPr>
          <w:rFonts w:ascii="Times New Roman" w:hAnsi="Times New Roman" w:cs="Times New Roman"/>
          <w:b/>
        </w:rPr>
      </w:pPr>
      <w:r w:rsidRPr="001718A2">
        <w:rPr>
          <w:rFonts w:ascii="Times New Roman" w:hAnsi="Times New Roman" w:cs="Times New Roman"/>
          <w:b/>
        </w:rPr>
        <w:t>Supplementary material</w:t>
      </w:r>
    </w:p>
    <w:p w14:paraId="3CB1392E" w14:textId="77777777" w:rsidR="00787543" w:rsidRPr="001718A2" w:rsidRDefault="00787543" w:rsidP="00787543">
      <w:pPr>
        <w:spacing w:before="240" w:after="240"/>
        <w:rPr>
          <w:rFonts w:ascii="Times New Roman" w:hAnsi="Times New Roman" w:cs="Times New Roman"/>
        </w:rPr>
      </w:pPr>
    </w:p>
    <w:p w14:paraId="75EB71C0" w14:textId="77777777" w:rsidR="00787543" w:rsidRPr="001718A2" w:rsidRDefault="00787543" w:rsidP="00787543">
      <w:pPr>
        <w:rPr>
          <w:rFonts w:ascii="Times New Roman" w:hAnsi="Times New Roman" w:cs="Times New Roman"/>
        </w:rPr>
      </w:pPr>
      <w:r w:rsidRPr="001718A2">
        <w:rPr>
          <w:rFonts w:ascii="Times New Roman" w:hAnsi="Times New Roman" w:cs="Times New Roman"/>
          <w:noProof/>
        </w:rPr>
        <w:drawing>
          <wp:inline distT="19050" distB="19050" distL="19050" distR="19050" wp14:anchorId="609A725A" wp14:editId="2021E03B">
            <wp:extent cx="5117476" cy="3978474"/>
            <wp:effectExtent l="0" t="0" r="0" b="0"/>
            <wp:docPr id="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 t="1487"/>
                    <a:stretch>
                      <a:fillRect/>
                    </a:stretch>
                  </pic:blipFill>
                  <pic:spPr>
                    <a:xfrm>
                      <a:off x="0" y="0"/>
                      <a:ext cx="5117476" cy="39784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77BCFF" w14:textId="77777777" w:rsidR="00787543" w:rsidRPr="001718A2" w:rsidRDefault="00787543" w:rsidP="00787543">
      <w:pPr>
        <w:rPr>
          <w:rFonts w:ascii="Times New Roman" w:hAnsi="Times New Roman" w:cs="Times New Roman"/>
        </w:rPr>
      </w:pPr>
      <w:r w:rsidRPr="001718A2">
        <w:rPr>
          <w:rFonts w:ascii="Times New Roman" w:hAnsi="Times New Roman" w:cs="Times New Roman"/>
          <w:b/>
          <w:bCs/>
        </w:rPr>
        <w:t>Figure S1</w:t>
      </w:r>
      <w:r w:rsidRPr="001718A2">
        <w:rPr>
          <w:rFonts w:ascii="Times New Roman" w:hAnsi="Times New Roman" w:cs="Times New Roman"/>
        </w:rPr>
        <w:t xml:space="preserve"> - Comparison of differing methods for calculating ‘statistical land use change’ according to the Greenhouse Gas Protocol </w:t>
      </w:r>
      <w:hyperlink r:id="rId5">
        <w:r w:rsidRPr="001718A2">
          <w:rPr>
            <w:rFonts w:ascii="Times New Roman" w:hAnsi="Times New Roman" w:cs="Times New Roman"/>
          </w:rPr>
          <w:t>(13)</w:t>
        </w:r>
      </w:hyperlink>
      <w:r w:rsidRPr="001718A2">
        <w:rPr>
          <w:rFonts w:ascii="Times New Roman" w:hAnsi="Times New Roman" w:cs="Times New Roman"/>
        </w:rPr>
        <w:t>. The ‘Product expansion’ method was calculated at the national-scale - see the main text for comparisons of different scales of resolution.</w:t>
      </w:r>
    </w:p>
    <w:p w14:paraId="666742F9" w14:textId="77777777" w:rsidR="00787543" w:rsidRDefault="00787543"/>
    <w:sectPr w:rsidR="0078754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543"/>
    <w:rsid w:val="0078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64524"/>
  <w15:chartTrackingRefBased/>
  <w15:docId w15:val="{2AE3F24D-7F2B-4040-AB05-11EB25938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543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zotero.org/google-docs/?0dwaH6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>SpringerNature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2023-08-29T05:41:00Z</dcterms:created>
  <dcterms:modified xsi:type="dcterms:W3CDTF">2023-08-29T05:42:00Z</dcterms:modified>
</cp:coreProperties>
</file>