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b/>
          <w:bCs/>
          <w:sz w:val="36"/>
          <w:szCs w:val="40"/>
        </w:rPr>
      </w:pPr>
    </w:p>
    <w:p>
      <w:pPr>
        <w:jc w:val="center"/>
        <w:rPr>
          <w:rFonts w:ascii="Times New Roman" w:hAnsi="Times New Roman" w:cs="Times New Roman"/>
          <w:sz w:val="40"/>
          <w:szCs w:val="44"/>
        </w:rPr>
      </w:pPr>
      <w:r>
        <w:rPr>
          <w:rFonts w:ascii="Times New Roman" w:hAnsi="Times New Roman" w:cs="Times New Roman"/>
          <w:sz w:val="40"/>
          <w:szCs w:val="44"/>
        </w:rPr>
        <w:t>Supplementary Appendix</w:t>
      </w:r>
    </w:p>
    <w:p>
      <w:pPr>
        <w:widowControl/>
        <w:jc w:val="left"/>
        <w:rPr>
          <w:rFonts w:ascii="Times New Roman" w:hAnsi="Times New Roman" w:cs="Times New Roman"/>
          <w:b/>
          <w:bCs/>
          <w:sz w:val="36"/>
          <w:szCs w:val="40"/>
        </w:rPr>
      </w:pPr>
      <w:r>
        <w:rPr>
          <w:rFonts w:ascii="Times New Roman" w:hAnsi="Times New Roman" w:cs="Times New Roman"/>
          <w:b/>
          <w:bCs/>
          <w:sz w:val="36"/>
          <w:szCs w:val="40"/>
        </w:rPr>
        <w:br w:type="page"/>
      </w:r>
    </w:p>
    <w:p>
      <w:pPr>
        <w:jc w:val="center"/>
        <w:rPr>
          <w:rFonts w:ascii="Times New Roman" w:hAnsi="Times New Roman" w:cs="Times New Roman"/>
          <w:b/>
          <w:bCs/>
        </w:rPr>
      </w:pPr>
    </w:p>
    <w:sdt>
      <w:sdtPr>
        <w:rPr>
          <w:rFonts w:asciiTheme="minorHAnsi" w:hAnsiTheme="minorHAnsi" w:eastAsiaTheme="minorEastAsia" w:cstheme="minorBidi"/>
          <w:color w:val="auto"/>
          <w:kern w:val="2"/>
          <w:sz w:val="21"/>
          <w:szCs w:val="22"/>
          <w:lang w:val="zh-CN"/>
        </w:rPr>
        <w:id w:val="423314729"/>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4"/>
            <w:rPr>
              <w:rFonts w:ascii="Times New Roman" w:hAnsi="Times New Roman" w:cs="Times New Roman"/>
              <w:color w:val="auto"/>
              <w:sz w:val="24"/>
              <w:szCs w:val="24"/>
            </w:rPr>
          </w:pPr>
          <w:r>
            <w:rPr>
              <w:rFonts w:ascii="Times New Roman" w:hAnsi="Times New Roman" w:cs="Times New Roman"/>
              <w:color w:val="auto"/>
              <w:sz w:val="24"/>
              <w:szCs w:val="24"/>
              <w:lang w:val="zh-CN"/>
            </w:rPr>
            <w:t>Table of Contents</w:t>
          </w:r>
        </w:p>
        <w:p>
          <w:pPr>
            <w:pStyle w:val="9"/>
            <w:tabs>
              <w:tab w:val="right" w:leader="dot" w:pos="8296"/>
            </w:tabs>
            <w:rPr>
              <w:rFonts w:ascii="Times New Roman" w:hAnsi="Times New Roman"/>
              <w:kern w:val="2"/>
              <w:sz w:val="21"/>
            </w:rPr>
          </w:pPr>
          <w:r>
            <w:fldChar w:fldCharType="begin"/>
          </w:r>
          <w:r>
            <w:instrText xml:space="preserve"> TOC \o "1-3" \h \z \u </w:instrText>
          </w:r>
          <w:r>
            <w:fldChar w:fldCharType="separate"/>
          </w:r>
          <w:r>
            <w:fldChar w:fldCharType="begin"/>
          </w:r>
          <w:r>
            <w:instrText xml:space="preserve"> HYPERLINK \l "_Toc118159965" </w:instrText>
          </w:r>
          <w:r>
            <w:fldChar w:fldCharType="separate"/>
          </w:r>
          <w:r>
            <w:rPr>
              <w:rStyle w:val="13"/>
              <w:rFonts w:ascii="Times New Roman" w:hAnsi="Times New Roman"/>
            </w:rPr>
            <w:t>Dose modifications and toxicity prevention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_Toc118159965 \h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"_Toc118159966" </w:instrText>
          </w:r>
          <w:r>
            <w:fldChar w:fldCharType="separate"/>
          </w:r>
          <w:r>
            <w:rPr>
              <w:rStyle w:val="13"/>
              <w:rFonts w:ascii="Times New Roman" w:hAnsi="Times New Roman"/>
            </w:rPr>
            <w:t>Description of the guidelines for intensity-modulated radiation therapy in this trial</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_Toc118159966 \h </w:instrText>
          </w:r>
          <w:r>
            <w:rPr>
              <w:rFonts w:ascii="Times New Roman" w:hAnsi="Times New Roman"/>
            </w:rPr>
            <w:fldChar w:fldCharType="separate"/>
          </w:r>
          <w:r>
            <w:rPr>
              <w:rFonts w:ascii="Times New Roman" w:hAnsi="Times New Roman"/>
            </w:rPr>
            <w:t>4</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"_Toc118159967" </w:instrText>
          </w:r>
          <w:r>
            <w:fldChar w:fldCharType="separate"/>
          </w:r>
          <w:r>
            <w:rPr>
              <w:rStyle w:val="13"/>
              <w:rFonts w:ascii="Times New Roman" w:hAnsi="Times New Roman"/>
            </w:rPr>
            <w:t>Definitions of the endpoints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_Toc118159967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"_Toc118159968" </w:instrText>
          </w:r>
          <w:r>
            <w:fldChar w:fldCharType="separate"/>
          </w:r>
          <w:r>
            <w:rPr>
              <w:rStyle w:val="13"/>
              <w:rFonts w:ascii="Times New Roman" w:hAnsi="Times New Roman"/>
            </w:rPr>
            <w:t>Per-protocol analysis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_Toc118159968 \h </w:instrText>
          </w:r>
          <w:r>
            <w:rPr>
              <w:rFonts w:ascii="Times New Roman" w:hAnsi="Times New Roman"/>
            </w:rPr>
            <w:fldChar w:fldCharType="separate"/>
          </w:r>
          <w:r>
            <w:rPr>
              <w:rFonts w:ascii="Times New Roman" w:hAnsi="Times New Roman"/>
            </w:rPr>
            <w:t>8</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"_Toc118159969" </w:instrText>
          </w:r>
          <w:r>
            <w:fldChar w:fldCharType="separate"/>
          </w:r>
          <w:r>
            <w:rPr>
              <w:rStyle w:val="13"/>
              <w:rFonts w:ascii="Times New Roman" w:hAnsi="Times New Roman"/>
            </w:rPr>
            <w:t>Supplemental Table S1: Patient baseline characteristics of per-protocol population.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_Toc118159969 \h </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"_Toc118159970" </w:instrText>
          </w:r>
          <w:r>
            <w:fldChar w:fldCharType="separate"/>
          </w:r>
          <w:r>
            <w:rPr>
              <w:rStyle w:val="13"/>
              <w:rFonts w:ascii="Times New Roman" w:hAnsi="Times New Roman"/>
            </w:rPr>
            <w:t>Supplemental Table S2. Survival analysis in per-protocol population.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_Toc118159970 \h </w:instrText>
          </w:r>
          <w:r>
            <w:rPr>
              <w:rFonts w:ascii="Times New Roman" w:hAnsi="Times New Roman"/>
            </w:rPr>
            <w:fldChar w:fldCharType="separate"/>
          </w:r>
          <w:r>
            <w:rPr>
              <w:rFonts w:ascii="Times New Roman" w:hAnsi="Times New Roman"/>
            </w:rPr>
            <w:t>10</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"_Toc118159971" </w:instrText>
          </w:r>
          <w:r>
            <w:fldChar w:fldCharType="separate"/>
          </w:r>
          <w:r>
            <w:rPr>
              <w:rStyle w:val="13"/>
              <w:rFonts w:ascii="Times New Roman" w:hAnsi="Times New Roman"/>
            </w:rPr>
            <w:t>Supplemental Table S3: Characteristics of the patients at baseline between QUINTUPLED and historical cohorts.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_Toc118159971 \h </w:instrText>
          </w:r>
          <w:r>
            <w:rPr>
              <w:rFonts w:ascii="Times New Roman" w:hAnsi="Times New Roman"/>
            </w:rPr>
            <w:fldChar w:fldCharType="separate"/>
          </w:r>
          <w:r>
            <w:rPr>
              <w:rFonts w:ascii="Times New Roman" w:hAnsi="Times New Roman"/>
            </w:rPr>
            <w:t>11</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"_Toc118159972" </w:instrText>
          </w:r>
          <w:r>
            <w:fldChar w:fldCharType="separate"/>
          </w:r>
          <w:r>
            <w:rPr>
              <w:rStyle w:val="13"/>
              <w:rFonts w:ascii="Times New Roman" w:hAnsi="Times New Roman"/>
            </w:rPr>
            <w:t>Supplemental Table S4. Compliance to induction chemotherapy.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_Toc118159972 \h </w:instrText>
          </w:r>
          <w:r>
            <w:rPr>
              <w:rFonts w:ascii="Times New Roman" w:hAnsi="Times New Roman"/>
            </w:rPr>
            <w:fldChar w:fldCharType="separate"/>
          </w:r>
          <w:r>
            <w:rPr>
              <w:rFonts w:ascii="Times New Roman" w:hAnsi="Times New Roman"/>
            </w:rPr>
            <w:t>12</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"_Toc118159973" </w:instrText>
          </w:r>
          <w:r>
            <w:fldChar w:fldCharType="separate"/>
          </w:r>
          <w:r>
            <w:rPr>
              <w:rStyle w:val="13"/>
              <w:rFonts w:ascii="Times New Roman" w:hAnsi="Times New Roman"/>
            </w:rPr>
            <w:t>Supplemental Table S5. Compliance to camrelizumab and apatinib.</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_Toc118159973 \h </w:instrText>
          </w:r>
          <w:r>
            <w:rPr>
              <w:rFonts w:ascii="Times New Roman" w:hAnsi="Times New Roman"/>
            </w:rPr>
            <w:fldChar w:fldCharType="separate"/>
          </w:r>
          <w:r>
            <w:rPr>
              <w:rFonts w:ascii="Times New Roman" w:hAnsi="Times New Roman"/>
            </w:rPr>
            <w:t>13</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"_Toc118159974" </w:instrText>
          </w:r>
          <w:r>
            <w:fldChar w:fldCharType="separate"/>
          </w:r>
          <w:r>
            <w:rPr>
              <w:rStyle w:val="13"/>
              <w:rFonts w:ascii="Times New Roman" w:hAnsi="Times New Roman"/>
            </w:rPr>
            <w:t>Supplemental Table S6. Compliance to concurrent cisplatin chemotherapy and radiotherapy.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_Toc118159974 \h </w:instrText>
          </w:r>
          <w:r>
            <w:rPr>
              <w:rFonts w:ascii="Times New Roman" w:hAnsi="Times New Roman"/>
            </w:rPr>
            <w:fldChar w:fldCharType="separate"/>
          </w:r>
          <w:r>
            <w:rPr>
              <w:rFonts w:ascii="Times New Roman" w:hAnsi="Times New Roman"/>
            </w:rPr>
            <w:t>14</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"_Toc118159975" </w:instrText>
          </w:r>
          <w:r>
            <w:fldChar w:fldCharType="separate"/>
          </w:r>
          <w:r>
            <w:rPr>
              <w:rStyle w:val="13"/>
              <w:rFonts w:ascii="Times New Roman" w:hAnsi="Times New Roman"/>
            </w:rPr>
            <w:t>Supplemental Table S7. Plasma EBV DNA clearance information.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_Toc118159975 \h </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"_Toc118159976" </w:instrText>
          </w:r>
          <w:r>
            <w:fldChar w:fldCharType="separate"/>
          </w:r>
          <w:r>
            <w:rPr>
              <w:rStyle w:val="13"/>
              <w:rFonts w:ascii="Times New Roman" w:hAnsi="Times New Roman"/>
            </w:rPr>
            <w:t>Supplemental Table S8. Treatment-related adverse events, according to treatment phase and grade.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_Toc118159976 \h </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"_Toc118159977" </w:instrText>
          </w:r>
          <w:r>
            <w:fldChar w:fldCharType="separate"/>
          </w:r>
          <w:r>
            <w:rPr>
              <w:rStyle w:val="13"/>
              <w:rFonts w:ascii="Times New Roman" w:hAnsi="Times New Roman"/>
            </w:rPr>
            <w:t>Supplemental Table S9. Immune-related adverse events, according to treatment phase and grade.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_Toc118159977 \h </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"_Toc118159978" </w:instrText>
          </w:r>
          <w:r>
            <w:fldChar w:fldCharType="separate"/>
          </w:r>
          <w:r>
            <w:rPr>
              <w:rStyle w:val="13"/>
              <w:rFonts w:ascii="Times New Roman" w:hAnsi="Times New Roman"/>
            </w:rPr>
            <w:t>Supplemental Figure S1. Response to induction therapy.</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_Toc118159978 \h </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"_Toc118159979" </w:instrText>
          </w:r>
          <w:r>
            <w:fldChar w:fldCharType="separate"/>
          </w:r>
          <w:r>
            <w:rPr>
              <w:rStyle w:val="13"/>
              <w:rFonts w:ascii="Times New Roman" w:hAnsi="Times New Roman"/>
            </w:rPr>
            <w:t>Supplemental Figure S2. Representative MRI comparison of pre- and after induction phase.</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_Toc118159979 \h </w:instrText>
          </w:r>
          <w:r>
            <w:rPr>
              <w:rFonts w:ascii="Times New Roman" w:hAnsi="Times New Roman"/>
            </w:rPr>
            <w:fldChar w:fldCharType="separate"/>
          </w:r>
          <w:r>
            <w:rPr>
              <w:rFonts w:ascii="Times New Roman" w:hAnsi="Times New Roman"/>
            </w:rPr>
            <w:t>20</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"_Toc118159980" </w:instrText>
          </w:r>
          <w:r>
            <w:fldChar w:fldCharType="separate"/>
          </w:r>
          <w:r>
            <w:rPr>
              <w:rStyle w:val="13"/>
              <w:rFonts w:ascii="Times New Roman" w:hAnsi="Times New Roman"/>
            </w:rPr>
            <w:t>Supplemental Figure S3. Pathology of nasopharyngeal and lymph node tissues.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_Toc118159980 \h </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r>
            <w:rPr>
              <w:rFonts w:ascii="Times New Roman" w:hAnsi="Times New Roman"/>
            </w:rPr>
            <w:fldChar w:fldCharType="end"/>
          </w:r>
        </w:p>
        <w:p>
          <w:pPr>
            <w:pStyle w:val="9"/>
            <w:tabs>
              <w:tab w:val="right" w:leader="dot" w:pos="8296"/>
            </w:tabs>
            <w:rPr>
              <w:rFonts w:ascii="Times New Roman" w:hAnsi="Times New Roman"/>
              <w:kern w:val="2"/>
              <w:sz w:val="21"/>
            </w:rPr>
          </w:pPr>
          <w:r>
            <w:fldChar w:fldCharType="begin"/>
          </w:r>
          <w:r>
            <w:instrText xml:space="preserve"> HYPERLINK \l "_Toc118159981" </w:instrText>
          </w:r>
          <w:r>
            <w:fldChar w:fldCharType="separate"/>
          </w:r>
          <w:r>
            <w:rPr>
              <w:rStyle w:val="13"/>
              <w:rFonts w:ascii="Times New Roman" w:hAnsi="Times New Roman"/>
            </w:rPr>
            <w:t>Supplemental Figure S4. Trajectories of plasma EBV DNA levels.</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_Toc118159981 \h </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r>
            <w:rPr>
              <w:rFonts w:ascii="Times New Roman" w:hAnsi="Times New Roman"/>
            </w:rPr>
            <w:fldChar w:fldCharType="end"/>
          </w:r>
        </w:p>
        <w:p>
          <w:pPr>
            <w:pStyle w:val="9"/>
            <w:tabs>
              <w:tab w:val="right" w:leader="dot" w:pos="8296"/>
            </w:tabs>
            <w:rPr>
              <w:rFonts w:cstheme="minorBidi"/>
              <w:kern w:val="2"/>
              <w:sz w:val="21"/>
            </w:rPr>
          </w:pPr>
          <w:r>
            <w:fldChar w:fldCharType="begin"/>
          </w:r>
          <w:r>
            <w:instrText xml:space="preserve"> HYPERLINK \l "_Toc118159982" </w:instrText>
          </w:r>
          <w:r>
            <w:fldChar w:fldCharType="separate"/>
          </w:r>
          <w:r>
            <w:rPr>
              <w:rStyle w:val="13"/>
              <w:rFonts w:ascii="Times New Roman" w:hAnsi="Times New Roman"/>
            </w:rPr>
            <w:t>Supplemental Figure S5. Immune-related toxic epidermal necrolysis-like skin reaction.</w:t>
          </w:r>
          <w:r>
            <w:rPr>
              <w:rFonts w:ascii="Times New Roman" w:hAnsi="Times New Roman"/>
            </w:rPr>
            <w:tab/>
          </w:r>
          <w:r>
            <w:rPr>
              <w:rFonts w:ascii="Times New Roman" w:hAnsi="Times New Roman"/>
            </w:rPr>
            <w:fldChar w:fldCharType="begin"/>
          </w:r>
          <w:r>
            <w:rPr>
              <w:rFonts w:ascii="Times New Roman" w:hAnsi="Times New Roman"/>
            </w:rPr>
            <w:instrText xml:space="preserve"> PAGEREF _Toc118159982 \h </w:instrText>
          </w:r>
          <w:r>
            <w:rPr>
              <w:rFonts w:ascii="Times New Roman" w:hAnsi="Times New Roman"/>
            </w:rPr>
            <w:fldChar w:fldCharType="separate"/>
          </w:r>
          <w:r>
            <w:rPr>
              <w:rFonts w:ascii="Times New Roman" w:hAnsi="Times New Roman"/>
            </w:rPr>
            <w:t>23</w:t>
          </w:r>
          <w:r>
            <w:rPr>
              <w:rFonts w:ascii="Times New Roman" w:hAnsi="Times New Roman"/>
            </w:rPr>
            <w:fldChar w:fldCharType="end"/>
          </w:r>
          <w:r>
            <w:rPr>
              <w:rFonts w:ascii="Times New Roman" w:hAnsi="Times New Roman"/>
            </w:rPr>
            <w:fldChar w:fldCharType="end"/>
          </w:r>
        </w:p>
        <w:p>
          <w:r>
            <w:rPr>
              <w:b/>
              <w:bCs/>
              <w:lang w:val="zh-CN"/>
            </w:rPr>
            <w:fldChar w:fldCharType="end"/>
          </w:r>
        </w:p>
      </w:sdtContent>
    </w:sdt>
    <w:p>
      <w:pPr>
        <w:jc w:val="center"/>
        <w:rPr>
          <w:rFonts w:ascii="Times New Roman" w:hAnsi="Times New Roman" w:cs="Times New Roman"/>
          <w:b/>
          <w:bCs/>
        </w:rPr>
      </w:pPr>
    </w:p>
    <w:p>
      <w:pPr>
        <w:widowControl/>
        <w:jc w:val="left"/>
        <w:rPr>
          <w:rFonts w:ascii="Arial" w:hAnsi="Arial" w:cs="Arial"/>
          <w:b/>
          <w:bCs/>
        </w:rPr>
      </w:pPr>
      <w:r>
        <w:rPr>
          <w:rFonts w:ascii="Arial" w:hAnsi="Arial" w:cs="Arial"/>
          <w:b/>
          <w:bCs/>
        </w:rPr>
        <w:br w:type="page"/>
      </w:r>
    </w:p>
    <w:p>
      <w:pPr>
        <w:pStyle w:val="3"/>
        <w:rPr>
          <w:rFonts w:ascii="Times New Roman" w:hAnsi="Times New Roman" w:cs="Times New Roman"/>
          <w:szCs w:val="21"/>
        </w:rPr>
      </w:pPr>
      <w:bookmarkStart w:id="0" w:name="_Toc118159965"/>
      <w:r>
        <w:rPr>
          <w:rFonts w:ascii="Times New Roman" w:hAnsi="Times New Roman" w:cs="Times New Roman"/>
          <w:szCs w:val="21"/>
        </w:rPr>
        <w:t>Dose modifications and toxicity prevention</w:t>
      </w:r>
      <w:bookmarkEnd w:id="0"/>
    </w:p>
    <w:p>
      <w:pPr>
        <w:spacing w:line="360" w:lineRule="auto"/>
        <w:rPr>
          <w:rFonts w:ascii="Times New Roman" w:hAnsi="Times New Roman" w:cs="Times New Roman"/>
          <w:szCs w:val="21"/>
        </w:rPr>
      </w:pPr>
      <w:r>
        <w:rPr>
          <w:rFonts w:ascii="Times New Roman" w:hAnsi="Times New Roman" w:cs="Times New Roman"/>
          <w:szCs w:val="21"/>
        </w:rPr>
        <w:t xml:space="preserve">Patients were examined and graded for subjective or objective evidence of toxic effects of treatment according to the National Cancer Institute Common Terminology Criteria for Adverse Events (CTCAE; version 5) every week when the induction and concurrent chemotherapy and radiotherapy was administered and before each camrelizumab dose. Radiotherapy dose modifications were not allowed. </w:t>
      </w:r>
    </w:p>
    <w:p>
      <w:pPr>
        <w:spacing w:line="360" w:lineRule="auto"/>
        <w:rPr>
          <w:rFonts w:ascii="Times New Roman" w:hAnsi="Times New Roman" w:cs="Times New Roman"/>
          <w:szCs w:val="21"/>
        </w:rPr>
      </w:pPr>
      <w:r>
        <w:rPr>
          <w:rFonts w:ascii="Times New Roman" w:hAnsi="Times New Roman" w:cs="Times New Roman"/>
          <w:szCs w:val="21"/>
        </w:rPr>
        <w:t>Chemotherapy dose adjustments were allowed in cases of hematological or non-hematological toxicity. In the case of hematological toxicity, during the induction and concurrent phase, chemotherapy was withheld until the nadir values were 1500 cells per μL or higher for neutrophils and 100 000 cells per μL or higher for platelets. In the case of renal or liver toxicity, chemotherapy was withheld until adequate renal function and liver function were regained.</w:t>
      </w:r>
    </w:p>
    <w:p>
      <w:pPr>
        <w:spacing w:line="360" w:lineRule="auto"/>
        <w:rPr>
          <w:rFonts w:ascii="Times New Roman" w:hAnsi="Times New Roman" w:cs="Times New Roman"/>
          <w:szCs w:val="21"/>
        </w:rPr>
      </w:pPr>
      <w:r>
        <w:rPr>
          <w:rFonts w:ascii="Times New Roman" w:hAnsi="Times New Roman" w:cs="Times New Roman"/>
          <w:szCs w:val="21"/>
        </w:rPr>
        <w:t xml:space="preserve">Dose reductions of camrelizumab were not allowed. Dose interruptions and dose reductions (maximum of two reductions) of apatinib were permitted for toxicities that were not relieved by supportive care. The first dose reduction was to 250 mg </w:t>
      </w:r>
      <w:bookmarkStart w:id="1" w:name="_Hlk111988525"/>
      <w:r>
        <w:rPr>
          <w:rFonts w:ascii="Times New Roman" w:hAnsi="Times New Roman" w:cs="Times New Roman"/>
          <w:szCs w:val="21"/>
        </w:rPr>
        <w:t>once per day with 5 days on and 2 days off</w:t>
      </w:r>
      <w:bookmarkEnd w:id="1"/>
      <w:r>
        <w:rPr>
          <w:rFonts w:ascii="Times New Roman" w:hAnsi="Times New Roman" w:cs="Times New Roman"/>
          <w:szCs w:val="21"/>
        </w:rPr>
        <w:t>, and additional reduction was to 250 mg once per day every other day. If the apatinib dose was reduced, it could not be increased later. At the middle of study, the initial dose of apatinib was</w:t>
      </w:r>
      <w:bookmarkStart w:id="2" w:name="OLE_LINK21"/>
      <w:r>
        <w:rPr>
          <w:rFonts w:ascii="Times New Roman" w:hAnsi="Times New Roman" w:cs="Times New Roman"/>
          <w:szCs w:val="21"/>
        </w:rPr>
        <w:t xml:space="preserve"> adjusted with 250 mg once per day with 5 days on and 2 days off.</w:t>
      </w:r>
      <w:bookmarkEnd w:id="2"/>
    </w:p>
    <w:p>
      <w:pPr>
        <w:spacing w:line="360" w:lineRule="auto"/>
        <w:rPr>
          <w:rFonts w:ascii="Arial" w:hAnsi="Arial" w:cs="Arial"/>
          <w:b/>
          <w:bCs/>
          <w:szCs w:val="21"/>
        </w:rPr>
      </w:pPr>
      <w:r>
        <w:rPr>
          <w:rFonts w:ascii="Times New Roman" w:hAnsi="Times New Roman" w:cs="Times New Roman"/>
          <w:szCs w:val="21"/>
        </w:rPr>
        <w:t>To prevent chemotherapy-induced nausea and vomiting, we recommended 5-HT3-receptor antagonist (ondansetrone 8 mg or granisetron 3 mg, intravenously) and NK-1-receptor antagonist (aprepitant 125 mg po on day 1 and 80 mg on days 2 and 3); metoclopramide (10 mg intramuscularly) could also be used if symptoms persist despite the triplet combination. To prevent cisplatin-induced nephrotoxicity, we administered a 3-day hydration protocol on days 0–2 and used diuretics (mannitol 50 g intravenously and furosemide 20 mg intravenously) on the day of cisplatin administration. Severe malnutrition or continuous weight loss during treatment was an indication for parenteral or nasogastric nutritional supplementation. All of the supportive care could be delivered in both inpatient and outpatient settings at the physician’s discretion. Polyethylene glycol-conjugated recombinant human granulocyte stimulating factor is an alternative agent for the prevention of serious neutropenia. For grade 4 neutropenia, prophylactic antibiotics were administered.</w:t>
      </w:r>
      <w:r>
        <w:rPr>
          <w:rFonts w:ascii="Arial" w:hAnsi="Arial" w:cs="Arial"/>
          <w:b/>
          <w:bCs/>
          <w:szCs w:val="21"/>
        </w:rPr>
        <w:br w:type="page"/>
      </w:r>
    </w:p>
    <w:p>
      <w:pPr>
        <w:pStyle w:val="3"/>
        <w:rPr>
          <w:rFonts w:ascii="Times New Roman" w:hAnsi="Times New Roman" w:cs="Times New Roman"/>
          <w:szCs w:val="21"/>
        </w:rPr>
      </w:pPr>
      <w:bookmarkStart w:id="3" w:name="_Toc118159966"/>
      <w:r>
        <w:rPr>
          <w:rFonts w:ascii="Times New Roman" w:hAnsi="Times New Roman" w:cs="Times New Roman"/>
          <w:szCs w:val="21"/>
        </w:rPr>
        <w:t>Description of the guidelines for intensity-modulated radiation therapy in this trial</w:t>
      </w:r>
      <w:bookmarkEnd w:id="3"/>
    </w:p>
    <w:p>
      <w:pPr>
        <w:spacing w:line="360" w:lineRule="auto"/>
        <w:rPr>
          <w:rFonts w:ascii="Times New Roman" w:hAnsi="Times New Roman" w:cs="Times New Roman"/>
          <w:szCs w:val="21"/>
        </w:rPr>
      </w:pPr>
      <w:r>
        <w:rPr>
          <w:rFonts w:ascii="Times New Roman" w:hAnsi="Times New Roman" w:cs="Times New Roman"/>
          <w:szCs w:val="21"/>
        </w:rPr>
        <w:t>In general, all patients were immobilized in the supine position and using a thermoplastic mask that covered the head, neck, and shoulder. Both non-enhanced CT (for dose calculation) and contrast-enhanced CT (for target delineation) images were obtained from the vertex to 2 cm below the sternoclavicular joint, with 3-mm slices.</w:t>
      </w:r>
    </w:p>
    <w:p>
      <w:pPr>
        <w:spacing w:line="360" w:lineRule="auto"/>
        <w:rPr>
          <w:rFonts w:ascii="Times New Roman" w:hAnsi="Times New Roman" w:cs="Times New Roman"/>
          <w:b/>
          <w:bCs/>
          <w:szCs w:val="21"/>
        </w:rPr>
      </w:pPr>
      <w:r>
        <w:rPr>
          <w:rFonts w:ascii="Times New Roman" w:hAnsi="Times New Roman" w:cs="Times New Roman"/>
          <w:szCs w:val="21"/>
        </w:rPr>
        <w:t>Target volumes were defined in accordance with the International Commission on Radiation Units and Measurements (ICRU) reports 50 and 62. Gross tumor volume (GTV) included the primary tumor and enlarged lymph nodes. High-risk clinical target volume was defined as the nasopharyngeal GTV plus a 5-10 mm margin (2-3 mm posteriorly if adjacent to the brainstem or spinal cord) to encompass the high-risk sites of microscopic extension and the whole nasopharynx. Low-risk clinical target volume was defined as the high-risk clinical target volume plus a 5-10 mm margin (2-3 mm posteriorly if adjacent to the brainstem or spinal cord) to encompass the low-risk sites of microscopic extension, including the skull base, clivus, sphenoid sinus, parapharyngeal space, pterygoid fossa, retropharyngeal nodal regions, and elective neck area from level IB to level V. For the planning target volumes of GTVnx, GTVnd, CTV</w:t>
      </w:r>
      <w:r>
        <w:rPr>
          <w:rFonts w:ascii="Times New Roman" w:hAnsi="Times New Roman" w:cs="Times New Roman"/>
          <w:szCs w:val="21"/>
          <w:vertAlign w:val="subscript"/>
        </w:rPr>
        <w:t>high-risk</w:t>
      </w:r>
      <w:r>
        <w:rPr>
          <w:rFonts w:ascii="Times New Roman" w:hAnsi="Times New Roman" w:cs="Times New Roman"/>
          <w:szCs w:val="21"/>
        </w:rPr>
        <w:t>, and CTV</w:t>
      </w:r>
      <w:r>
        <w:rPr>
          <w:rFonts w:ascii="Times New Roman" w:hAnsi="Times New Roman" w:cs="Times New Roman"/>
          <w:szCs w:val="21"/>
          <w:vertAlign w:val="subscript"/>
        </w:rPr>
        <w:t>low-risk</w:t>
      </w:r>
      <w:r>
        <w:rPr>
          <w:rFonts w:ascii="Times New Roman" w:hAnsi="Times New Roman" w:cs="Times New Roman"/>
          <w:szCs w:val="21"/>
        </w:rPr>
        <w:t>, total radiation doses of 68–72 Gy, 64–68 Gy, 60-64 Gy, and 54-58 Gy, respectively, were administered in 30-33 fractions, delivered daily at five fractions per week, starting on the first day of the first concurrent chemoradiotherapy cycle.</w:t>
      </w:r>
    </w:p>
    <w:p>
      <w:pPr>
        <w:spacing w:line="360" w:lineRule="auto"/>
        <w:rPr>
          <w:rFonts w:ascii="Times New Roman" w:hAnsi="Times New Roman" w:cs="Times New Roman"/>
          <w:szCs w:val="21"/>
        </w:rPr>
      </w:pPr>
      <w:r>
        <w:rPr>
          <w:rFonts w:ascii="Times New Roman" w:hAnsi="Times New Roman" w:cs="Times New Roman"/>
          <w:szCs w:val="21"/>
        </w:rPr>
        <w:t>The normal tissue dose constraints are listed in Table SS1. All plans were generated by a team of dosimetrists using a wholefield (including neck radiation) simultaneous integrated boost technique. In general, when critical normal tissues (e.g., brain stem and spinal cord) were adjacent to the high-dose target volumes, the target volume coverage could be compromised to keep these critical normal tissues within the dose constraints. When other normal tissues of lower priority were adjacent to the high-dose target volumes, the dose to these tissues was kept as low as possible without compromising the target coverage. The trade-off between covering the target volume and protecting normal tissue in each case was discussed and decided upon by the research team at each institution. Radiation was delivered once daily at five fractions per week. It was recommended that patients commence chemoradiotherapy within 21-28 days from the first day of the last cycle of induction chemotherapy.</w:t>
      </w:r>
    </w:p>
    <w:tbl>
      <w:tblPr>
        <w:tblStyle w:val="10"/>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4077"/>
        <w:gridCol w:w="43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472" w:type="dxa"/>
            <w:gridSpan w:val="2"/>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b/>
                <w:bCs/>
                <w:color w:val="000000"/>
                <w:szCs w:val="21"/>
              </w:rPr>
              <w:t xml:space="preserve">Supplemental Table SS1. </w:t>
            </w:r>
            <w:r>
              <w:rPr>
                <w:rFonts w:ascii="Times New Roman" w:hAnsi="Times New Roman" w:cs="Times New Roman"/>
                <w:color w:val="000000"/>
                <w:szCs w:val="21"/>
              </w:rPr>
              <w:t>Normal tissue dose constraint structure.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color w:val="000000"/>
                <w:szCs w:val="21"/>
              </w:rPr>
            </w:pPr>
            <w:r>
              <w:rPr>
                <w:rFonts w:ascii="Times New Roman" w:hAnsi="Times New Roman" w:cs="Times New Roman"/>
                <w:b/>
                <w:bCs/>
                <w:color w:val="000000"/>
                <w:szCs w:val="21"/>
              </w:rPr>
              <w:t xml:space="preserve">Structure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color w:val="000000"/>
                <w:szCs w:val="21"/>
              </w:rPr>
            </w:pPr>
            <w:r>
              <w:rPr>
                <w:rFonts w:ascii="Times New Roman" w:hAnsi="Times New Roman" w:cs="Times New Roman"/>
                <w:b/>
                <w:bCs/>
                <w:color w:val="000000"/>
                <w:szCs w:val="21"/>
              </w:rPr>
              <w:t>Dose constraints</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color w:val="000000"/>
                <w:szCs w:val="21"/>
              </w:rPr>
            </w:pPr>
            <w:r>
              <w:rPr>
                <w:rFonts w:ascii="Times New Roman" w:hAnsi="Times New Roman" w:cs="Times New Roman"/>
                <w:b/>
                <w:bCs/>
                <w:color w:val="000000"/>
                <w:szCs w:val="21"/>
              </w:rPr>
              <w:t>Critical organ at risk</w:t>
            </w:r>
          </w:p>
        </w:tc>
        <w:tc>
          <w:tcPr>
            <w:tcW w:w="4395" w:type="dxa"/>
            <w:vAlign w:val="center"/>
          </w:tcPr>
          <w:p>
            <w:pPr>
              <w:rPr>
                <w:rFonts w:ascii="Times New Roman" w:hAnsi="Times New Roman" w:cs="Times New Roman"/>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Brain stem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 54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PRV-Brain stem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D1 ≤ 60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Spinal cord Dmax*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w:t>
            </w:r>
            <w:r>
              <w:rPr>
                <w:rFonts w:ascii="Times New Roman" w:hAnsi="Times New Roman" w:cs="Times New Roman"/>
                <w:color w:val="000000"/>
                <w:szCs w:val="21"/>
                <w:vertAlign w:val="superscript"/>
              </w:rPr>
              <w:t>*</w:t>
            </w:r>
            <w:r>
              <w:rPr>
                <w:rFonts w:ascii="Times New Roman" w:hAnsi="Times New Roman" w:cs="Times New Roman"/>
                <w:color w:val="000000"/>
                <w:szCs w:val="21"/>
              </w:rPr>
              <w:t xml:space="preserve"> ≤ 45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PRV-Spinal cord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D1†≤ 50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Optic nerve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 54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PRV-Optic nerve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D1 ≤ 60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Optic chiasm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 54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PRV-Optic chiasm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D1 ≤ 60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Temporal lobe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 60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PRV-Temporal lobe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D1 ≤ 65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color w:val="000000"/>
                <w:szCs w:val="21"/>
              </w:rPr>
            </w:pPr>
            <w:r>
              <w:rPr>
                <w:rFonts w:ascii="Times New Roman" w:hAnsi="Times New Roman" w:cs="Times New Roman"/>
                <w:b/>
                <w:bCs/>
                <w:color w:val="000000"/>
                <w:szCs w:val="21"/>
              </w:rPr>
              <w:t>Intermediate-risk organ at risk</w:t>
            </w:r>
          </w:p>
        </w:tc>
        <w:tc>
          <w:tcPr>
            <w:tcW w:w="4395" w:type="dxa"/>
            <w:vAlign w:val="center"/>
          </w:tcPr>
          <w:p>
            <w:pPr>
              <w:rPr>
                <w:rFonts w:ascii="Times New Roman" w:hAnsi="Times New Roman" w:cs="Times New Roman"/>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Pituitary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&lt; 60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Mandibular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&lt; 70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Temporomandibular Joint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Dmax &lt; 70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Lens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Dmean</w:t>
            </w:r>
            <w:r>
              <w:rPr>
                <w:rFonts w:ascii="Times New Roman" w:hAnsi="Times New Roman" w:cs="Times New Roman"/>
                <w:color w:val="000000"/>
                <w:szCs w:val="21"/>
                <w:vertAlign w:val="superscript"/>
              </w:rPr>
              <w:t>‡</w:t>
            </w:r>
            <w:r>
              <w:rPr>
                <w:rFonts w:ascii="Times New Roman" w:hAnsi="Times New Roman" w:cs="Times New Roman"/>
                <w:color w:val="000000"/>
                <w:szCs w:val="21"/>
              </w:rPr>
              <w:t xml:space="preserve"> &lt; 8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Eyes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Dmean &lt; 35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b/>
                <w:bCs/>
                <w:color w:val="000000"/>
                <w:szCs w:val="21"/>
              </w:rPr>
            </w:pPr>
            <w:r>
              <w:rPr>
                <w:rFonts w:ascii="Times New Roman" w:hAnsi="Times New Roman" w:cs="Times New Roman"/>
                <w:b/>
                <w:bCs/>
                <w:color w:val="000000"/>
                <w:szCs w:val="21"/>
              </w:rPr>
              <w:t>Low-risk organ at risk</w:t>
            </w:r>
          </w:p>
        </w:tc>
        <w:tc>
          <w:tcPr>
            <w:tcW w:w="4395" w:type="dxa"/>
            <w:vAlign w:val="center"/>
          </w:tcPr>
          <w:p>
            <w:pPr>
              <w:rPr>
                <w:rFonts w:ascii="Times New Roman" w:hAnsi="Times New Roman" w:cs="Times New Roman"/>
                <w:color w:val="000000"/>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Parotid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Dmean &lt; 26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Parotid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V30</w:t>
            </w:r>
            <w:r>
              <w:rPr>
                <w:rFonts w:ascii="Times New Roman" w:hAnsi="Times New Roman" w:cs="Times New Roman"/>
                <w:color w:val="000000"/>
                <w:szCs w:val="21"/>
                <w:vertAlign w:val="superscript"/>
              </w:rPr>
              <w:t xml:space="preserve">¶ </w:t>
            </w:r>
            <w:r>
              <w:rPr>
                <w:rFonts w:ascii="Times New Roman" w:hAnsi="Times New Roman" w:cs="Times New Roman"/>
                <w:color w:val="000000"/>
                <w:szCs w:val="21"/>
              </w:rPr>
              <w:t>&lt; 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Cochlea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Dmean &lt; 50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Tongue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Dmean &lt; 45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c>
          <w:tcPr>
            <w:tcW w:w="4077"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 xml:space="preserve">Larynx </w:t>
            </w:r>
          </w:p>
        </w:tc>
        <w:tc>
          <w:tcPr>
            <w:tcW w:w="4395"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Dmean &lt; 45 Gy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472" w:type="dxa"/>
            <w:gridSpan w:val="2"/>
            <w:tcBorders>
              <w:top w:val="single" w:color="auto" w:sz="4" w:space="0"/>
              <w:left w:val="single" w:color="auto" w:sz="4" w:space="0"/>
              <w:bottom w:val="single" w:color="auto" w:sz="4" w:space="0"/>
            </w:tcBorders>
            <w:vAlign w:val="center"/>
          </w:tcPr>
          <w:p>
            <w:pPr>
              <w:rPr>
                <w:rFonts w:ascii="Times New Roman" w:hAnsi="Times New Roman" w:cs="Times New Roman"/>
                <w:color w:val="000000"/>
                <w:szCs w:val="21"/>
              </w:rPr>
            </w:pPr>
            <w:r>
              <w:rPr>
                <w:rFonts w:ascii="Times New Roman" w:hAnsi="Times New Roman" w:cs="Times New Roman"/>
                <w:color w:val="000000"/>
                <w:szCs w:val="21"/>
              </w:rPr>
              <w:t>PRV = planning organ at risk volume.</w:t>
            </w:r>
          </w:p>
          <w:p>
            <w:pPr>
              <w:rPr>
                <w:rFonts w:ascii="Times New Roman" w:hAnsi="Times New Roman" w:cs="Times New Roman"/>
                <w:color w:val="000000"/>
                <w:szCs w:val="21"/>
              </w:rPr>
            </w:pPr>
            <w:r>
              <w:rPr>
                <w:rFonts w:ascii="Times New Roman" w:hAnsi="Times New Roman" w:cs="Times New Roman"/>
                <w:color w:val="000000"/>
                <w:szCs w:val="21"/>
              </w:rPr>
              <w:t>* Maximum point dose to the target volume.</w:t>
            </w:r>
          </w:p>
          <w:p>
            <w:pPr>
              <w:rPr>
                <w:rFonts w:ascii="Times New Roman" w:hAnsi="Times New Roman" w:cs="Times New Roman"/>
                <w:color w:val="000000"/>
                <w:szCs w:val="21"/>
              </w:rPr>
            </w:pPr>
            <w:r>
              <w:rPr>
                <w:rFonts w:ascii="Times New Roman" w:hAnsi="Times New Roman" w:cs="Times New Roman"/>
                <w:color w:val="000000"/>
                <w:szCs w:val="21"/>
              </w:rPr>
              <w:t>† Dose received by 1% of the target volume.</w:t>
            </w:r>
          </w:p>
          <w:p>
            <w:pPr>
              <w:rPr>
                <w:rFonts w:ascii="Times New Roman" w:hAnsi="Times New Roman" w:cs="Times New Roman"/>
                <w:color w:val="000000"/>
                <w:szCs w:val="21"/>
              </w:rPr>
            </w:pPr>
            <w:r>
              <w:rPr>
                <w:rFonts w:ascii="Times New Roman" w:hAnsi="Times New Roman" w:cs="Times New Roman"/>
                <w:color w:val="000000"/>
                <w:szCs w:val="21"/>
              </w:rPr>
              <w:t>‡ Mean dose to the target volume.</w:t>
            </w:r>
          </w:p>
          <w:p>
            <w:pPr>
              <w:rPr>
                <w:rFonts w:ascii="Times New Roman" w:hAnsi="Times New Roman" w:cs="Times New Roman"/>
                <w:color w:val="000000"/>
                <w:szCs w:val="21"/>
              </w:rPr>
            </w:pPr>
            <w:r>
              <w:rPr>
                <w:rFonts w:ascii="Times New Roman" w:hAnsi="Times New Roman" w:cs="Times New Roman"/>
                <w:color w:val="000000"/>
                <w:szCs w:val="21"/>
              </w:rPr>
              <w:t>¶ At least 50% of the gland will receive &lt;30 Gy (should be achieved in at least one gland)</w:t>
            </w:r>
          </w:p>
        </w:tc>
      </w:tr>
    </w:tbl>
    <w:p>
      <w:pPr>
        <w:spacing w:line="360" w:lineRule="auto"/>
        <w:rPr>
          <w:rFonts w:ascii="Arial" w:hAnsi="Arial" w:cs="Arial"/>
          <w:szCs w:val="21"/>
        </w:rPr>
      </w:pPr>
    </w:p>
    <w:p>
      <w:pPr>
        <w:widowControl/>
        <w:jc w:val="left"/>
        <w:rPr>
          <w:rFonts w:ascii="Arial" w:hAnsi="Arial" w:cs="Arial"/>
          <w:b/>
          <w:bCs/>
          <w:szCs w:val="21"/>
        </w:rPr>
      </w:pPr>
      <w:r>
        <w:rPr>
          <w:rFonts w:ascii="Arial" w:hAnsi="Arial" w:cs="Arial"/>
          <w:b/>
          <w:bCs/>
          <w:szCs w:val="21"/>
        </w:rPr>
        <w:br w:type="page"/>
      </w:r>
    </w:p>
    <w:p>
      <w:pPr>
        <w:widowControl/>
        <w:jc w:val="left"/>
        <w:rPr>
          <w:rFonts w:ascii="Times New Roman" w:hAnsi="Times New Roman" w:cs="Times New Roman"/>
          <w:szCs w:val="21"/>
        </w:rPr>
      </w:pPr>
      <w:r>
        <w:rPr>
          <w:rFonts w:ascii="Times New Roman" w:hAnsi="Times New Roman" w:cs="Times New Roman"/>
          <w:b/>
          <w:bCs/>
          <w:szCs w:val="21"/>
        </w:rPr>
        <w:t>Plasma Epstein-Barr virus (EBV) DNA extraction and real-time quantitative polymerase chain reaction analysis.</w:t>
      </w:r>
    </w:p>
    <w:p>
      <w:pPr>
        <w:spacing w:line="360" w:lineRule="auto"/>
        <w:rPr>
          <w:rFonts w:ascii="Times New Roman" w:hAnsi="Times New Roman" w:cs="Times New Roman"/>
          <w:szCs w:val="21"/>
        </w:rPr>
      </w:pPr>
      <w:r>
        <w:rPr>
          <w:rFonts w:ascii="Times New Roman" w:hAnsi="Times New Roman" w:cs="Times New Roman"/>
          <w:szCs w:val="21"/>
        </w:rPr>
        <w:t>Peripheral blood (3 ml) was obtained in an EDTA tube and centrifuged at 1600 x g for 15 min for isolation of plasma and peripheral blood mononuclear cells. Then Viral DNA was extracted using the QIAamp Blood Kit (Qiagen, Hilden, Germany) and stored at -80°C until further processing. A total of 500 μl plasma samples were used for DNA extraction per column and a final elution volume of 50 μl was used to elute the DNA from the extraction column. A real-time quantitative polymerase chain reaction (PCR) system was developed for plasma EBV DNA detection toward the BamHI-W region of the EBV genome. The sequences consisted of the amplification primers W-44F (5’-AGT CTC TGC CTC AGG GCA-3’) and W-119R (5’-ACA GAG GGC CTG TCC ACCG-3’) and the dual-labeled fluorescent probe W-67T (5’-[FAM] CAC TGT CTG TAA AGT CCA GCC TCC[TAMRA]-3’). Quantification testing of plasma Epstein-Barr virus (EBV) DNA level were based on a lower limit of detection cutoff value of 1000 copies/mL.</w:t>
      </w:r>
    </w:p>
    <w:p>
      <w:pPr>
        <w:rPr>
          <w:rFonts w:ascii="Arial" w:hAnsi="Arial" w:cs="Arial"/>
          <w:szCs w:val="21"/>
        </w:rPr>
      </w:pPr>
    </w:p>
    <w:p>
      <w:pPr>
        <w:widowControl/>
        <w:jc w:val="left"/>
        <w:rPr>
          <w:rFonts w:ascii="Arial" w:hAnsi="Arial" w:cs="Arial"/>
          <w:szCs w:val="21"/>
        </w:rPr>
      </w:pPr>
      <w:r>
        <w:rPr>
          <w:rFonts w:ascii="Arial" w:hAnsi="Arial" w:cs="Arial"/>
          <w:szCs w:val="21"/>
        </w:rPr>
        <w:br w:type="page"/>
      </w:r>
    </w:p>
    <w:p>
      <w:pPr>
        <w:pStyle w:val="3"/>
        <w:rPr>
          <w:rFonts w:ascii="Times New Roman" w:hAnsi="Times New Roman" w:cs="Times New Roman"/>
          <w:szCs w:val="21"/>
        </w:rPr>
      </w:pPr>
      <w:bookmarkStart w:id="4" w:name="_Toc118159967"/>
      <w:bookmarkStart w:id="5" w:name="OLE_LINK46"/>
      <w:r>
        <w:rPr>
          <w:rFonts w:ascii="Times New Roman" w:hAnsi="Times New Roman" w:cs="Times New Roman"/>
          <w:szCs w:val="21"/>
        </w:rPr>
        <w:t>Definitions of the endpoints</w:t>
      </w:r>
      <w:bookmarkEnd w:id="4"/>
    </w:p>
    <w:bookmarkEnd w:id="5"/>
    <w:p>
      <w:pPr>
        <w:spacing w:line="360" w:lineRule="auto"/>
        <w:rPr>
          <w:rFonts w:ascii="Times New Roman" w:hAnsi="Times New Roman" w:cs="Times New Roman"/>
          <w:szCs w:val="21"/>
        </w:rPr>
      </w:pPr>
      <w:r>
        <w:rPr>
          <w:rFonts w:ascii="Times New Roman" w:hAnsi="Times New Roman" w:cs="Times New Roman"/>
          <w:szCs w:val="21"/>
        </w:rPr>
        <w:t>Distant metastasis-free survival was calculated from the date of</w:t>
      </w:r>
      <w:bookmarkStart w:id="6" w:name="OLE_LINK8"/>
      <w:r>
        <w:rPr>
          <w:rFonts w:ascii="Times New Roman" w:hAnsi="Times New Roman" w:cs="Times New Roman"/>
          <w:szCs w:val="21"/>
        </w:rPr>
        <w:t xml:space="preserve"> treatment initiation</w:t>
      </w:r>
      <w:bookmarkEnd w:id="6"/>
      <w:r>
        <w:rPr>
          <w:rFonts w:ascii="Times New Roman" w:hAnsi="Times New Roman" w:cs="Times New Roman"/>
          <w:szCs w:val="21"/>
        </w:rPr>
        <w:t xml:space="preserve"> to the date of documented distant metastasis; overall survival was calculated from the date of treatment initiation to death; failure-free survival was calculated from the date of treatment initiation to the date of documented distant metastasis, locoregional recurrence, or death from any cause, whichever occurred first; locoregional recurrence-free survival was calculated from the date of</w:t>
      </w:r>
      <w:r>
        <w:rPr>
          <w:rFonts w:ascii="Times New Roman" w:hAnsi="Times New Roman" w:cs="Times New Roman"/>
          <w:kern w:val="0"/>
          <w:szCs w:val="21"/>
        </w:rPr>
        <w:t xml:space="preserve"> treatment initiation </w:t>
      </w:r>
      <w:r>
        <w:rPr>
          <w:rFonts w:ascii="Times New Roman" w:hAnsi="Times New Roman" w:cs="Times New Roman"/>
          <w:szCs w:val="21"/>
        </w:rPr>
        <w:t xml:space="preserve">to the date of documented locoregional recurrence. Patients with a distant metastasis failure as a first event were censored for locoregional recurrence and vice versa. If both distant metastasis and locoregional recurrences occurred at the same time, patients were considered as having an event for both </w:t>
      </w:r>
      <w:bookmarkStart w:id="7" w:name="OLE_LINK6"/>
      <w:r>
        <w:rPr>
          <w:rFonts w:ascii="Times New Roman" w:hAnsi="Times New Roman" w:cs="Times New Roman"/>
          <w:szCs w:val="21"/>
        </w:rPr>
        <w:t>distant metastasis-free survival</w:t>
      </w:r>
      <w:bookmarkEnd w:id="7"/>
      <w:r>
        <w:rPr>
          <w:rFonts w:ascii="Times New Roman" w:hAnsi="Times New Roman" w:cs="Times New Roman"/>
          <w:szCs w:val="21"/>
        </w:rPr>
        <w:t xml:space="preserve"> and locoregional recurrence-free survival. Patients who were lost to follow-up, or are still alive without distant metastasis or locoregional recurrence were censored at the date of last follow-up. Treatment responses were categorized as complete response, partial response, stable disease and progressive disease based on the Response Evaluation Criteria in Solid Tumors (version 1.1).</w:t>
      </w:r>
      <w:r>
        <w:rPr>
          <w:rFonts w:ascii="Times New Roman" w:hAnsi="Times New Roman" w:cs="Times New Roman"/>
          <w:szCs w:val="21"/>
          <w:vertAlign w:val="superscript"/>
        </w:rPr>
        <w:t>1</w:t>
      </w:r>
    </w:p>
    <w:p>
      <w:pPr>
        <w:spacing w:line="360" w:lineRule="auto"/>
        <w:rPr>
          <w:rFonts w:ascii="Times New Roman" w:hAnsi="Times New Roman" w:cs="Times New Roman"/>
          <w:szCs w:val="21"/>
        </w:rPr>
      </w:pPr>
    </w:p>
    <w:p>
      <w:pPr>
        <w:spacing w:line="360" w:lineRule="auto"/>
        <w:rPr>
          <w:rFonts w:ascii="Times New Roman" w:hAnsi="Times New Roman" w:cs="Times New Roman"/>
          <w:szCs w:val="21"/>
        </w:rPr>
      </w:pPr>
      <w:r>
        <w:rPr>
          <w:rFonts w:ascii="Times New Roman" w:hAnsi="Times New Roman" w:cs="Times New Roman"/>
          <w:szCs w:val="21"/>
        </w:rPr>
        <w:t>References:</w:t>
      </w:r>
    </w:p>
    <w:p>
      <w:pPr>
        <w:spacing w:line="360" w:lineRule="auto"/>
        <w:rPr>
          <w:rFonts w:ascii="Times New Roman" w:hAnsi="Times New Roman" w:cs="Times New Roman"/>
          <w:szCs w:val="21"/>
        </w:rPr>
      </w:pPr>
      <w:r>
        <w:rPr>
          <w:rFonts w:ascii="Times New Roman" w:hAnsi="Times New Roman" w:cs="Times New Roman"/>
          <w:szCs w:val="21"/>
        </w:rPr>
        <w:t>1. Eisenhauer EA, Therasse P, Bogaerts J, et al. New response evaluation criteria in solid tumours: revised RECIST guideline (version 1.1). Eur J Cancer 2009; 45: 228-47.</w:t>
      </w:r>
    </w:p>
    <w:p>
      <w:pPr>
        <w:widowControl/>
        <w:jc w:val="left"/>
        <w:rPr>
          <w:rFonts w:ascii="Arial" w:hAnsi="Arial" w:cs="Arial"/>
          <w:b/>
          <w:bCs/>
          <w:szCs w:val="21"/>
        </w:rPr>
      </w:pPr>
      <w:r>
        <w:rPr>
          <w:rFonts w:ascii="Arial" w:hAnsi="Arial" w:cs="Arial"/>
          <w:b/>
          <w:bCs/>
          <w:szCs w:val="21"/>
        </w:rPr>
        <w:br w:type="page"/>
      </w:r>
    </w:p>
    <w:p>
      <w:pPr>
        <w:pStyle w:val="3"/>
        <w:rPr>
          <w:rFonts w:ascii="Times New Roman" w:hAnsi="Times New Roman" w:cs="Times New Roman"/>
          <w:szCs w:val="21"/>
        </w:rPr>
      </w:pPr>
      <w:bookmarkStart w:id="8" w:name="_Toc118159968"/>
      <w:r>
        <w:rPr>
          <w:rFonts w:ascii="Times New Roman" w:hAnsi="Times New Roman" w:cs="Times New Roman"/>
          <w:szCs w:val="21"/>
        </w:rPr>
        <w:t>Per-protocol analysis</w:t>
      </w:r>
      <w:bookmarkEnd w:id="8"/>
    </w:p>
    <w:p>
      <w:pPr>
        <w:spacing w:line="360" w:lineRule="auto"/>
        <w:rPr>
          <w:rFonts w:ascii="Times New Roman" w:hAnsi="Times New Roman" w:cs="Times New Roman"/>
          <w:b/>
          <w:bCs/>
          <w:szCs w:val="21"/>
        </w:rPr>
      </w:pPr>
      <w:r>
        <w:rPr>
          <w:rFonts w:ascii="Times New Roman" w:hAnsi="Times New Roman" w:cs="Times New Roman"/>
          <w:szCs w:val="21"/>
        </w:rPr>
        <w:t xml:space="preserve">The </w:t>
      </w:r>
      <w:bookmarkStart w:id="9" w:name="OLE_LINK53"/>
      <w:r>
        <w:rPr>
          <w:rFonts w:ascii="Times New Roman" w:hAnsi="Times New Roman" w:cs="Times New Roman"/>
          <w:szCs w:val="21"/>
        </w:rPr>
        <w:t>per-protocol population</w:t>
      </w:r>
      <w:bookmarkEnd w:id="9"/>
      <w:r>
        <w:rPr>
          <w:rFonts w:ascii="Times New Roman" w:hAnsi="Times New Roman" w:cs="Times New Roman"/>
          <w:szCs w:val="21"/>
        </w:rPr>
        <w:t xml:space="preserve"> comprised of cases that completed radical radiotherapy and at least one dose of induction therapy. Supplemental Table S1 lists baseline characteristics of per-protocol population. The efficacy in per-protocol population is summarized in the Supplemental Table S2.</w:t>
      </w:r>
    </w:p>
    <w:p>
      <w:pPr>
        <w:widowControl/>
        <w:jc w:val="left"/>
        <w:rPr>
          <w:rFonts w:ascii="Arial" w:hAnsi="Arial" w:cs="Arial"/>
          <w:b/>
          <w:bCs/>
          <w:szCs w:val="21"/>
        </w:rPr>
      </w:pPr>
      <w:r>
        <w:rPr>
          <w:rFonts w:ascii="Arial" w:hAnsi="Arial" w:cs="Arial"/>
          <w:b/>
          <w:bCs/>
          <w:szCs w:val="21"/>
        </w:rPr>
        <w:br w:type="page"/>
      </w:r>
    </w:p>
    <w:p>
      <w:pPr>
        <w:pStyle w:val="3"/>
        <w:spacing w:line="240" w:lineRule="auto"/>
        <w:rPr>
          <w:rFonts w:ascii="Times New Roman" w:hAnsi="Times New Roman" w:cs="Times New Roman"/>
        </w:rPr>
      </w:pPr>
      <w:bookmarkStart w:id="10" w:name="_Hlk118156590"/>
      <w:bookmarkStart w:id="11" w:name="_Toc118159969"/>
      <w:r>
        <w:rPr>
          <w:rFonts w:ascii="Times New Roman" w:hAnsi="Times New Roman" w:cs="Times New Roman"/>
          <w:szCs w:val="21"/>
        </w:rPr>
        <w:t>Supplemental Table S</w:t>
      </w:r>
      <w:bookmarkEnd w:id="10"/>
      <w:r>
        <w:rPr>
          <w:rFonts w:ascii="Times New Roman" w:hAnsi="Times New Roman" w:cs="Times New Roman"/>
          <w:szCs w:val="21"/>
        </w:rPr>
        <w:t>1: Patient base</w:t>
      </w:r>
      <w:r>
        <w:rPr>
          <w:rFonts w:ascii="Times New Roman" w:hAnsi="Times New Roman" w:cs="Times New Roman"/>
        </w:rPr>
        <w:t>line characteristics of per-protocol population.</w:t>
      </w:r>
      <w:bookmarkEnd w:id="11"/>
    </w:p>
    <w:tbl>
      <w:tblPr>
        <w:tblStyle w:val="11"/>
        <w:tblW w:w="8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812"/>
        <w:gridCol w:w="25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Characteristic</w:t>
            </w:r>
          </w:p>
        </w:tc>
        <w:tc>
          <w:tcPr>
            <w:tcW w:w="2552"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No. (%) of patients (N=47)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tcBorders>
              <w:top w:val="single" w:color="auto" w:sz="4" w:space="0"/>
            </w:tcBorders>
            <w:vAlign w:val="center"/>
          </w:tcPr>
          <w:p>
            <w:pPr>
              <w:jc w:val="left"/>
              <w:rPr>
                <w:rFonts w:ascii="Times New Roman" w:hAnsi="Times New Roman" w:cs="Times New Roman"/>
              </w:rPr>
            </w:pPr>
            <w:r>
              <w:rPr>
                <w:rFonts w:ascii="Times New Roman" w:hAnsi="Times New Roman" w:cs="Times New Roman"/>
              </w:rPr>
              <w:t>Age, year</w:t>
            </w:r>
          </w:p>
        </w:tc>
        <w:tc>
          <w:tcPr>
            <w:tcW w:w="2552" w:type="dxa"/>
            <w:tcBorders>
              <w:top w:val="single" w:color="auto" w:sz="4" w:space="0"/>
            </w:tcBorders>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Median (interquartile range)</w:t>
            </w:r>
          </w:p>
        </w:tc>
        <w:tc>
          <w:tcPr>
            <w:tcW w:w="2552" w:type="dxa"/>
            <w:vAlign w:val="center"/>
          </w:tcPr>
          <w:p>
            <w:pPr>
              <w:rPr>
                <w:rFonts w:ascii="Times New Roman" w:hAnsi="Times New Roman" w:cs="Times New Roman"/>
              </w:rPr>
            </w:pPr>
            <w:r>
              <w:rPr>
                <w:rFonts w:ascii="Times New Roman" w:hAnsi="Times New Roman" w:cs="Times New Roman"/>
              </w:rPr>
              <w:t>45 (37-51)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Range</w:t>
            </w:r>
          </w:p>
        </w:tc>
        <w:tc>
          <w:tcPr>
            <w:tcW w:w="2552" w:type="dxa"/>
            <w:vAlign w:val="center"/>
          </w:tcPr>
          <w:p>
            <w:pPr>
              <w:rPr>
                <w:rFonts w:ascii="Times New Roman" w:hAnsi="Times New Roman" w:cs="Times New Roman"/>
              </w:rPr>
            </w:pPr>
            <w:r>
              <w:rPr>
                <w:rFonts w:ascii="Times New Roman" w:hAnsi="Times New Roman" w:cs="Times New Roman"/>
              </w:rPr>
              <w:t>20-65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jc w:val="left"/>
              <w:rPr>
                <w:rFonts w:ascii="Times New Roman" w:hAnsi="Times New Roman" w:cs="Times New Roman"/>
              </w:rPr>
            </w:pPr>
            <w:r>
              <w:rPr>
                <w:rFonts w:ascii="Times New Roman" w:hAnsi="Times New Roman" w:cs="Times New Roman"/>
              </w:rPr>
              <w:t>Sex</w:t>
            </w:r>
          </w:p>
        </w:tc>
        <w:tc>
          <w:tcPr>
            <w:tcW w:w="2552"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Male</w:t>
            </w:r>
          </w:p>
        </w:tc>
        <w:tc>
          <w:tcPr>
            <w:tcW w:w="2552" w:type="dxa"/>
            <w:vAlign w:val="center"/>
          </w:tcPr>
          <w:p>
            <w:pPr>
              <w:rPr>
                <w:rFonts w:ascii="Times New Roman" w:hAnsi="Times New Roman" w:cs="Times New Roman"/>
              </w:rPr>
            </w:pPr>
            <w:r>
              <w:rPr>
                <w:rFonts w:ascii="Times New Roman" w:hAnsi="Times New Roman" w:cs="Times New Roman"/>
              </w:rPr>
              <w:t>35 (74.5)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Female</w:t>
            </w:r>
          </w:p>
        </w:tc>
        <w:tc>
          <w:tcPr>
            <w:tcW w:w="2552" w:type="dxa"/>
            <w:vAlign w:val="center"/>
          </w:tcPr>
          <w:p>
            <w:pPr>
              <w:rPr>
                <w:rFonts w:ascii="Times New Roman" w:hAnsi="Times New Roman" w:cs="Times New Roman"/>
              </w:rPr>
            </w:pPr>
            <w:r>
              <w:rPr>
                <w:rFonts w:ascii="Times New Roman" w:hAnsi="Times New Roman" w:cs="Times New Roman"/>
              </w:rPr>
              <w:t>12 (25.5)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jc w:val="left"/>
              <w:rPr>
                <w:rFonts w:ascii="Times New Roman" w:hAnsi="Times New Roman" w:cs="Times New Roman"/>
              </w:rPr>
            </w:pPr>
            <w:r>
              <w:rPr>
                <w:rFonts w:ascii="Times New Roman" w:hAnsi="Times New Roman" w:cs="Times New Roman"/>
              </w:rPr>
              <w:t>ECOG perform status*</w:t>
            </w:r>
          </w:p>
        </w:tc>
        <w:tc>
          <w:tcPr>
            <w:tcW w:w="2552"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0</w:t>
            </w:r>
          </w:p>
        </w:tc>
        <w:tc>
          <w:tcPr>
            <w:tcW w:w="2552" w:type="dxa"/>
            <w:vAlign w:val="center"/>
          </w:tcPr>
          <w:p>
            <w:pPr>
              <w:rPr>
                <w:rFonts w:ascii="Times New Roman" w:hAnsi="Times New Roman" w:cs="Times New Roman"/>
              </w:rPr>
            </w:pPr>
            <w:r>
              <w:rPr>
                <w:rFonts w:ascii="Times New Roman" w:hAnsi="Times New Roman" w:cs="Times New Roman"/>
              </w:rPr>
              <w:t>37 (78.7)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1</w:t>
            </w:r>
          </w:p>
        </w:tc>
        <w:tc>
          <w:tcPr>
            <w:tcW w:w="2552" w:type="dxa"/>
            <w:vAlign w:val="center"/>
          </w:tcPr>
          <w:p>
            <w:pPr>
              <w:rPr>
                <w:rFonts w:ascii="Times New Roman" w:hAnsi="Times New Roman" w:cs="Times New Roman"/>
              </w:rPr>
            </w:pPr>
            <w:r>
              <w:rPr>
                <w:rFonts w:ascii="Times New Roman" w:hAnsi="Times New Roman" w:cs="Times New Roman"/>
              </w:rPr>
              <w:t>10 (21.3)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jc w:val="left"/>
              <w:rPr>
                <w:rFonts w:ascii="Times New Roman" w:hAnsi="Times New Roman" w:cs="Times New Roman"/>
              </w:rPr>
            </w:pPr>
            <w:r>
              <w:rPr>
                <w:rFonts w:ascii="Times New Roman" w:hAnsi="Times New Roman" w:cs="Times New Roman"/>
              </w:rPr>
              <w:t>Tumor category</w:t>
            </w:r>
            <w:r>
              <w:rPr>
                <w:rFonts w:ascii="Times New Roman" w:hAnsi="Times New Roman" w:eastAsia="宋体" w:cs="Times New Roman"/>
              </w:rPr>
              <w:t>†</w:t>
            </w:r>
          </w:p>
        </w:tc>
        <w:tc>
          <w:tcPr>
            <w:tcW w:w="2552"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T1</w:t>
            </w:r>
          </w:p>
        </w:tc>
        <w:tc>
          <w:tcPr>
            <w:tcW w:w="2552" w:type="dxa"/>
            <w:vAlign w:val="center"/>
          </w:tcPr>
          <w:p>
            <w:pPr>
              <w:rPr>
                <w:rFonts w:ascii="Times New Roman" w:hAnsi="Times New Roman" w:cs="Times New Roman"/>
              </w:rPr>
            </w:pPr>
            <w:r>
              <w:rPr>
                <w:rFonts w:ascii="Times New Roman" w:hAnsi="Times New Roman" w:cs="Times New Roman"/>
              </w:rPr>
              <w:t>3 (6.4)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T2</w:t>
            </w:r>
          </w:p>
        </w:tc>
        <w:tc>
          <w:tcPr>
            <w:tcW w:w="2552" w:type="dxa"/>
            <w:vAlign w:val="center"/>
          </w:tcPr>
          <w:p>
            <w:pPr>
              <w:rPr>
                <w:rFonts w:ascii="Times New Roman" w:hAnsi="Times New Roman" w:cs="Times New Roman"/>
              </w:rPr>
            </w:pPr>
            <w:r>
              <w:rPr>
                <w:rFonts w:ascii="Times New Roman" w:hAnsi="Times New Roman" w:cs="Times New Roman"/>
              </w:rPr>
              <w:t>7 (14.9)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T3</w:t>
            </w:r>
          </w:p>
        </w:tc>
        <w:tc>
          <w:tcPr>
            <w:tcW w:w="2552" w:type="dxa"/>
            <w:vAlign w:val="center"/>
          </w:tcPr>
          <w:p>
            <w:pPr>
              <w:rPr>
                <w:rFonts w:ascii="Times New Roman" w:hAnsi="Times New Roman" w:cs="Times New Roman"/>
              </w:rPr>
            </w:pPr>
            <w:r>
              <w:rPr>
                <w:rFonts w:ascii="Times New Roman" w:hAnsi="Times New Roman" w:cs="Times New Roman"/>
              </w:rPr>
              <w:t>26 (55.3)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T4</w:t>
            </w:r>
          </w:p>
        </w:tc>
        <w:tc>
          <w:tcPr>
            <w:tcW w:w="2552" w:type="dxa"/>
            <w:vAlign w:val="center"/>
          </w:tcPr>
          <w:p>
            <w:pPr>
              <w:rPr>
                <w:rFonts w:ascii="Times New Roman" w:hAnsi="Times New Roman" w:cs="Times New Roman"/>
              </w:rPr>
            </w:pPr>
            <w:r>
              <w:rPr>
                <w:rFonts w:ascii="Times New Roman" w:hAnsi="Times New Roman" w:cs="Times New Roman"/>
              </w:rPr>
              <w:t>11 (23.4)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jc w:val="left"/>
              <w:rPr>
                <w:rFonts w:ascii="Times New Roman" w:hAnsi="Times New Roman" w:cs="Times New Roman"/>
              </w:rPr>
            </w:pPr>
            <w:r>
              <w:rPr>
                <w:rFonts w:ascii="Times New Roman" w:hAnsi="Times New Roman" w:cs="Times New Roman"/>
              </w:rPr>
              <w:t>Histology classification</w:t>
            </w:r>
          </w:p>
        </w:tc>
        <w:tc>
          <w:tcPr>
            <w:tcW w:w="2552"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bookmarkStart w:id="12" w:name="OLE_LINK55"/>
            <w:r>
              <w:rPr>
                <w:rFonts w:ascii="Times New Roman" w:hAnsi="Times New Roman" w:cs="Times New Roman"/>
              </w:rPr>
              <w:t>Non-keratinising differentiated</w:t>
            </w:r>
            <w:bookmarkEnd w:id="12"/>
          </w:p>
        </w:tc>
        <w:tc>
          <w:tcPr>
            <w:tcW w:w="2552" w:type="dxa"/>
            <w:vAlign w:val="center"/>
          </w:tcPr>
          <w:p>
            <w:pPr>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vAlign w:val="center"/>
          </w:tcPr>
          <w:p>
            <w:pPr>
              <w:ind w:left="210" w:leftChars="100"/>
              <w:jc w:val="left"/>
              <w:rPr>
                <w:rFonts w:ascii="Times New Roman" w:hAnsi="Times New Roman" w:cs="Times New Roman"/>
              </w:rPr>
            </w:pPr>
            <w:r>
              <w:rPr>
                <w:rFonts w:ascii="Times New Roman" w:hAnsi="Times New Roman" w:cs="Times New Roman"/>
              </w:rPr>
              <w:t>Non-keratinising undifferentiated</w:t>
            </w:r>
          </w:p>
        </w:tc>
        <w:tc>
          <w:tcPr>
            <w:tcW w:w="2552" w:type="dxa"/>
            <w:vAlign w:val="center"/>
          </w:tcPr>
          <w:p>
            <w:pPr>
              <w:rPr>
                <w:rFonts w:ascii="Times New Roman" w:hAnsi="Times New Roman" w:cs="Times New Roman"/>
              </w:rPr>
            </w:pPr>
            <w:r>
              <w:rPr>
                <w:rFonts w:ascii="Times New Roman" w:hAnsi="Times New Roman" w:cs="Times New Roman"/>
              </w:rPr>
              <w:t>46 (97.9)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812" w:type="dxa"/>
            <w:tcBorders>
              <w:bottom w:val="single" w:color="auto" w:sz="4" w:space="0"/>
            </w:tcBorders>
            <w:vAlign w:val="center"/>
          </w:tcPr>
          <w:p>
            <w:pPr>
              <w:jc w:val="left"/>
              <w:rPr>
                <w:rFonts w:ascii="Times New Roman" w:hAnsi="Times New Roman" w:cs="Times New Roman"/>
              </w:rPr>
            </w:pPr>
            <w:bookmarkStart w:id="13" w:name="OLE_LINK58"/>
            <w:r>
              <w:rPr>
                <w:rFonts w:ascii="Times New Roman" w:hAnsi="Times New Roman" w:cs="Times New Roman"/>
              </w:rPr>
              <w:t xml:space="preserve">Plasma </w:t>
            </w:r>
            <w:bookmarkStart w:id="14" w:name="OLE_LINK56"/>
            <w:r>
              <w:rPr>
                <w:rFonts w:ascii="Times New Roman" w:hAnsi="Times New Roman" w:cs="Times New Roman"/>
              </w:rPr>
              <w:t xml:space="preserve">EBV </w:t>
            </w:r>
            <w:bookmarkEnd w:id="14"/>
            <w:r>
              <w:rPr>
                <w:rFonts w:ascii="Times New Roman" w:hAnsi="Times New Roman" w:cs="Times New Roman"/>
              </w:rPr>
              <w:t>DNA level,</w:t>
            </w:r>
            <w:bookmarkEnd w:id="13"/>
            <w:r>
              <w:rPr>
                <w:rFonts w:ascii="Times New Roman" w:hAnsi="Times New Roman" w:cs="Times New Roman"/>
              </w:rPr>
              <w:t xml:space="preserve"> median (</w:t>
            </w:r>
            <w:bookmarkStart w:id="15" w:name="OLE_LINK10"/>
            <w:r>
              <w:rPr>
                <w:rFonts w:ascii="Times New Roman" w:hAnsi="Times New Roman" w:cs="Times New Roman"/>
              </w:rPr>
              <w:t>interquartile range</w:t>
            </w:r>
            <w:bookmarkEnd w:id="15"/>
            <w:r>
              <w:rPr>
                <w:rFonts w:ascii="Times New Roman" w:hAnsi="Times New Roman" w:cs="Times New Roman"/>
              </w:rPr>
              <w:t>), copies/mL</w:t>
            </w:r>
            <w:r>
              <w:rPr>
                <w:rFonts w:ascii="Times New Roman" w:hAnsi="Times New Roman" w:eastAsia="宋体" w:cs="Times New Roman"/>
              </w:rPr>
              <w:t>‡</w:t>
            </w:r>
          </w:p>
        </w:tc>
        <w:tc>
          <w:tcPr>
            <w:tcW w:w="2552"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4710 (1680-17200)</w:t>
            </w:r>
          </w:p>
        </w:tc>
      </w:tr>
    </w:tbl>
    <w:p>
      <w:pPr>
        <w:rPr>
          <w:rFonts w:ascii="Times New Roman" w:hAnsi="Times New Roman" w:cs="Times New Roman"/>
        </w:rPr>
      </w:pPr>
      <w:r>
        <w:rPr>
          <w:rFonts w:ascii="Times New Roman" w:hAnsi="Times New Roman" w:cs="Times New Roman"/>
        </w:rPr>
        <w:t>* Eastern Cooperative Oncology Group (ECOG) performance-status scores range from 0 to 5, with higher scores indicating greater disability.</w:t>
      </w:r>
    </w:p>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Tumor category refer to the T stage according to the TNM staging system (American Joint Committee on Cancer, 8th edition).</w:t>
      </w:r>
    </w:p>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Shown are the data of pretreatment plasma Epstein-Barr virus (EBV) DNA level which were based on a detectable cutoff value of 1000 copies/mL.</w:t>
      </w:r>
    </w:p>
    <w:p>
      <w:pPr>
        <w:widowControl/>
        <w:jc w:val="left"/>
        <w:rPr>
          <w:rFonts w:ascii="Arial" w:hAnsi="Arial" w:cs="Arial"/>
        </w:rPr>
      </w:pPr>
      <w:r>
        <w:rPr>
          <w:rFonts w:ascii="Arial" w:hAnsi="Arial" w:cs="Arial"/>
        </w:rPr>
        <w:br w:type="page"/>
      </w:r>
    </w:p>
    <w:p>
      <w:pPr>
        <w:pStyle w:val="3"/>
        <w:spacing w:line="240" w:lineRule="auto"/>
        <w:rPr>
          <w:rFonts w:ascii="Times New Roman" w:hAnsi="Times New Roman" w:cs="Times New Roman"/>
        </w:rPr>
      </w:pPr>
      <w:bookmarkStart w:id="16" w:name="_Toc118159970"/>
      <w:r>
        <w:rPr>
          <w:rFonts w:ascii="Times New Roman" w:hAnsi="Times New Roman" w:cs="Times New Roman"/>
        </w:rPr>
        <w:t>Supplemental Table S2. Survival analysis in per-protocol population.</w:t>
      </w:r>
      <w:bookmarkEnd w:id="16"/>
    </w:p>
    <w:tbl>
      <w:tblPr>
        <w:tblStyle w:val="11"/>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954"/>
        <w:gridCol w:w="29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Borders>
              <w:top w:val="single" w:color="auto" w:sz="4" w:space="0"/>
              <w:bottom w:val="single" w:color="auto" w:sz="4" w:space="0"/>
            </w:tcBorders>
          </w:tcPr>
          <w:p>
            <w:pPr>
              <w:widowControl/>
              <w:jc w:val="left"/>
              <w:rPr>
                <w:rFonts w:ascii="Times New Roman" w:hAnsi="Times New Roman" w:cs="Times New Roman"/>
              </w:rPr>
            </w:pPr>
          </w:p>
        </w:tc>
        <w:tc>
          <w:tcPr>
            <w:tcW w:w="2909" w:type="dxa"/>
            <w:tcBorders>
              <w:top w:val="single" w:color="auto" w:sz="4" w:space="0"/>
              <w:bottom w:val="single" w:color="auto" w:sz="4" w:space="0"/>
            </w:tcBorders>
          </w:tcPr>
          <w:p>
            <w:pPr>
              <w:widowControl/>
              <w:jc w:val="left"/>
              <w:rPr>
                <w:rFonts w:ascii="Times New Roman" w:hAnsi="Times New Roman" w:cs="Times New Roman"/>
              </w:rPr>
            </w:pPr>
            <w:r>
              <w:rPr>
                <w:rFonts w:ascii="Times New Roman" w:hAnsi="Times New Roman" w:cs="Times New Roman"/>
              </w:rPr>
              <w:t>Evaluable patients (n=47)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Borders>
              <w:top w:val="single" w:color="auto" w:sz="4" w:space="0"/>
            </w:tcBorders>
          </w:tcPr>
          <w:p>
            <w:pPr>
              <w:widowControl/>
              <w:jc w:val="left"/>
              <w:rPr>
                <w:rFonts w:ascii="Times New Roman" w:hAnsi="Times New Roman" w:cs="Times New Roman"/>
              </w:rPr>
            </w:pPr>
            <w:bookmarkStart w:id="17" w:name="_Hlk110903617"/>
            <w:r>
              <w:rPr>
                <w:rFonts w:ascii="Times New Roman" w:hAnsi="Times New Roman" w:cs="Times New Roman"/>
              </w:rPr>
              <w:t>Distant metastasis-free survival</w:t>
            </w:r>
          </w:p>
        </w:tc>
        <w:tc>
          <w:tcPr>
            <w:tcW w:w="2909" w:type="dxa"/>
            <w:tcBorders>
              <w:top w:val="single" w:color="auto" w:sz="4" w:space="0"/>
            </w:tcBorders>
          </w:tcPr>
          <w:p>
            <w:pPr>
              <w:widowControl/>
              <w:jc w:val="left"/>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Distant failures</w:t>
            </w:r>
          </w:p>
        </w:tc>
        <w:tc>
          <w:tcPr>
            <w:tcW w:w="2909" w:type="dxa"/>
          </w:tcPr>
          <w:p>
            <w:pPr>
              <w:widowControl/>
              <w:jc w:val="left"/>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Proportion of patients without distant failures at 2 year</w:t>
            </w:r>
            <w:bookmarkStart w:id="18" w:name="OLE_LINK15"/>
            <w:r>
              <w:rPr>
                <w:rFonts w:ascii="Times New Roman" w:hAnsi="Times New Roman" w:cs="Times New Roman"/>
              </w:rPr>
              <w:t xml:space="preserve"> (95% CI)</w:t>
            </w:r>
            <w:bookmarkEnd w:id="18"/>
          </w:p>
        </w:tc>
        <w:tc>
          <w:tcPr>
            <w:tcW w:w="2909" w:type="dxa"/>
          </w:tcPr>
          <w:p>
            <w:pPr>
              <w:widowControl/>
              <w:jc w:val="left"/>
              <w:rPr>
                <w:rFonts w:ascii="Times New Roman" w:hAnsi="Times New Roman" w:cs="Times New Roman"/>
              </w:rPr>
            </w:pPr>
            <w:bookmarkStart w:id="19" w:name="OLE_LINK71"/>
            <w:r>
              <w:rPr>
                <w:rFonts w:ascii="Times New Roman" w:hAnsi="Times New Roman" w:cs="Times New Roman"/>
              </w:rPr>
              <w:t>97.9% (85.7-99.7)</w:t>
            </w:r>
            <w:bookmarkEnd w:id="19"/>
          </w:p>
        </w:tc>
      </w:tr>
      <w:bookmarkEnd w:id="1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954" w:type="dxa"/>
          </w:tcPr>
          <w:p>
            <w:pPr>
              <w:widowControl/>
              <w:jc w:val="left"/>
              <w:rPr>
                <w:rFonts w:ascii="Times New Roman" w:hAnsi="Times New Roman" w:cs="Times New Roman"/>
              </w:rPr>
            </w:pPr>
            <w:bookmarkStart w:id="20" w:name="OLE_LINK69"/>
            <w:bookmarkStart w:id="21" w:name="_Hlk110903630"/>
            <w:r>
              <w:rPr>
                <w:rFonts w:ascii="Times New Roman" w:hAnsi="Times New Roman" w:cs="Times New Roman"/>
              </w:rPr>
              <w:t>Locoregiona</w:t>
            </w:r>
            <w:bookmarkEnd w:id="20"/>
            <w:r>
              <w:rPr>
                <w:rFonts w:ascii="Times New Roman" w:hAnsi="Times New Roman" w:cs="Times New Roman"/>
              </w:rPr>
              <w:t>l failure-free survival</w:t>
            </w:r>
          </w:p>
        </w:tc>
        <w:tc>
          <w:tcPr>
            <w:tcW w:w="2909" w:type="dxa"/>
          </w:tcPr>
          <w:p>
            <w:pPr>
              <w:widowControl/>
              <w:jc w:val="left"/>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Locoregional failures</w:t>
            </w:r>
          </w:p>
        </w:tc>
        <w:tc>
          <w:tcPr>
            <w:tcW w:w="2909" w:type="dxa"/>
          </w:tcPr>
          <w:p>
            <w:pPr>
              <w:widowControl/>
              <w:jc w:val="left"/>
              <w:rPr>
                <w:rFonts w:ascii="Times New Roman" w:hAnsi="Times New Roman" w:cs="Times New Roman"/>
              </w:rPr>
            </w:pPr>
            <w:bookmarkStart w:id="22" w:name="OLE_LINK70"/>
            <w:r>
              <w:rPr>
                <w:rFonts w:ascii="Times New Roman" w:hAnsi="Times New Roman" w:cs="Times New Roman"/>
              </w:rPr>
              <w:t>1 (2.1%)</w:t>
            </w:r>
            <w:bookmarkEnd w:id="22"/>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Proportion of patients without distant failures at 2 year (95% CI)</w:t>
            </w:r>
          </w:p>
        </w:tc>
        <w:tc>
          <w:tcPr>
            <w:tcW w:w="2909" w:type="dxa"/>
          </w:tcPr>
          <w:p>
            <w:pPr>
              <w:widowControl/>
              <w:jc w:val="left"/>
              <w:rPr>
                <w:rFonts w:ascii="Times New Roman" w:hAnsi="Times New Roman" w:cs="Times New Roman"/>
              </w:rPr>
            </w:pPr>
            <w:r>
              <w:rPr>
                <w:rFonts w:ascii="Times New Roman" w:hAnsi="Times New Roman" w:cs="Times New Roman"/>
              </w:rPr>
              <w:t>97.8% (86.3-99.7)</w:t>
            </w:r>
          </w:p>
        </w:tc>
      </w:tr>
      <w:bookmarkEnd w:id="21"/>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Pr>
          <w:p>
            <w:pPr>
              <w:widowControl/>
              <w:jc w:val="left"/>
              <w:rPr>
                <w:rFonts w:ascii="Times New Roman" w:hAnsi="Times New Roman" w:cs="Times New Roman"/>
              </w:rPr>
            </w:pPr>
            <w:bookmarkStart w:id="23" w:name="_Hlk110903899"/>
            <w:r>
              <w:rPr>
                <w:rFonts w:ascii="Times New Roman" w:hAnsi="Times New Roman" w:cs="Times New Roman"/>
              </w:rPr>
              <w:t>Overall survival</w:t>
            </w:r>
          </w:p>
        </w:tc>
        <w:tc>
          <w:tcPr>
            <w:tcW w:w="2909" w:type="dxa"/>
          </w:tcPr>
          <w:p>
            <w:pPr>
              <w:widowControl/>
              <w:jc w:val="left"/>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Death</w:t>
            </w:r>
          </w:p>
        </w:tc>
        <w:tc>
          <w:tcPr>
            <w:tcW w:w="2909" w:type="dxa"/>
          </w:tcPr>
          <w:p>
            <w:pPr>
              <w:widowControl/>
              <w:jc w:val="left"/>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Proportion of patients alive at 2 year (95% CI)</w:t>
            </w:r>
          </w:p>
        </w:tc>
        <w:tc>
          <w:tcPr>
            <w:tcW w:w="2909" w:type="dxa"/>
          </w:tcPr>
          <w:p>
            <w:pPr>
              <w:widowControl/>
              <w:jc w:val="left"/>
              <w:rPr>
                <w:rFonts w:ascii="Times New Roman" w:hAnsi="Times New Roman" w:cs="Times New Roman"/>
              </w:rPr>
            </w:pPr>
            <w:r>
              <w:rPr>
                <w:rFonts w:ascii="Times New Roman" w:hAnsi="Times New Roman" w:cs="Times New Roman"/>
                <w:kern w:val="0"/>
              </w:rPr>
              <w:t>97.9% (85.7-99.7)</w:t>
            </w:r>
          </w:p>
        </w:tc>
      </w:tr>
      <w:bookmarkEnd w:id="23"/>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Pr>
          <w:p>
            <w:pPr>
              <w:widowControl/>
              <w:jc w:val="left"/>
              <w:rPr>
                <w:rFonts w:ascii="Times New Roman" w:hAnsi="Times New Roman" w:cs="Times New Roman"/>
              </w:rPr>
            </w:pPr>
            <w:r>
              <w:rPr>
                <w:rFonts w:ascii="Times New Roman" w:hAnsi="Times New Roman" w:cs="Times New Roman"/>
              </w:rPr>
              <w:t>Failure-free survival</w:t>
            </w:r>
          </w:p>
        </w:tc>
        <w:tc>
          <w:tcPr>
            <w:tcW w:w="2909" w:type="dxa"/>
          </w:tcPr>
          <w:p>
            <w:pPr>
              <w:widowControl/>
              <w:jc w:val="left"/>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954" w:type="dxa"/>
          </w:tcPr>
          <w:p>
            <w:pPr>
              <w:widowControl/>
              <w:ind w:left="210" w:leftChars="100"/>
              <w:jc w:val="left"/>
              <w:rPr>
                <w:rFonts w:ascii="Times New Roman" w:hAnsi="Times New Roman" w:cs="Times New Roman"/>
              </w:rPr>
            </w:pPr>
            <w:r>
              <w:rPr>
                <w:rFonts w:ascii="Times New Roman" w:hAnsi="Times New Roman" w:cs="Times New Roman"/>
              </w:rPr>
              <w:t>Failures</w:t>
            </w:r>
          </w:p>
        </w:tc>
        <w:tc>
          <w:tcPr>
            <w:tcW w:w="2909" w:type="dxa"/>
          </w:tcPr>
          <w:p>
            <w:pPr>
              <w:widowControl/>
              <w:jc w:val="left"/>
              <w:rPr>
                <w:rFonts w:ascii="Times New Roman" w:hAnsi="Times New Roman" w:cs="Times New Roman"/>
              </w:rPr>
            </w:pPr>
            <w:r>
              <w:rPr>
                <w:rFonts w:ascii="Times New Roman" w:hAnsi="Times New Roman" w:cs="Times New Roman"/>
              </w:rPr>
              <w:t>2 (4.3%)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954" w:type="dxa"/>
            <w:tcBorders>
              <w:bottom w:val="single" w:color="auto" w:sz="4" w:space="0"/>
            </w:tcBorders>
          </w:tcPr>
          <w:p>
            <w:pPr>
              <w:widowControl/>
              <w:ind w:left="210" w:leftChars="100"/>
              <w:jc w:val="left"/>
              <w:rPr>
                <w:rFonts w:ascii="Times New Roman" w:hAnsi="Times New Roman" w:cs="Times New Roman"/>
              </w:rPr>
            </w:pPr>
            <w:r>
              <w:rPr>
                <w:rFonts w:ascii="Times New Roman" w:hAnsi="Times New Roman" w:cs="Times New Roman"/>
              </w:rPr>
              <w:t>Proportion of failure-free patients at 2 year (95% CI)</w:t>
            </w:r>
          </w:p>
        </w:tc>
        <w:tc>
          <w:tcPr>
            <w:tcW w:w="2909" w:type="dxa"/>
            <w:tcBorders>
              <w:bottom w:val="single" w:color="auto" w:sz="4" w:space="0"/>
            </w:tcBorders>
          </w:tcPr>
          <w:p>
            <w:pPr>
              <w:widowControl/>
              <w:jc w:val="left"/>
              <w:rPr>
                <w:rFonts w:ascii="Times New Roman" w:hAnsi="Times New Roman" w:cs="Times New Roman"/>
              </w:rPr>
            </w:pPr>
            <w:r>
              <w:rPr>
                <w:rFonts w:ascii="Times New Roman" w:hAnsi="Times New Roman" w:cs="Times New Roman"/>
                <w:kern w:val="0"/>
              </w:rPr>
              <w:t>95.7% (84.4-98.9)</w:t>
            </w:r>
          </w:p>
        </w:tc>
      </w:tr>
    </w:tbl>
    <w:p>
      <w:pPr>
        <w:rPr>
          <w:rFonts w:ascii="Times New Roman" w:hAnsi="Times New Roman" w:cs="Times New Roman"/>
        </w:rPr>
      </w:pPr>
      <w:r>
        <w:rPr>
          <w:rFonts w:ascii="Times New Roman" w:hAnsi="Times New Roman" w:cs="Times New Roman"/>
        </w:rPr>
        <w:t xml:space="preserve">IC = induction chemotherapy. </w:t>
      </w:r>
    </w:p>
    <w:p>
      <w:pPr>
        <w:widowControl/>
        <w:jc w:val="left"/>
        <w:rPr>
          <w:rFonts w:ascii="Arial" w:hAnsi="Arial" w:cs="Arial"/>
        </w:rPr>
      </w:pPr>
      <w:r>
        <w:rPr>
          <w:rFonts w:ascii="Arial" w:hAnsi="Arial" w:cs="Arial"/>
        </w:rPr>
        <w:br w:type="page"/>
      </w:r>
    </w:p>
    <w:p>
      <w:pPr>
        <w:pStyle w:val="3"/>
        <w:spacing w:line="240" w:lineRule="auto"/>
        <w:rPr>
          <w:rFonts w:ascii="Times New Roman" w:hAnsi="Times New Roman" w:cs="Times New Roman"/>
        </w:rPr>
      </w:pPr>
      <w:bookmarkStart w:id="24" w:name="_Toc118159971"/>
      <w:r>
        <w:rPr>
          <w:rFonts w:ascii="Times New Roman" w:hAnsi="Times New Roman" w:cs="Times New Roman"/>
        </w:rPr>
        <w:t>Supplemental Table S3: Characteristics of the patients at baseline between QUINTUPLED and historical cohorts.</w:t>
      </w:r>
      <w:bookmarkEnd w:id="24"/>
    </w:p>
    <w:tbl>
      <w:tblPr>
        <w:tblStyle w:val="11"/>
        <w:tblW w:w="822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261"/>
        <w:gridCol w:w="2126"/>
        <w:gridCol w:w="1985"/>
        <w:gridCol w:w="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tcBorders>
              <w:top w:val="single" w:color="auto" w:sz="4" w:space="0"/>
            </w:tcBorders>
            <w:vAlign w:val="center"/>
          </w:tcPr>
          <w:p>
            <w:pPr>
              <w:rPr>
                <w:rFonts w:ascii="Times New Roman" w:hAnsi="Times New Roman" w:cs="Times New Roman"/>
              </w:rPr>
            </w:pPr>
          </w:p>
        </w:tc>
        <w:tc>
          <w:tcPr>
            <w:tcW w:w="4111" w:type="dxa"/>
            <w:gridSpan w:val="2"/>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Patients, No. (%)</w:t>
            </w:r>
          </w:p>
        </w:tc>
        <w:tc>
          <w:tcPr>
            <w:tcW w:w="852" w:type="dxa"/>
            <w:tcBorders>
              <w:top w:val="single" w:color="auto" w:sz="4" w:space="0"/>
            </w:tcBorders>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Characteristic</w:t>
            </w:r>
          </w:p>
        </w:tc>
        <w:tc>
          <w:tcPr>
            <w:tcW w:w="212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QUINTUPLED cohort</w:t>
            </w:r>
          </w:p>
          <w:p>
            <w:pPr>
              <w:rPr>
                <w:rFonts w:ascii="Times New Roman" w:hAnsi="Times New Roman" w:cs="Times New Roman"/>
              </w:rPr>
            </w:pPr>
            <w:r>
              <w:rPr>
                <w:rFonts w:ascii="Times New Roman" w:hAnsi="Times New Roman" w:cs="Times New Roman"/>
              </w:rPr>
              <w:t>(N=49)</w:t>
            </w:r>
          </w:p>
        </w:tc>
        <w:tc>
          <w:tcPr>
            <w:tcW w:w="1985"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Historical cohort*</w:t>
            </w:r>
          </w:p>
          <w:p>
            <w:pPr>
              <w:rPr>
                <w:rFonts w:ascii="Times New Roman" w:hAnsi="Times New Roman" w:cs="Times New Roman"/>
              </w:rPr>
            </w:pPr>
            <w:r>
              <w:rPr>
                <w:rFonts w:ascii="Times New Roman" w:hAnsi="Times New Roman" w:cs="Times New Roman"/>
              </w:rPr>
              <w:t>(N=111)</w:t>
            </w:r>
          </w:p>
        </w:tc>
        <w:tc>
          <w:tcPr>
            <w:tcW w:w="852"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P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tcBorders>
              <w:top w:val="single" w:color="auto" w:sz="4" w:space="0"/>
            </w:tcBorders>
            <w:vAlign w:val="center"/>
          </w:tcPr>
          <w:p>
            <w:pPr>
              <w:jc w:val="left"/>
              <w:rPr>
                <w:rFonts w:ascii="Times New Roman" w:hAnsi="Times New Roman" w:cs="Times New Roman"/>
              </w:rPr>
            </w:pPr>
            <w:r>
              <w:rPr>
                <w:rFonts w:ascii="Times New Roman" w:hAnsi="Times New Roman" w:cs="Times New Roman"/>
              </w:rPr>
              <w:t>Age, year</w:t>
            </w:r>
          </w:p>
        </w:tc>
        <w:tc>
          <w:tcPr>
            <w:tcW w:w="2126" w:type="dxa"/>
            <w:tcBorders>
              <w:top w:val="single" w:color="auto" w:sz="4" w:space="0"/>
            </w:tcBorders>
            <w:vAlign w:val="center"/>
          </w:tcPr>
          <w:p>
            <w:pPr>
              <w:rPr>
                <w:rFonts w:ascii="Times New Roman" w:hAnsi="Times New Roman" w:cs="Times New Roman"/>
              </w:rPr>
            </w:pPr>
          </w:p>
        </w:tc>
        <w:tc>
          <w:tcPr>
            <w:tcW w:w="1985" w:type="dxa"/>
            <w:tcBorders>
              <w:top w:val="single" w:color="auto" w:sz="4" w:space="0"/>
            </w:tcBorders>
            <w:vAlign w:val="center"/>
          </w:tcPr>
          <w:p>
            <w:pPr>
              <w:rPr>
                <w:rFonts w:ascii="Times New Roman" w:hAnsi="Times New Roman" w:cs="Times New Roman"/>
              </w:rPr>
            </w:pPr>
          </w:p>
        </w:tc>
        <w:tc>
          <w:tcPr>
            <w:tcW w:w="852" w:type="dxa"/>
            <w:tcBorders>
              <w:top w:val="single" w:color="auto" w:sz="4" w:space="0"/>
            </w:tcBorders>
          </w:tcPr>
          <w:p>
            <w:pPr>
              <w:rPr>
                <w:rFonts w:ascii="Times New Roman" w:hAnsi="Times New Roman" w:cs="Times New Roman"/>
              </w:rPr>
            </w:pPr>
            <w:r>
              <w:rPr>
                <w:rFonts w:ascii="Times New Roman" w:hAnsi="Times New Roman" w:cs="Times New Roman"/>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Median (interquartile range)</w:t>
            </w:r>
          </w:p>
        </w:tc>
        <w:tc>
          <w:tcPr>
            <w:tcW w:w="2126" w:type="dxa"/>
            <w:vAlign w:val="center"/>
          </w:tcPr>
          <w:p>
            <w:pPr>
              <w:rPr>
                <w:rFonts w:ascii="Times New Roman" w:hAnsi="Times New Roman" w:cs="Times New Roman"/>
              </w:rPr>
            </w:pPr>
            <w:r>
              <w:rPr>
                <w:rFonts w:ascii="Times New Roman" w:hAnsi="Times New Roman" w:cs="Times New Roman"/>
              </w:rPr>
              <w:t>46 (37-52)</w:t>
            </w:r>
          </w:p>
        </w:tc>
        <w:tc>
          <w:tcPr>
            <w:tcW w:w="1985" w:type="dxa"/>
            <w:vAlign w:val="center"/>
          </w:tcPr>
          <w:p>
            <w:pPr>
              <w:rPr>
                <w:rFonts w:ascii="Times New Roman" w:hAnsi="Times New Roman" w:cs="Times New Roman"/>
              </w:rPr>
            </w:pPr>
            <w:r>
              <w:rPr>
                <w:rFonts w:ascii="Times New Roman" w:hAnsi="Times New Roman" w:cs="Times New Roman"/>
              </w:rPr>
              <w:t>46 (38-51)</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Range</w:t>
            </w:r>
          </w:p>
        </w:tc>
        <w:tc>
          <w:tcPr>
            <w:tcW w:w="2126" w:type="dxa"/>
            <w:vAlign w:val="center"/>
          </w:tcPr>
          <w:p>
            <w:pPr>
              <w:rPr>
                <w:rFonts w:ascii="Times New Roman" w:hAnsi="Times New Roman" w:cs="Times New Roman"/>
              </w:rPr>
            </w:pPr>
            <w:r>
              <w:rPr>
                <w:rFonts w:ascii="Times New Roman" w:hAnsi="Times New Roman" w:cs="Times New Roman"/>
              </w:rPr>
              <w:t>20-65</w:t>
            </w:r>
          </w:p>
        </w:tc>
        <w:tc>
          <w:tcPr>
            <w:tcW w:w="1985" w:type="dxa"/>
            <w:vAlign w:val="center"/>
          </w:tcPr>
          <w:p>
            <w:pPr>
              <w:rPr>
                <w:rFonts w:ascii="Times New Roman" w:hAnsi="Times New Roman" w:cs="Times New Roman"/>
              </w:rPr>
            </w:pPr>
            <w:r>
              <w:rPr>
                <w:rFonts w:ascii="Times New Roman" w:hAnsi="Times New Roman" w:cs="Times New Roman"/>
              </w:rPr>
              <w:t>18-65</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jc w:val="left"/>
              <w:rPr>
                <w:rFonts w:ascii="Times New Roman" w:hAnsi="Times New Roman" w:cs="Times New Roman"/>
              </w:rPr>
            </w:pPr>
            <w:r>
              <w:rPr>
                <w:rFonts w:ascii="Times New Roman" w:hAnsi="Times New Roman" w:cs="Times New Roman"/>
              </w:rPr>
              <w:t>Sex</w:t>
            </w:r>
          </w:p>
        </w:tc>
        <w:tc>
          <w:tcPr>
            <w:tcW w:w="2126" w:type="dxa"/>
            <w:vAlign w:val="center"/>
          </w:tcPr>
          <w:p>
            <w:pPr>
              <w:rPr>
                <w:rFonts w:ascii="Times New Roman" w:hAnsi="Times New Roman" w:cs="Times New Roman"/>
              </w:rPr>
            </w:pPr>
          </w:p>
        </w:tc>
        <w:tc>
          <w:tcPr>
            <w:tcW w:w="1985" w:type="dxa"/>
            <w:vAlign w:val="center"/>
          </w:tcPr>
          <w:p>
            <w:pPr>
              <w:rPr>
                <w:rFonts w:ascii="Times New Roman" w:hAnsi="Times New Roman" w:cs="Times New Roman"/>
              </w:rPr>
            </w:pPr>
          </w:p>
        </w:tc>
        <w:tc>
          <w:tcPr>
            <w:tcW w:w="852" w:type="dxa"/>
          </w:tcPr>
          <w:p>
            <w:pPr>
              <w:rPr>
                <w:rFonts w:ascii="Times New Roman" w:hAnsi="Times New Roman" w:cs="Times New Roman"/>
              </w:rPr>
            </w:pPr>
            <w:r>
              <w:rPr>
                <w:rFonts w:ascii="Times New Roman" w:hAnsi="Times New Roman" w:cs="Times New Roman"/>
              </w:rPr>
              <w:t>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Male</w:t>
            </w:r>
          </w:p>
        </w:tc>
        <w:tc>
          <w:tcPr>
            <w:tcW w:w="2126" w:type="dxa"/>
            <w:vAlign w:val="center"/>
          </w:tcPr>
          <w:p>
            <w:pPr>
              <w:rPr>
                <w:rFonts w:ascii="Times New Roman" w:hAnsi="Times New Roman" w:cs="Times New Roman"/>
              </w:rPr>
            </w:pPr>
            <w:r>
              <w:rPr>
                <w:rFonts w:ascii="Times New Roman" w:hAnsi="Times New Roman" w:cs="Times New Roman"/>
              </w:rPr>
              <w:t>37 (75.5)</w:t>
            </w:r>
          </w:p>
        </w:tc>
        <w:tc>
          <w:tcPr>
            <w:tcW w:w="1985" w:type="dxa"/>
            <w:vAlign w:val="center"/>
          </w:tcPr>
          <w:p>
            <w:pPr>
              <w:rPr>
                <w:rFonts w:ascii="Times New Roman" w:hAnsi="Times New Roman" w:cs="Times New Roman"/>
              </w:rPr>
            </w:pPr>
            <w:r>
              <w:rPr>
                <w:rFonts w:ascii="Times New Roman" w:hAnsi="Times New Roman" w:cs="Times New Roman"/>
              </w:rPr>
              <w:t>88 (79.3)</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Female</w:t>
            </w:r>
          </w:p>
        </w:tc>
        <w:tc>
          <w:tcPr>
            <w:tcW w:w="2126" w:type="dxa"/>
            <w:vAlign w:val="center"/>
          </w:tcPr>
          <w:p>
            <w:pPr>
              <w:rPr>
                <w:rFonts w:ascii="Times New Roman" w:hAnsi="Times New Roman" w:cs="Times New Roman"/>
              </w:rPr>
            </w:pPr>
            <w:r>
              <w:rPr>
                <w:rFonts w:ascii="Times New Roman" w:hAnsi="Times New Roman" w:cs="Times New Roman"/>
              </w:rPr>
              <w:t>12 (24.5)</w:t>
            </w:r>
          </w:p>
        </w:tc>
        <w:tc>
          <w:tcPr>
            <w:tcW w:w="1985" w:type="dxa"/>
            <w:vAlign w:val="center"/>
          </w:tcPr>
          <w:p>
            <w:pPr>
              <w:rPr>
                <w:rFonts w:ascii="Times New Roman" w:hAnsi="Times New Roman" w:cs="Times New Roman"/>
              </w:rPr>
            </w:pPr>
            <w:r>
              <w:rPr>
                <w:rFonts w:ascii="Times New Roman" w:hAnsi="Times New Roman" w:cs="Times New Roman"/>
              </w:rPr>
              <w:t>23 (20.7)</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jc w:val="left"/>
              <w:rPr>
                <w:rFonts w:ascii="Times New Roman" w:hAnsi="Times New Roman" w:cs="Times New Roman"/>
              </w:rPr>
            </w:pPr>
            <w:r>
              <w:rPr>
                <w:rFonts w:ascii="Times New Roman" w:hAnsi="Times New Roman" w:cs="Times New Roman"/>
              </w:rPr>
              <w:t>ECOG perform status</w:t>
            </w:r>
            <w:r>
              <w:rPr>
                <w:rFonts w:ascii="Times New Roman" w:hAnsi="Times New Roman" w:eastAsia="宋体" w:cs="Times New Roman"/>
              </w:rPr>
              <w:t>†</w:t>
            </w:r>
          </w:p>
        </w:tc>
        <w:tc>
          <w:tcPr>
            <w:tcW w:w="2126" w:type="dxa"/>
            <w:vAlign w:val="center"/>
          </w:tcPr>
          <w:p>
            <w:pPr>
              <w:rPr>
                <w:rFonts w:ascii="Times New Roman" w:hAnsi="Times New Roman" w:cs="Times New Roman"/>
              </w:rPr>
            </w:pPr>
          </w:p>
        </w:tc>
        <w:tc>
          <w:tcPr>
            <w:tcW w:w="1985" w:type="dxa"/>
            <w:vAlign w:val="center"/>
          </w:tcPr>
          <w:p>
            <w:pPr>
              <w:rPr>
                <w:rFonts w:ascii="Times New Roman" w:hAnsi="Times New Roman" w:cs="Times New Roman"/>
              </w:rPr>
            </w:pPr>
          </w:p>
        </w:tc>
        <w:tc>
          <w:tcPr>
            <w:tcW w:w="852" w:type="dxa"/>
          </w:tcPr>
          <w:p>
            <w:pPr>
              <w:rPr>
                <w:rFonts w:ascii="Times New Roman" w:hAnsi="Times New Roman" w:cs="Times New Roman"/>
              </w:rPr>
            </w:pPr>
            <w:r>
              <w:rPr>
                <w:rFonts w:ascii="Times New Roman" w:hAnsi="Times New Roman" w:cs="Times New Roman"/>
              </w:rPr>
              <w:t>0.10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0</w:t>
            </w:r>
          </w:p>
        </w:tc>
        <w:tc>
          <w:tcPr>
            <w:tcW w:w="2126" w:type="dxa"/>
            <w:vAlign w:val="center"/>
          </w:tcPr>
          <w:p>
            <w:pPr>
              <w:rPr>
                <w:rFonts w:ascii="Times New Roman" w:hAnsi="Times New Roman" w:cs="Times New Roman"/>
              </w:rPr>
            </w:pPr>
            <w:r>
              <w:rPr>
                <w:rFonts w:ascii="Times New Roman" w:hAnsi="Times New Roman" w:cs="Times New Roman"/>
              </w:rPr>
              <w:t>39 (79.6)</w:t>
            </w:r>
          </w:p>
        </w:tc>
        <w:tc>
          <w:tcPr>
            <w:tcW w:w="1985" w:type="dxa"/>
            <w:vAlign w:val="center"/>
          </w:tcPr>
          <w:p>
            <w:pPr>
              <w:rPr>
                <w:rFonts w:ascii="Times New Roman" w:hAnsi="Times New Roman" w:cs="Times New Roman"/>
              </w:rPr>
            </w:pPr>
            <w:r>
              <w:rPr>
                <w:rFonts w:ascii="Times New Roman" w:hAnsi="Times New Roman" w:cs="Times New Roman"/>
              </w:rPr>
              <w:t>99 (89.2)</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1</w:t>
            </w:r>
          </w:p>
        </w:tc>
        <w:tc>
          <w:tcPr>
            <w:tcW w:w="2126" w:type="dxa"/>
            <w:vAlign w:val="center"/>
          </w:tcPr>
          <w:p>
            <w:pPr>
              <w:rPr>
                <w:rFonts w:ascii="Times New Roman" w:hAnsi="Times New Roman" w:cs="Times New Roman"/>
              </w:rPr>
            </w:pPr>
            <w:r>
              <w:rPr>
                <w:rFonts w:ascii="Times New Roman" w:hAnsi="Times New Roman" w:cs="Times New Roman"/>
              </w:rPr>
              <w:t>10 (20.4)</w:t>
            </w:r>
          </w:p>
        </w:tc>
        <w:tc>
          <w:tcPr>
            <w:tcW w:w="1985" w:type="dxa"/>
            <w:vAlign w:val="center"/>
          </w:tcPr>
          <w:p>
            <w:pPr>
              <w:rPr>
                <w:rFonts w:ascii="Times New Roman" w:hAnsi="Times New Roman" w:cs="Times New Roman"/>
              </w:rPr>
            </w:pPr>
            <w:r>
              <w:rPr>
                <w:rFonts w:ascii="Times New Roman" w:hAnsi="Times New Roman" w:cs="Times New Roman"/>
              </w:rPr>
              <w:t>12 (10.8)</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jc w:val="left"/>
              <w:rPr>
                <w:rFonts w:ascii="Times New Roman" w:hAnsi="Times New Roman" w:cs="Times New Roman"/>
              </w:rPr>
            </w:pPr>
            <w:r>
              <w:rPr>
                <w:rFonts w:ascii="Times New Roman" w:hAnsi="Times New Roman" w:cs="Times New Roman"/>
              </w:rPr>
              <w:t>Tumor category</w:t>
            </w:r>
            <w:r>
              <w:rPr>
                <w:rFonts w:ascii="Times New Roman" w:hAnsi="Times New Roman" w:eastAsia="宋体" w:cs="Times New Roman"/>
              </w:rPr>
              <w:t>‡</w:t>
            </w:r>
          </w:p>
        </w:tc>
        <w:tc>
          <w:tcPr>
            <w:tcW w:w="2126" w:type="dxa"/>
            <w:vAlign w:val="center"/>
          </w:tcPr>
          <w:p>
            <w:pPr>
              <w:rPr>
                <w:rFonts w:ascii="Times New Roman" w:hAnsi="Times New Roman" w:cs="Times New Roman"/>
              </w:rPr>
            </w:pPr>
          </w:p>
        </w:tc>
        <w:tc>
          <w:tcPr>
            <w:tcW w:w="1985" w:type="dxa"/>
            <w:vAlign w:val="center"/>
          </w:tcPr>
          <w:p>
            <w:pPr>
              <w:rPr>
                <w:rFonts w:ascii="Times New Roman" w:hAnsi="Times New Roman" w:cs="Times New Roman"/>
              </w:rPr>
            </w:pPr>
          </w:p>
        </w:tc>
        <w:tc>
          <w:tcPr>
            <w:tcW w:w="852" w:type="dxa"/>
          </w:tcPr>
          <w:p>
            <w:pPr>
              <w:rPr>
                <w:rFonts w:ascii="Times New Roman" w:hAnsi="Times New Roman" w:cs="Times New Roman"/>
              </w:rPr>
            </w:pPr>
            <w:r>
              <w:rPr>
                <w:rFonts w:ascii="Times New Roman" w:hAnsi="Times New Roman" w:cs="Times New Roman"/>
              </w:rPr>
              <w:t>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T1</w:t>
            </w:r>
          </w:p>
        </w:tc>
        <w:tc>
          <w:tcPr>
            <w:tcW w:w="2126" w:type="dxa"/>
            <w:vAlign w:val="center"/>
          </w:tcPr>
          <w:p>
            <w:pPr>
              <w:rPr>
                <w:rFonts w:ascii="Times New Roman" w:hAnsi="Times New Roman" w:cs="Times New Roman"/>
              </w:rPr>
            </w:pPr>
            <w:r>
              <w:rPr>
                <w:rFonts w:ascii="Times New Roman" w:hAnsi="Times New Roman" w:cs="Times New Roman"/>
              </w:rPr>
              <w:t>3 (6.1)</w:t>
            </w:r>
          </w:p>
        </w:tc>
        <w:tc>
          <w:tcPr>
            <w:tcW w:w="1985" w:type="dxa"/>
            <w:vAlign w:val="center"/>
          </w:tcPr>
          <w:p>
            <w:pPr>
              <w:rPr>
                <w:rFonts w:ascii="Times New Roman" w:hAnsi="Times New Roman" w:cs="Times New Roman"/>
              </w:rPr>
            </w:pPr>
            <w:r>
              <w:rPr>
                <w:rFonts w:ascii="Times New Roman" w:hAnsi="Times New Roman" w:cs="Times New Roman"/>
              </w:rPr>
              <w:t>5 (4.5)</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T2</w:t>
            </w:r>
          </w:p>
        </w:tc>
        <w:tc>
          <w:tcPr>
            <w:tcW w:w="2126" w:type="dxa"/>
            <w:vAlign w:val="center"/>
          </w:tcPr>
          <w:p>
            <w:pPr>
              <w:rPr>
                <w:rFonts w:ascii="Times New Roman" w:hAnsi="Times New Roman" w:cs="Times New Roman"/>
              </w:rPr>
            </w:pPr>
            <w:r>
              <w:rPr>
                <w:rFonts w:ascii="Times New Roman" w:hAnsi="Times New Roman" w:cs="Times New Roman"/>
              </w:rPr>
              <w:t>7 (14.3)</w:t>
            </w:r>
          </w:p>
        </w:tc>
        <w:tc>
          <w:tcPr>
            <w:tcW w:w="1985" w:type="dxa"/>
            <w:vAlign w:val="center"/>
          </w:tcPr>
          <w:p>
            <w:pPr>
              <w:rPr>
                <w:rFonts w:ascii="Times New Roman" w:hAnsi="Times New Roman" w:cs="Times New Roman"/>
              </w:rPr>
            </w:pPr>
            <w:r>
              <w:rPr>
                <w:rFonts w:ascii="Times New Roman" w:hAnsi="Times New Roman" w:cs="Times New Roman"/>
              </w:rPr>
              <w:t>7 (6.3)</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T3</w:t>
            </w:r>
          </w:p>
        </w:tc>
        <w:tc>
          <w:tcPr>
            <w:tcW w:w="2126" w:type="dxa"/>
            <w:vAlign w:val="center"/>
          </w:tcPr>
          <w:p>
            <w:pPr>
              <w:rPr>
                <w:rFonts w:ascii="Times New Roman" w:hAnsi="Times New Roman" w:cs="Times New Roman"/>
              </w:rPr>
            </w:pPr>
            <w:r>
              <w:rPr>
                <w:rFonts w:ascii="Times New Roman" w:hAnsi="Times New Roman" w:cs="Times New Roman"/>
              </w:rPr>
              <w:t>26 (53.1)</w:t>
            </w:r>
          </w:p>
        </w:tc>
        <w:tc>
          <w:tcPr>
            <w:tcW w:w="1985" w:type="dxa"/>
            <w:vAlign w:val="center"/>
          </w:tcPr>
          <w:p>
            <w:pPr>
              <w:rPr>
                <w:rFonts w:ascii="Times New Roman" w:hAnsi="Times New Roman" w:cs="Times New Roman"/>
              </w:rPr>
            </w:pPr>
            <w:r>
              <w:rPr>
                <w:rFonts w:ascii="Times New Roman" w:hAnsi="Times New Roman" w:cs="Times New Roman"/>
              </w:rPr>
              <w:t>66 (59.5)</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T4</w:t>
            </w:r>
          </w:p>
        </w:tc>
        <w:tc>
          <w:tcPr>
            <w:tcW w:w="2126" w:type="dxa"/>
            <w:vAlign w:val="center"/>
          </w:tcPr>
          <w:p>
            <w:pPr>
              <w:rPr>
                <w:rFonts w:ascii="Times New Roman" w:hAnsi="Times New Roman" w:cs="Times New Roman"/>
              </w:rPr>
            </w:pPr>
            <w:r>
              <w:rPr>
                <w:rFonts w:ascii="Times New Roman" w:hAnsi="Times New Roman" w:cs="Times New Roman"/>
              </w:rPr>
              <w:t>13 (26.5)</w:t>
            </w:r>
          </w:p>
        </w:tc>
        <w:tc>
          <w:tcPr>
            <w:tcW w:w="1985" w:type="dxa"/>
            <w:vAlign w:val="center"/>
          </w:tcPr>
          <w:p>
            <w:pPr>
              <w:rPr>
                <w:rFonts w:ascii="Times New Roman" w:hAnsi="Times New Roman" w:cs="Times New Roman"/>
              </w:rPr>
            </w:pPr>
            <w:r>
              <w:rPr>
                <w:rFonts w:ascii="Times New Roman" w:hAnsi="Times New Roman" w:cs="Times New Roman"/>
              </w:rPr>
              <w:t>33 (29.7)</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jc w:val="left"/>
              <w:rPr>
                <w:rFonts w:ascii="Times New Roman" w:hAnsi="Times New Roman" w:cs="Times New Roman"/>
              </w:rPr>
            </w:pPr>
            <w:r>
              <w:rPr>
                <w:rFonts w:ascii="Times New Roman" w:hAnsi="Times New Roman" w:cs="Times New Roman"/>
              </w:rPr>
              <w:t>Histology classification</w:t>
            </w:r>
          </w:p>
        </w:tc>
        <w:tc>
          <w:tcPr>
            <w:tcW w:w="2126" w:type="dxa"/>
            <w:vAlign w:val="center"/>
          </w:tcPr>
          <w:p>
            <w:pPr>
              <w:rPr>
                <w:rFonts w:ascii="Times New Roman" w:hAnsi="Times New Roman" w:cs="Times New Roman"/>
              </w:rPr>
            </w:pPr>
          </w:p>
        </w:tc>
        <w:tc>
          <w:tcPr>
            <w:tcW w:w="1985" w:type="dxa"/>
            <w:vAlign w:val="center"/>
          </w:tcPr>
          <w:p>
            <w:pPr>
              <w:rPr>
                <w:rFonts w:ascii="Times New Roman" w:hAnsi="Times New Roman" w:cs="Times New Roman"/>
              </w:rPr>
            </w:pPr>
          </w:p>
        </w:tc>
        <w:tc>
          <w:tcPr>
            <w:tcW w:w="852" w:type="dxa"/>
          </w:tcPr>
          <w:p>
            <w:pPr>
              <w:rPr>
                <w:rFonts w:ascii="Times New Roman" w:hAnsi="Times New Roman" w:cs="Times New Roman"/>
              </w:rPr>
            </w:pPr>
            <w:r>
              <w:rPr>
                <w:rFonts w:ascii="Times New Roman" w:hAnsi="Times New Roman" w:cs="Times New Roma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Non-keratinising differentiated</w:t>
            </w:r>
          </w:p>
        </w:tc>
        <w:tc>
          <w:tcPr>
            <w:tcW w:w="2126" w:type="dxa"/>
            <w:vAlign w:val="center"/>
          </w:tcPr>
          <w:p>
            <w:pPr>
              <w:rPr>
                <w:rFonts w:ascii="Times New Roman" w:hAnsi="Times New Roman" w:cs="Times New Roman"/>
              </w:rPr>
            </w:pPr>
            <w:r>
              <w:rPr>
                <w:rFonts w:ascii="Times New Roman" w:hAnsi="Times New Roman" w:cs="Times New Roman"/>
              </w:rPr>
              <w:t>1 (2.0)</w:t>
            </w:r>
          </w:p>
        </w:tc>
        <w:tc>
          <w:tcPr>
            <w:tcW w:w="1985" w:type="dxa"/>
            <w:vAlign w:val="center"/>
          </w:tcPr>
          <w:p>
            <w:pPr>
              <w:rPr>
                <w:rFonts w:ascii="Times New Roman" w:hAnsi="Times New Roman" w:cs="Times New Roman"/>
              </w:rPr>
            </w:pPr>
            <w:r>
              <w:rPr>
                <w:rFonts w:ascii="Times New Roman" w:hAnsi="Times New Roman" w:cs="Times New Roman"/>
              </w:rPr>
              <w:t>2 (1.8)</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vAlign w:val="center"/>
          </w:tcPr>
          <w:p>
            <w:pPr>
              <w:ind w:left="210" w:leftChars="100"/>
              <w:jc w:val="left"/>
              <w:rPr>
                <w:rFonts w:ascii="Times New Roman" w:hAnsi="Times New Roman" w:cs="Times New Roman"/>
              </w:rPr>
            </w:pPr>
            <w:r>
              <w:rPr>
                <w:rFonts w:ascii="Times New Roman" w:hAnsi="Times New Roman" w:cs="Times New Roman"/>
              </w:rPr>
              <w:t>Non-keratinising undifferentiated</w:t>
            </w:r>
          </w:p>
        </w:tc>
        <w:tc>
          <w:tcPr>
            <w:tcW w:w="2126" w:type="dxa"/>
            <w:vAlign w:val="center"/>
          </w:tcPr>
          <w:p>
            <w:pPr>
              <w:rPr>
                <w:rFonts w:ascii="Times New Roman" w:hAnsi="Times New Roman" w:cs="Times New Roman"/>
              </w:rPr>
            </w:pPr>
            <w:r>
              <w:rPr>
                <w:rFonts w:ascii="Times New Roman" w:hAnsi="Times New Roman" w:cs="Times New Roman"/>
              </w:rPr>
              <w:t>48 (98.0)</w:t>
            </w:r>
          </w:p>
        </w:tc>
        <w:tc>
          <w:tcPr>
            <w:tcW w:w="1985" w:type="dxa"/>
            <w:vAlign w:val="center"/>
          </w:tcPr>
          <w:p>
            <w:pPr>
              <w:rPr>
                <w:rFonts w:ascii="Times New Roman" w:hAnsi="Times New Roman" w:cs="Times New Roman"/>
              </w:rPr>
            </w:pPr>
            <w:r>
              <w:rPr>
                <w:rFonts w:ascii="Times New Roman" w:hAnsi="Times New Roman" w:cs="Times New Roman"/>
              </w:rPr>
              <w:t>109 (98.2)</w:t>
            </w:r>
          </w:p>
        </w:tc>
        <w:tc>
          <w:tcPr>
            <w:tcW w:w="852" w:type="dxa"/>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261" w:type="dxa"/>
            <w:tcBorders>
              <w:bottom w:val="single" w:color="auto" w:sz="4" w:space="0"/>
            </w:tcBorders>
            <w:vAlign w:val="center"/>
          </w:tcPr>
          <w:p>
            <w:pPr>
              <w:jc w:val="left"/>
              <w:rPr>
                <w:rFonts w:ascii="Times New Roman" w:hAnsi="Times New Roman" w:cs="Times New Roman"/>
              </w:rPr>
            </w:pPr>
            <w:r>
              <w:rPr>
                <w:rFonts w:ascii="Times New Roman" w:hAnsi="Times New Roman" w:cs="Times New Roman"/>
              </w:rPr>
              <w:t>Plasma EBV DNA level, median (interquartile range), copies/mL§</w:t>
            </w:r>
          </w:p>
        </w:tc>
        <w:tc>
          <w:tcPr>
            <w:tcW w:w="2126"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4710 (1670-17900)</w:t>
            </w:r>
          </w:p>
        </w:tc>
        <w:tc>
          <w:tcPr>
            <w:tcW w:w="1985"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3670 (1150-27400)¶</w:t>
            </w:r>
          </w:p>
        </w:tc>
        <w:tc>
          <w:tcPr>
            <w:tcW w:w="852" w:type="dxa"/>
            <w:tcBorders>
              <w:bottom w:val="single" w:color="auto" w:sz="4" w:space="0"/>
            </w:tcBorders>
          </w:tcPr>
          <w:p>
            <w:pPr>
              <w:rPr>
                <w:rFonts w:ascii="Times New Roman" w:hAnsi="Times New Roman" w:cs="Times New Roman"/>
              </w:rPr>
            </w:pPr>
            <w:r>
              <w:rPr>
                <w:rFonts w:ascii="Times New Roman" w:hAnsi="Times New Roman" w:cs="Times New Roman"/>
              </w:rPr>
              <w:t>0.057</w:t>
            </w:r>
          </w:p>
        </w:tc>
      </w:tr>
    </w:tbl>
    <w:p>
      <w:pPr>
        <w:rPr>
          <w:rFonts w:ascii="Times New Roman" w:hAnsi="Times New Roman" w:cs="Times New Roman"/>
        </w:rPr>
      </w:pPr>
      <w:r>
        <w:rPr>
          <w:rFonts w:ascii="Times New Roman" w:hAnsi="Times New Roman" w:cs="Times New Roman"/>
        </w:rPr>
        <w:t>* Li WZ, Lv X, Hu D, et al. Effect of induction chemotherapy with paclitaxel, cisplatin, and capecitabine vs cisplatin and fluorouracil on failure-free survival for patients with stage IVA to IVB nasopharyngeal carcinoma: a multicenter phase 3 randomized clinical trial. JAMA oncology 2022;8:706-14.</w:t>
      </w:r>
    </w:p>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Eastern Cooperative Oncology Group (ECOG) performance-status scores range from 0 to 5, with higher scores indicating greater disability.</w:t>
      </w:r>
    </w:p>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Tumor category refer to the T stage according to the TNM staging system (American Joint Committee on Cancer, 8th edition).</w:t>
      </w:r>
    </w:p>
    <w:p>
      <w:pPr>
        <w:rPr>
          <w:rFonts w:ascii="Times New Roman" w:hAnsi="Times New Roman" w:cs="Times New Roman"/>
        </w:rPr>
      </w:pPr>
      <w:r>
        <w:rPr>
          <w:rFonts w:ascii="Times New Roman" w:hAnsi="Times New Roman" w:cs="Times New Roman"/>
        </w:rPr>
        <w:t xml:space="preserve">§ Shown are the data of </w:t>
      </w:r>
      <w:bookmarkStart w:id="25" w:name="_Hlk117725146"/>
      <w:r>
        <w:rPr>
          <w:rFonts w:ascii="Times New Roman" w:hAnsi="Times New Roman" w:cs="Times New Roman"/>
        </w:rPr>
        <w:t xml:space="preserve">pretreatment plasma Epstein-Barr virus (EBV) DNA level which were based on </w:t>
      </w:r>
      <w:bookmarkEnd w:id="25"/>
      <w:r>
        <w:rPr>
          <w:rFonts w:ascii="Times New Roman" w:hAnsi="Times New Roman" w:cs="Times New Roman"/>
        </w:rPr>
        <w:t>a lower limit of detection cutoff value of 1000 copies/mL.</w:t>
      </w:r>
    </w:p>
    <w:p>
      <w:pPr>
        <w:rPr>
          <w:rFonts w:ascii="Times New Roman" w:hAnsi="Times New Roman" w:cs="Times New Roman"/>
        </w:rPr>
      </w:pPr>
      <w:r>
        <w:rPr>
          <w:rFonts w:ascii="Times New Roman" w:hAnsi="Times New Roman" w:cs="Times New Roman"/>
        </w:rPr>
        <w:t>¶ Two patients’ pretreatment plasma EBV DNA level were unmeasured in historical cohort.</w:t>
      </w:r>
    </w:p>
    <w:p>
      <w:pPr>
        <w:widowControl/>
        <w:jc w:val="left"/>
        <w:rPr>
          <w:rFonts w:ascii="Arial" w:hAnsi="Arial" w:cs="Arial"/>
        </w:rPr>
      </w:pPr>
      <w:r>
        <w:rPr>
          <w:rFonts w:ascii="Arial" w:hAnsi="Arial" w:cs="Arial"/>
        </w:rPr>
        <w:br w:type="page"/>
      </w:r>
    </w:p>
    <w:p>
      <w:pPr>
        <w:pStyle w:val="3"/>
        <w:spacing w:line="240" w:lineRule="auto"/>
        <w:rPr>
          <w:rFonts w:ascii="Times New Roman" w:hAnsi="Times New Roman" w:cs="Times New Roman"/>
        </w:rPr>
      </w:pPr>
      <w:bookmarkStart w:id="26" w:name="_Toc118159972"/>
      <w:r>
        <w:rPr>
          <w:rFonts w:ascii="Times New Roman" w:hAnsi="Times New Roman" w:cs="Times New Roman"/>
        </w:rPr>
        <w:t>Supplemental Table S4. Compliance to induction chemotherapy.</w:t>
      </w:r>
      <w:bookmarkEnd w:id="26"/>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96"/>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09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Variable</w:t>
            </w:r>
          </w:p>
        </w:tc>
        <w:tc>
          <w:tcPr>
            <w:tcW w:w="212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No. (%) of patients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096" w:type="dxa"/>
            <w:tcBorders>
              <w:top w:val="single" w:color="auto" w:sz="4" w:space="0"/>
            </w:tcBorders>
            <w:vAlign w:val="center"/>
          </w:tcPr>
          <w:p>
            <w:pPr>
              <w:rPr>
                <w:rFonts w:ascii="Times New Roman" w:hAnsi="Times New Roman" w:cs="Times New Roman"/>
              </w:rPr>
            </w:pPr>
            <w:r>
              <w:rPr>
                <w:rFonts w:ascii="Times New Roman" w:hAnsi="Times New Roman" w:cs="Times New Roman"/>
              </w:rPr>
              <w:t>No. patients</w:t>
            </w:r>
            <w:bookmarkStart w:id="27" w:name="OLE_LINK5"/>
            <w:r>
              <w:rPr>
                <w:rFonts w:ascii="Times New Roman" w:hAnsi="Times New Roman" w:cs="Times New Roman"/>
              </w:rPr>
              <w:t xml:space="preserve"> evaluated</w:t>
            </w:r>
            <w:bookmarkEnd w:id="27"/>
          </w:p>
        </w:tc>
        <w:tc>
          <w:tcPr>
            <w:tcW w:w="2126" w:type="dxa"/>
            <w:tcBorders>
              <w:top w:val="single" w:color="auto" w:sz="4" w:space="0"/>
            </w:tcBorders>
            <w:vAlign w:val="center"/>
          </w:tcPr>
          <w:p>
            <w:pPr>
              <w:rPr>
                <w:rFonts w:ascii="Times New Roman" w:hAnsi="Times New Roman" w:cs="Times New Roman"/>
              </w:rPr>
            </w:pPr>
            <w:r>
              <w:rPr>
                <w:rFonts w:ascii="Times New Roman" w:hAnsi="Times New Roman" w:cs="Times New Roman"/>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completing at least two cycle IC, no. (%)</w:t>
            </w:r>
          </w:p>
        </w:tc>
        <w:tc>
          <w:tcPr>
            <w:tcW w:w="2126" w:type="dxa"/>
            <w:vAlign w:val="center"/>
          </w:tcPr>
          <w:p>
            <w:pPr>
              <w:rPr>
                <w:rFonts w:ascii="Times New Roman" w:hAnsi="Times New Roman" w:cs="Times New Roman"/>
              </w:rPr>
            </w:pPr>
            <w:r>
              <w:rPr>
                <w:rFonts w:ascii="Times New Roman" w:hAnsi="Times New Roman" w:cs="Times New Roman"/>
              </w:rPr>
              <w:t>49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completing three cycle IC, no. (%)</w:t>
            </w:r>
          </w:p>
        </w:tc>
        <w:tc>
          <w:tcPr>
            <w:tcW w:w="2126" w:type="dxa"/>
            <w:vAlign w:val="center"/>
          </w:tcPr>
          <w:p>
            <w:pPr>
              <w:rPr>
                <w:rFonts w:ascii="Times New Roman" w:hAnsi="Times New Roman" w:cs="Times New Roman"/>
              </w:rPr>
            </w:pPr>
            <w:r>
              <w:rPr>
                <w:rFonts w:ascii="Times New Roman" w:hAnsi="Times New Roman" w:cs="Times New Roman"/>
              </w:rPr>
              <w:t>49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hint="eastAsia" w:ascii="Times New Roman" w:hAnsi="Times New Roman" w:cs="Times New Roman"/>
              </w:rPr>
              <w:t>P</w:t>
            </w:r>
            <w:r>
              <w:rPr>
                <w:rFonts w:ascii="Times New Roman" w:hAnsi="Times New Roman" w:cs="Times New Roman"/>
              </w:rPr>
              <w:t>atients with dose reductions</w:t>
            </w:r>
          </w:p>
        </w:tc>
        <w:tc>
          <w:tcPr>
            <w:tcW w:w="2126" w:type="dxa"/>
            <w:vAlign w:val="center"/>
          </w:tcPr>
          <w:p>
            <w:pPr>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 xml:space="preserve"> (10.2)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Dose reductions of NAB-paclitaxel</w:t>
            </w:r>
          </w:p>
        </w:tc>
        <w:tc>
          <w:tcPr>
            <w:tcW w:w="2126" w:type="dxa"/>
            <w:vAlign w:val="center"/>
          </w:tcPr>
          <w:p>
            <w:pPr>
              <w:rPr>
                <w:rFonts w:ascii="Times New Roman" w:hAnsi="Times New Roman" w:cs="Times New Roman"/>
              </w:rPr>
            </w:pPr>
            <w:r>
              <w:rPr>
                <w:rFonts w:ascii="Times New Roman" w:hAnsi="Times New Roman" w:cs="Times New Roman"/>
              </w:rPr>
              <w:t>1 (2%)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096" w:type="dxa"/>
            <w:vAlign w:val="center"/>
          </w:tcPr>
          <w:p>
            <w:pPr>
              <w:ind w:left="210" w:leftChars="100"/>
              <w:rPr>
                <w:rFonts w:ascii="Times New Roman" w:hAnsi="Times New Roman" w:cs="Times New Roman"/>
              </w:rPr>
            </w:pPr>
            <w:bookmarkStart w:id="28" w:name="OLE_LINK7"/>
            <w:bookmarkStart w:id="29" w:name="OLE_LINK57"/>
            <w:r>
              <w:rPr>
                <w:rFonts w:ascii="Times New Roman" w:hAnsi="Times New Roman" w:cs="Times New Roman"/>
              </w:rPr>
              <w:t>Dose reductions of cisplatin</w:t>
            </w:r>
            <w:bookmarkEnd w:id="28"/>
          </w:p>
        </w:tc>
        <w:tc>
          <w:tcPr>
            <w:tcW w:w="2126" w:type="dxa"/>
            <w:vAlign w:val="center"/>
          </w:tcPr>
          <w:p>
            <w:pPr>
              <w:rPr>
                <w:rFonts w:ascii="Times New Roman" w:hAnsi="Times New Roman" w:cs="Times New Roman"/>
              </w:rPr>
            </w:pPr>
            <w:r>
              <w:rPr>
                <w:rFonts w:ascii="Times New Roman" w:hAnsi="Times New Roman" w:cs="Times New Roman"/>
              </w:rPr>
              <w:t>3 (6%)</w:t>
            </w:r>
          </w:p>
        </w:tc>
      </w:tr>
      <w:bookmarkEnd w:id="29"/>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Dose reductions of capecitabine</w:t>
            </w:r>
          </w:p>
        </w:tc>
        <w:tc>
          <w:tcPr>
            <w:tcW w:w="2126" w:type="dxa"/>
            <w:vAlign w:val="center"/>
          </w:tcPr>
          <w:p>
            <w:pPr>
              <w:rPr>
                <w:rFonts w:ascii="Times New Roman" w:hAnsi="Times New Roman" w:cs="Times New Roman"/>
              </w:rPr>
            </w:pPr>
            <w:r>
              <w:rPr>
                <w:rFonts w:ascii="Times New Roman" w:hAnsi="Times New Roman" w:cs="Times New Roman"/>
              </w:rPr>
              <w:t>4 (8%)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eason for dose modification,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hint="eastAsia" w:ascii="Times New Roman" w:hAnsi="Times New Roman" w:cs="Times New Roman"/>
              </w:rPr>
              <w:t>H</w:t>
            </w:r>
            <w:r>
              <w:rPr>
                <w:rFonts w:ascii="Times New Roman" w:hAnsi="Times New Roman" w:cs="Times New Roman"/>
              </w:rPr>
              <w:t>and-foot syndrome</w:t>
            </w:r>
          </w:p>
        </w:tc>
        <w:tc>
          <w:tcPr>
            <w:tcW w:w="2126" w:type="dxa"/>
            <w:vAlign w:val="center"/>
          </w:tcPr>
          <w:p>
            <w:pPr>
              <w:rPr>
                <w:rFonts w:ascii="Times New Roman" w:hAnsi="Times New Roman" w:cs="Times New Roman"/>
              </w:rPr>
            </w:pPr>
            <w:r>
              <w:rPr>
                <w:rFonts w:ascii="Times New Roman" w:hAnsi="Times New Roman" w:cs="Times New Roman"/>
              </w:rPr>
              <w:t>2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G</w:t>
            </w:r>
            <w:r>
              <w:rPr>
                <w:rFonts w:hint="eastAsia" w:ascii="Times New Roman" w:hAnsi="Times New Roman" w:cs="Times New Roman"/>
              </w:rPr>
              <w:t>astro</w:t>
            </w:r>
            <w:r>
              <w:rPr>
                <w:rFonts w:ascii="Times New Roman" w:hAnsi="Times New Roman" w:cs="Times New Roman"/>
              </w:rPr>
              <w:t>intestinal</w:t>
            </w:r>
          </w:p>
        </w:tc>
        <w:tc>
          <w:tcPr>
            <w:tcW w:w="2126" w:type="dxa"/>
            <w:vAlign w:val="center"/>
          </w:tcPr>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Thrombocytopenia</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with at least one cycle delay &gt; 3 days, no. (%)</w:t>
            </w:r>
          </w:p>
        </w:tc>
        <w:tc>
          <w:tcPr>
            <w:tcW w:w="2126" w:type="dxa"/>
            <w:vAlign w:val="center"/>
          </w:tcPr>
          <w:p>
            <w:pPr>
              <w:rPr>
                <w:rFonts w:ascii="Times New Roman" w:hAnsi="Times New Roman" w:cs="Times New Roman"/>
              </w:rPr>
            </w:pPr>
            <w:r>
              <w:rPr>
                <w:rFonts w:ascii="Times New Roman" w:hAnsi="Times New Roman" w:cs="Times New Roman"/>
              </w:rPr>
              <w:t>16 (33%)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with at least one cycle delay &gt; 7 days, no. (%)</w:t>
            </w:r>
          </w:p>
        </w:tc>
        <w:tc>
          <w:tcPr>
            <w:tcW w:w="2126" w:type="dxa"/>
            <w:vAlign w:val="center"/>
          </w:tcPr>
          <w:p>
            <w:pPr>
              <w:rPr>
                <w:rFonts w:ascii="Times New Roman" w:hAnsi="Times New Roman" w:cs="Times New Roman"/>
              </w:rPr>
            </w:pPr>
            <w:r>
              <w:rPr>
                <w:rFonts w:ascii="Times New Roman" w:hAnsi="Times New Roman" w:cs="Times New Roman"/>
              </w:rPr>
              <w:t>8 (16%)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Reason for delay,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Treatment-related adverse event</w:t>
            </w:r>
          </w:p>
        </w:tc>
        <w:tc>
          <w:tcPr>
            <w:tcW w:w="2126" w:type="dxa"/>
            <w:vAlign w:val="center"/>
          </w:tcPr>
          <w:p>
            <w:pPr>
              <w:rPr>
                <w:rFonts w:ascii="Times New Roman" w:hAnsi="Times New Roman" w:cs="Times New Roman"/>
              </w:rPr>
            </w:pPr>
            <w:r>
              <w:rPr>
                <w:rFonts w:ascii="Times New Roman" w:hAnsi="Times New Roman" w:cs="Times New Roman"/>
              </w:rPr>
              <w:t>5 (10%)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Other</w:t>
            </w:r>
            <w:r>
              <w:rPr>
                <w:rFonts w:ascii="Times New Roman" w:hAnsi="Times New Roman" w:cs="Times New Roman"/>
                <w:vertAlign w:val="superscript"/>
              </w:rPr>
              <w:t>*</w:t>
            </w:r>
          </w:p>
        </w:tc>
        <w:tc>
          <w:tcPr>
            <w:tcW w:w="2126" w:type="dxa"/>
            <w:vAlign w:val="center"/>
          </w:tcPr>
          <w:p>
            <w:pPr>
              <w:rPr>
                <w:rFonts w:ascii="Times New Roman" w:hAnsi="Times New Roman" w:cs="Times New Roman"/>
              </w:rPr>
            </w:pPr>
            <w:r>
              <w:rPr>
                <w:rFonts w:ascii="Times New Roman" w:hAnsi="Times New Roman" w:cs="Times New Roman"/>
              </w:rPr>
              <w:t>11 (22%)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Median (IQR) duration of IC (days)</w:t>
            </w:r>
          </w:p>
        </w:tc>
        <w:tc>
          <w:tcPr>
            <w:tcW w:w="2126" w:type="dxa"/>
            <w:vAlign w:val="center"/>
          </w:tcPr>
          <w:p>
            <w:pPr>
              <w:rPr>
                <w:rFonts w:ascii="Times New Roman" w:hAnsi="Times New Roman" w:cs="Times New Roman"/>
              </w:rPr>
            </w:pPr>
            <w:r>
              <w:rPr>
                <w:rFonts w:ascii="Times New Roman" w:hAnsi="Times New Roman" w:cs="Times New Roman"/>
              </w:rPr>
              <w:t>44 (42-49)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Median (IQR) interval between last day of IC and first day of RT (days)</w:t>
            </w:r>
          </w:p>
        </w:tc>
        <w:tc>
          <w:tcPr>
            <w:tcW w:w="2126" w:type="dxa"/>
            <w:vAlign w:val="center"/>
          </w:tcPr>
          <w:p>
            <w:pPr>
              <w:rPr>
                <w:rFonts w:ascii="Times New Roman" w:hAnsi="Times New Roman" w:cs="Times New Roman"/>
              </w:rPr>
            </w:pPr>
            <w:r>
              <w:rPr>
                <w:rFonts w:ascii="Times New Roman" w:hAnsi="Times New Roman" w:cs="Times New Roman"/>
              </w:rPr>
              <w:t>19 (16-23)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Median (IQR) interval between first day of IC to first day of RT (days)</w:t>
            </w:r>
          </w:p>
        </w:tc>
        <w:tc>
          <w:tcPr>
            <w:tcW w:w="2126" w:type="dxa"/>
            <w:tcBorders>
              <w:bottom w:val="single" w:color="auto" w:sz="4" w:space="0"/>
            </w:tcBorders>
            <w:vAlign w:val="center"/>
          </w:tcPr>
          <w:p>
            <w:pPr>
              <w:rPr>
                <w:rFonts w:ascii="Times New Roman" w:hAnsi="Times New Roman" w:cs="Times New Roman"/>
              </w:rPr>
            </w:pPr>
            <w:r>
              <w:rPr>
                <w:rFonts w:ascii="Times New Roman" w:hAnsi="Times New Roman" w:cs="Times New Roman"/>
              </w:rPr>
              <w:t>68 (64-72)</w:t>
            </w:r>
          </w:p>
        </w:tc>
      </w:tr>
    </w:tbl>
    <w:p>
      <w:pPr>
        <w:rPr>
          <w:rFonts w:ascii="Times New Roman" w:hAnsi="Times New Roman" w:cs="Times New Roman"/>
        </w:rPr>
      </w:pPr>
      <w:bookmarkStart w:id="30" w:name="OLE_LINK18"/>
      <w:r>
        <w:rPr>
          <w:rFonts w:ascii="Times New Roman" w:hAnsi="Times New Roman" w:cs="Times New Roman"/>
        </w:rPr>
        <w:t>IC = induction chemotherapy;</w:t>
      </w:r>
      <w:bookmarkEnd w:id="30"/>
      <w:r>
        <w:rPr>
          <w:rFonts w:ascii="Times New Roman" w:hAnsi="Times New Roman" w:cs="Times New Roman"/>
        </w:rPr>
        <w:t xml:space="preserve"> </w:t>
      </w:r>
      <w:bookmarkStart w:id="31" w:name="OLE_LINK11"/>
      <w:r>
        <w:rPr>
          <w:rFonts w:ascii="Times New Roman" w:hAnsi="Times New Roman" w:cs="Times New Roman"/>
        </w:rPr>
        <w:t xml:space="preserve">IQR = interquartile range; </w:t>
      </w:r>
      <w:bookmarkEnd w:id="31"/>
      <w:r>
        <w:rPr>
          <w:rFonts w:ascii="Times New Roman" w:hAnsi="Times New Roman" w:cs="Times New Roman"/>
        </w:rPr>
        <w:t>RT = radiotherapy.</w:t>
      </w:r>
    </w:p>
    <w:p>
      <w:pPr>
        <w:rPr>
          <w:rFonts w:ascii="Times New Roman" w:hAnsi="Times New Roman" w:cs="Times New Roman"/>
        </w:rPr>
      </w:pPr>
      <w:r>
        <w:rPr>
          <w:rFonts w:ascii="Times New Roman" w:hAnsi="Times New Roman" w:cs="Times New Roman"/>
        </w:rPr>
        <w:t>* Other reasons for treatment delays included logistics, personal reasons, or other non-treatment relative factors, i.e., COVID-19 epidemic prevention travel policy.</w:t>
      </w:r>
    </w:p>
    <w:p>
      <w:pPr>
        <w:widowControl/>
        <w:jc w:val="left"/>
        <w:rPr>
          <w:rFonts w:ascii="Arial" w:hAnsi="Arial" w:cs="Arial"/>
        </w:rPr>
      </w:pPr>
      <w:r>
        <w:rPr>
          <w:rFonts w:ascii="Arial" w:hAnsi="Arial" w:cs="Arial"/>
        </w:rPr>
        <w:br w:type="page"/>
      </w:r>
    </w:p>
    <w:p>
      <w:pPr>
        <w:pStyle w:val="3"/>
        <w:spacing w:line="240" w:lineRule="auto"/>
        <w:rPr>
          <w:rFonts w:ascii="Times New Roman" w:hAnsi="Times New Roman" w:cs="Times New Roman"/>
        </w:rPr>
      </w:pPr>
      <w:bookmarkStart w:id="32" w:name="_Toc118159973"/>
      <w:r>
        <w:rPr>
          <w:rFonts w:ascii="Times New Roman" w:hAnsi="Times New Roman" w:cs="Times New Roman"/>
        </w:rPr>
        <w:t>Supplemental Table S5. Compliance to camrelizumab and apatinib.</w:t>
      </w:r>
      <w:bookmarkEnd w:id="32"/>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96"/>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Variable</w:t>
            </w:r>
          </w:p>
        </w:tc>
        <w:tc>
          <w:tcPr>
            <w:tcW w:w="212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No. (%) of patients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top w:val="single" w:color="auto" w:sz="4" w:space="0"/>
            </w:tcBorders>
            <w:vAlign w:val="center"/>
          </w:tcPr>
          <w:p>
            <w:pPr>
              <w:rPr>
                <w:rFonts w:ascii="Times New Roman" w:hAnsi="Times New Roman" w:cs="Times New Roman"/>
              </w:rPr>
            </w:pPr>
            <w:r>
              <w:rPr>
                <w:rFonts w:ascii="Times New Roman" w:hAnsi="Times New Roman" w:cs="Times New Roman"/>
              </w:rPr>
              <w:t>No. patients evaluated</w:t>
            </w:r>
          </w:p>
        </w:tc>
        <w:tc>
          <w:tcPr>
            <w:tcW w:w="2126" w:type="dxa"/>
            <w:tcBorders>
              <w:top w:val="single" w:color="auto" w:sz="4" w:space="0"/>
            </w:tcBorders>
            <w:vAlign w:val="center"/>
          </w:tcPr>
          <w:p>
            <w:pPr>
              <w:rPr>
                <w:rFonts w:ascii="Times New Roman" w:hAnsi="Times New Roman" w:cs="Times New Roman"/>
              </w:rPr>
            </w:pPr>
            <w:r>
              <w:rPr>
                <w:rFonts w:ascii="Times New Roman" w:hAnsi="Times New Roman" w:cs="Times New Roman"/>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receiving camrelizumab, no. (%)</w:t>
            </w:r>
          </w:p>
        </w:tc>
        <w:tc>
          <w:tcPr>
            <w:tcW w:w="2126" w:type="dxa"/>
            <w:vAlign w:val="center"/>
          </w:tcPr>
          <w:p>
            <w:pPr>
              <w:rPr>
                <w:rFonts w:ascii="Times New Roman" w:hAnsi="Times New Roman" w:cs="Times New Roman"/>
              </w:rPr>
            </w:pPr>
            <w:r>
              <w:rPr>
                <w:rFonts w:ascii="Times New Roman" w:hAnsi="Times New Roman" w:cs="Times New Roman"/>
              </w:rPr>
              <w:t>49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Median (interquartile range) cycles of camrelizumab</w:t>
            </w:r>
          </w:p>
        </w:tc>
        <w:tc>
          <w:tcPr>
            <w:tcW w:w="2126" w:type="dxa"/>
            <w:vAlign w:val="center"/>
          </w:tcPr>
          <w:p>
            <w:pPr>
              <w:rPr>
                <w:rFonts w:ascii="Times New Roman" w:hAnsi="Times New Roman" w:cs="Times New Roman"/>
              </w:rPr>
            </w:pPr>
            <w:r>
              <w:rPr>
                <w:rFonts w:ascii="Times New Roman" w:hAnsi="Times New Roman" w:cs="Times New Roman"/>
              </w:rPr>
              <w:t>12 (9-16)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with dose interruptions</w:t>
            </w:r>
          </w:p>
        </w:tc>
        <w:tc>
          <w:tcPr>
            <w:tcW w:w="2126" w:type="dxa"/>
            <w:vAlign w:val="center"/>
          </w:tcPr>
          <w:p>
            <w:pPr>
              <w:rPr>
                <w:rFonts w:ascii="Times New Roman" w:hAnsi="Times New Roman" w:cs="Times New Roman"/>
              </w:rPr>
            </w:pPr>
            <w:r>
              <w:rPr>
                <w:rFonts w:ascii="Times New Roman" w:hAnsi="Times New Roman" w:cs="Times New Roman"/>
              </w:rPr>
              <w:t>22 (44.9)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eason for dose interruptions,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Disease recurrence</w:t>
            </w:r>
          </w:p>
        </w:tc>
        <w:tc>
          <w:tcPr>
            <w:tcW w:w="2126" w:type="dxa"/>
            <w:vAlign w:val="center"/>
          </w:tcPr>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eactive capillary endothelial proliferation</w:t>
            </w:r>
          </w:p>
        </w:tc>
        <w:tc>
          <w:tcPr>
            <w:tcW w:w="2126" w:type="dxa"/>
            <w:vAlign w:val="center"/>
          </w:tcPr>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Abnormal</w:t>
            </w:r>
            <w:r>
              <w:rPr>
                <w:rFonts w:ascii="Times New Roman" w:hAnsi="Times New Roman" w:cs="Times New Roman"/>
              </w:rPr>
              <w:t xml:space="preserve"> inflammatory cytokines</w:t>
            </w:r>
          </w:p>
        </w:tc>
        <w:tc>
          <w:tcPr>
            <w:tcW w:w="2126" w:type="dxa"/>
            <w:vAlign w:val="center"/>
          </w:tcPr>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Plasma cortisol abnormalities</w:t>
            </w:r>
          </w:p>
        </w:tc>
        <w:tc>
          <w:tcPr>
            <w:tcW w:w="2126" w:type="dxa"/>
            <w:vAlign w:val="center"/>
          </w:tcPr>
          <w:p>
            <w:pPr>
              <w:rPr>
                <w:rFonts w:ascii="Times New Roman" w:hAnsi="Times New Roman" w:cs="Times New Roman"/>
              </w:rPr>
            </w:pPr>
            <w:r>
              <w:rPr>
                <w:rFonts w:ascii="Times New Roman" w:hAnsi="Times New Roman" w:cs="Times New Roman"/>
              </w:rPr>
              <w:t>3 (6.1)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Hypothyroidism</w:t>
            </w:r>
          </w:p>
        </w:tc>
        <w:tc>
          <w:tcPr>
            <w:tcW w:w="2126" w:type="dxa"/>
            <w:vAlign w:val="center"/>
          </w:tcPr>
          <w:p>
            <w:pPr>
              <w:rPr>
                <w:rFonts w:ascii="Times New Roman" w:hAnsi="Times New Roman" w:cs="Times New Roman"/>
              </w:rPr>
            </w:pPr>
            <w:r>
              <w:rPr>
                <w:rFonts w:ascii="Times New Roman" w:hAnsi="Times New Roman" w:cs="Times New Roman"/>
              </w:rPr>
              <w:t>2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Rash/epidermal necrolysis-like skin reaction</w:t>
            </w:r>
          </w:p>
        </w:tc>
        <w:tc>
          <w:tcPr>
            <w:tcW w:w="2126" w:type="dxa"/>
            <w:vAlign w:val="center"/>
          </w:tcPr>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Thrombocytopenia</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A</w:t>
            </w:r>
            <w:r>
              <w:rPr>
                <w:rFonts w:ascii="Times New Roman" w:hAnsi="Times New Roman" w:cs="Times New Roman"/>
              </w:rPr>
              <w:t>nemia</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O</w:t>
            </w:r>
            <w:r>
              <w:rPr>
                <w:rFonts w:ascii="Times New Roman" w:hAnsi="Times New Roman" w:cs="Times New Roman"/>
              </w:rPr>
              <w:t>ther reasons</w:t>
            </w:r>
            <w:r>
              <w:rPr>
                <w:rFonts w:ascii="Times New Roman" w:hAnsi="Times New Roman" w:cs="Times New Roman"/>
                <w:vertAlign w:val="superscript"/>
              </w:rPr>
              <w:t>*</w:t>
            </w:r>
          </w:p>
        </w:tc>
        <w:tc>
          <w:tcPr>
            <w:tcW w:w="2126" w:type="dxa"/>
            <w:vAlign w:val="center"/>
          </w:tcPr>
          <w:p>
            <w:pPr>
              <w:rPr>
                <w:rFonts w:ascii="Times New Roman" w:hAnsi="Times New Roman" w:cs="Times New Roman"/>
              </w:rPr>
            </w:pPr>
            <w:r>
              <w:rPr>
                <w:rFonts w:hint="eastAsia" w:ascii="Times New Roman" w:hAnsi="Times New Roman" w:cs="Times New Roman"/>
              </w:rPr>
              <w:t>5</w:t>
            </w:r>
            <w:r>
              <w:rPr>
                <w:rFonts w:ascii="Times New Roman" w:hAnsi="Times New Roman" w:cs="Times New Roman"/>
              </w:rPr>
              <w:t xml:space="preserve"> (10.2)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receiving apatinib, no. (%)</w:t>
            </w:r>
          </w:p>
        </w:tc>
        <w:tc>
          <w:tcPr>
            <w:tcW w:w="2126" w:type="dxa"/>
            <w:vAlign w:val="center"/>
          </w:tcPr>
          <w:p>
            <w:pPr>
              <w:rPr>
                <w:rFonts w:ascii="Times New Roman" w:hAnsi="Times New Roman" w:cs="Times New Roman"/>
              </w:rPr>
            </w:pPr>
            <w:r>
              <w:rPr>
                <w:rFonts w:ascii="Times New Roman" w:hAnsi="Times New Roman" w:cs="Times New Roman"/>
              </w:rPr>
              <w:t>49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bookmarkStart w:id="33" w:name="OLE_LINK61"/>
            <w:bookmarkStart w:id="34" w:name="OLE_LINK59"/>
            <w:r>
              <w:rPr>
                <w:rFonts w:ascii="Times New Roman" w:hAnsi="Times New Roman" w:cs="Times New Roman"/>
              </w:rPr>
              <w:t xml:space="preserve">Median interquartile range) </w:t>
            </w:r>
            <w:bookmarkEnd w:id="33"/>
            <w:r>
              <w:rPr>
                <w:rFonts w:ascii="Times New Roman" w:hAnsi="Times New Roman" w:cs="Times New Roman"/>
              </w:rPr>
              <w:t>dose of apatinib (mg)</w:t>
            </w:r>
            <w:bookmarkEnd w:id="34"/>
          </w:p>
        </w:tc>
        <w:tc>
          <w:tcPr>
            <w:tcW w:w="2126" w:type="dxa"/>
            <w:vAlign w:val="center"/>
          </w:tcPr>
          <w:p>
            <w:pPr>
              <w:rPr>
                <w:rFonts w:ascii="Times New Roman" w:hAnsi="Times New Roman" w:cs="Times New Roman"/>
              </w:rPr>
            </w:pPr>
            <w:r>
              <w:rPr>
                <w:rFonts w:ascii="Times New Roman" w:hAnsi="Times New Roman" w:cs="Times New Roman"/>
              </w:rPr>
              <w:t>7500 (5000-10125</w:t>
            </w:r>
            <w:r>
              <w:rPr>
                <w:rFonts w:ascii="Times New Roman" w:hAnsi="Times New Roman" w:eastAsia="宋体" w:cs="Times New Roman"/>
                <w:vertAlign w:val="superscript"/>
              </w:rPr>
              <w:t>†</w:t>
            </w: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 xml:space="preserve">Patients </w:t>
            </w:r>
            <w:bookmarkStart w:id="35" w:name="OLE_LINK16"/>
            <w:r>
              <w:rPr>
                <w:rFonts w:ascii="Times New Roman" w:hAnsi="Times New Roman" w:cs="Times New Roman"/>
              </w:rPr>
              <w:t xml:space="preserve">receiving </w:t>
            </w:r>
            <w:bookmarkEnd w:id="35"/>
            <w:r>
              <w:rPr>
                <w:rFonts w:ascii="Times New Roman" w:hAnsi="Times New Roman" w:cs="Times New Roman"/>
              </w:rPr>
              <w:t>at least 3750 mg (one cycle dose)</w:t>
            </w:r>
          </w:p>
        </w:tc>
        <w:tc>
          <w:tcPr>
            <w:tcW w:w="2126" w:type="dxa"/>
            <w:vAlign w:val="center"/>
          </w:tcPr>
          <w:p>
            <w:pPr>
              <w:rPr>
                <w:rFonts w:ascii="Times New Roman" w:hAnsi="Times New Roman" w:cs="Times New Roman"/>
              </w:rPr>
            </w:pPr>
            <w:r>
              <w:rPr>
                <w:rFonts w:ascii="Times New Roman" w:hAnsi="Times New Roman" w:cs="Times New Roman"/>
              </w:rPr>
              <w:t>44 (89.8)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receiving at least 7500 mg (two cycle doses)</w:t>
            </w:r>
          </w:p>
        </w:tc>
        <w:tc>
          <w:tcPr>
            <w:tcW w:w="2126" w:type="dxa"/>
            <w:vAlign w:val="center"/>
          </w:tcPr>
          <w:p>
            <w:pPr>
              <w:rPr>
                <w:rFonts w:ascii="Times New Roman" w:hAnsi="Times New Roman" w:cs="Times New Roman"/>
              </w:rPr>
            </w:pPr>
            <w:r>
              <w:rPr>
                <w:rFonts w:ascii="Times New Roman" w:hAnsi="Times New Roman" w:cs="Times New Roman"/>
              </w:rPr>
              <w:t>34 (69.4)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receiving at least 10000 mg (three cycle doses)</w:t>
            </w:r>
            <w:bookmarkStart w:id="36" w:name="OLE_LINK95"/>
            <w:r>
              <w:rPr>
                <w:rFonts w:ascii="Times New Roman" w:hAnsi="Times New Roman" w:eastAsia="宋体" w:cs="Times New Roman"/>
              </w:rPr>
              <w:t xml:space="preserve"> </w:t>
            </w:r>
            <w:r>
              <w:rPr>
                <w:rFonts w:ascii="Times New Roman" w:hAnsi="Times New Roman" w:eastAsia="宋体" w:cs="Times New Roman"/>
                <w:vertAlign w:val="superscript"/>
              </w:rPr>
              <w:t>†</w:t>
            </w:r>
            <w:bookmarkEnd w:id="36"/>
          </w:p>
        </w:tc>
        <w:tc>
          <w:tcPr>
            <w:tcW w:w="2126" w:type="dxa"/>
            <w:vAlign w:val="center"/>
          </w:tcPr>
          <w:p>
            <w:pPr>
              <w:rPr>
                <w:rFonts w:ascii="Times New Roman" w:hAnsi="Times New Roman" w:cs="Times New Roman"/>
              </w:rPr>
            </w:pPr>
            <w:r>
              <w:rPr>
                <w:rFonts w:ascii="Times New Roman" w:hAnsi="Times New Roman" w:cs="Times New Roman"/>
              </w:rPr>
              <w:t>21 (42.9)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bookmarkStart w:id="37" w:name="OLE_LINK80"/>
            <w:r>
              <w:rPr>
                <w:rFonts w:ascii="Times New Roman" w:hAnsi="Times New Roman" w:cs="Times New Roman"/>
              </w:rPr>
              <w:t>Patients with dose interruptions of apatinib</w:t>
            </w:r>
            <w:bookmarkEnd w:id="37"/>
          </w:p>
        </w:tc>
        <w:tc>
          <w:tcPr>
            <w:tcW w:w="2126" w:type="dxa"/>
            <w:vAlign w:val="center"/>
          </w:tcPr>
          <w:p>
            <w:pPr>
              <w:rPr>
                <w:rFonts w:ascii="Times New Roman" w:hAnsi="Times New Roman" w:cs="Times New Roman"/>
              </w:rPr>
            </w:pPr>
            <w:r>
              <w:rPr>
                <w:rFonts w:ascii="Times New Roman" w:hAnsi="Times New Roman" w:cs="Times New Roman"/>
              </w:rPr>
              <w:t>26 (53.1)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eason for dose interruptions,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ash</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0 (20.6)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bookmarkStart w:id="38" w:name="OLE_LINK97"/>
            <w:r>
              <w:rPr>
                <w:rFonts w:hint="eastAsia" w:ascii="Times New Roman" w:hAnsi="Times New Roman" w:cs="Times New Roman"/>
              </w:rPr>
              <w:t>H</w:t>
            </w:r>
            <w:r>
              <w:rPr>
                <w:rFonts w:ascii="Times New Roman" w:hAnsi="Times New Roman" w:cs="Times New Roman"/>
              </w:rPr>
              <w:t>and-foot syndrome</w:t>
            </w:r>
            <w:bookmarkEnd w:id="38"/>
          </w:p>
        </w:tc>
        <w:tc>
          <w:tcPr>
            <w:tcW w:w="2126" w:type="dxa"/>
            <w:vAlign w:val="center"/>
          </w:tcPr>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N</w:t>
            </w:r>
            <w:r>
              <w:rPr>
                <w:rFonts w:ascii="Times New Roman" w:hAnsi="Times New Roman" w:cs="Times New Roman"/>
              </w:rPr>
              <w:t>asal bleeding</w:t>
            </w:r>
          </w:p>
        </w:tc>
        <w:tc>
          <w:tcPr>
            <w:tcW w:w="2126" w:type="dxa"/>
            <w:vAlign w:val="center"/>
          </w:tcPr>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ermatitis</w:t>
            </w:r>
          </w:p>
        </w:tc>
        <w:tc>
          <w:tcPr>
            <w:tcW w:w="2126" w:type="dxa"/>
            <w:vAlign w:val="center"/>
          </w:tcPr>
          <w:p>
            <w:pPr>
              <w:rPr>
                <w:rFonts w:ascii="Times New Roman" w:hAnsi="Times New Roman" w:cs="Times New Roman"/>
              </w:rPr>
            </w:pPr>
            <w:r>
              <w:rPr>
                <w:rFonts w:ascii="Times New Roman" w:hAnsi="Times New Roman" w:cs="Times New Roman"/>
              </w:rPr>
              <w:t>2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P</w:t>
            </w:r>
            <w:r>
              <w:rPr>
                <w:rFonts w:ascii="Times New Roman" w:hAnsi="Times New Roman" w:cs="Times New Roman"/>
              </w:rPr>
              <w:t>ruritus</w:t>
            </w:r>
          </w:p>
        </w:tc>
        <w:tc>
          <w:tcPr>
            <w:tcW w:w="2126" w:type="dxa"/>
            <w:vAlign w:val="center"/>
          </w:tcPr>
          <w:p>
            <w:pPr>
              <w:rPr>
                <w:rFonts w:ascii="Times New Roman" w:hAnsi="Times New Roman" w:cs="Times New Roman"/>
              </w:rPr>
            </w:pPr>
            <w:r>
              <w:rPr>
                <w:rFonts w:hint="eastAsia" w:ascii="Times New Roman" w:hAnsi="Times New Roman" w:cs="Times New Roman"/>
              </w:rPr>
              <w:t>2</w:t>
            </w:r>
            <w:r>
              <w:rPr>
                <w:rFonts w:ascii="Times New Roman" w:hAnsi="Times New Roman" w:cs="Times New Roman"/>
              </w:rPr>
              <w:t xml:space="preserve">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F</w:t>
            </w:r>
            <w:r>
              <w:rPr>
                <w:rFonts w:ascii="Times New Roman" w:hAnsi="Times New Roman" w:cs="Times New Roman"/>
              </w:rPr>
              <w:t>atigue</w:t>
            </w:r>
          </w:p>
        </w:tc>
        <w:tc>
          <w:tcPr>
            <w:tcW w:w="2126" w:type="dxa"/>
            <w:vAlign w:val="center"/>
          </w:tcPr>
          <w:p>
            <w:pPr>
              <w:rPr>
                <w:rFonts w:ascii="Times New Roman" w:hAnsi="Times New Roman" w:cs="Times New Roman"/>
              </w:rPr>
            </w:pPr>
            <w:r>
              <w:rPr>
                <w:rFonts w:hint="eastAsia" w:ascii="Times New Roman" w:hAnsi="Times New Roman" w:cs="Times New Roman"/>
              </w:rPr>
              <w:t>1</w:t>
            </w:r>
            <w:bookmarkStart w:id="39" w:name="OLE_LINK94"/>
            <w:r>
              <w:rPr>
                <w:rFonts w:ascii="Times New Roman" w:hAnsi="Times New Roman" w:cs="Times New Roman"/>
              </w:rPr>
              <w:t xml:space="preserve"> (2.0)</w:t>
            </w:r>
            <w:bookmarkEnd w:id="39"/>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D</w:t>
            </w:r>
            <w:r>
              <w:rPr>
                <w:rFonts w:ascii="Times New Roman" w:hAnsi="Times New Roman" w:cs="Times New Roman"/>
              </w:rPr>
              <w:t>iarrhea</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V</w:t>
            </w:r>
            <w:r>
              <w:rPr>
                <w:rFonts w:ascii="Times New Roman" w:hAnsi="Times New Roman" w:cs="Times New Roman"/>
              </w:rPr>
              <w:t>omit</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Increased blood pressure</w:t>
            </w:r>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bookmarkStart w:id="40" w:name="OLE_LINK98"/>
            <w:r>
              <w:rPr>
                <w:rFonts w:ascii="Times New Roman" w:hAnsi="Times New Roman" w:cs="Times New Roman"/>
              </w:rPr>
              <w:t>Thrombocytopenia</w:t>
            </w:r>
            <w:bookmarkEnd w:id="40"/>
          </w:p>
        </w:tc>
        <w:tc>
          <w:tcPr>
            <w:tcW w:w="2126" w:type="dxa"/>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Other reasons</w:t>
            </w:r>
            <w:r>
              <w:rPr>
                <w:rFonts w:ascii="Times New Roman" w:hAnsi="Times New Roman" w:cs="Times New Roman"/>
                <w:vertAlign w:val="superscript"/>
              </w:rPr>
              <w:t>*</w:t>
            </w:r>
          </w:p>
        </w:tc>
        <w:tc>
          <w:tcPr>
            <w:tcW w:w="2126" w:type="dxa"/>
            <w:vAlign w:val="center"/>
          </w:tcPr>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with dose reduction of apatinib</w:t>
            </w:r>
          </w:p>
        </w:tc>
        <w:tc>
          <w:tcPr>
            <w:tcW w:w="2126" w:type="dxa"/>
            <w:vAlign w:val="center"/>
          </w:tcPr>
          <w:p>
            <w:pPr>
              <w:rPr>
                <w:rFonts w:ascii="Times New Roman" w:hAnsi="Times New Roman" w:cs="Times New Roman"/>
              </w:rPr>
            </w:pPr>
            <w:r>
              <w:rPr>
                <w:rFonts w:ascii="Times New Roman" w:hAnsi="Times New Roman" w:cs="Times New Roman"/>
              </w:rPr>
              <w:t>3 (6.1)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eason for dose reduction,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ash</w:t>
            </w:r>
          </w:p>
        </w:tc>
        <w:tc>
          <w:tcPr>
            <w:tcW w:w="2126" w:type="dxa"/>
            <w:vAlign w:val="center"/>
          </w:tcPr>
          <w:p>
            <w:pPr>
              <w:rPr>
                <w:rFonts w:ascii="Times New Roman" w:hAnsi="Times New Roman" w:cs="Times New Roman"/>
              </w:rPr>
            </w:pPr>
            <w:r>
              <w:rPr>
                <w:rFonts w:ascii="Times New Roman" w:hAnsi="Times New Roman" w:cs="Times New Roman"/>
              </w:rPr>
              <w:t>2 (4.1)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bottom w:val="single" w:color="auto" w:sz="4" w:space="0"/>
            </w:tcBorders>
            <w:vAlign w:val="center"/>
          </w:tcPr>
          <w:p>
            <w:pPr>
              <w:ind w:left="420" w:leftChars="200"/>
              <w:rPr>
                <w:rFonts w:ascii="Times New Roman" w:hAnsi="Times New Roman" w:cs="Times New Roman"/>
              </w:rPr>
            </w:pPr>
            <w:r>
              <w:rPr>
                <w:rFonts w:hint="eastAsia" w:ascii="Times New Roman" w:hAnsi="Times New Roman" w:cs="Times New Roman"/>
              </w:rPr>
              <w:t>H</w:t>
            </w:r>
            <w:r>
              <w:rPr>
                <w:rFonts w:ascii="Times New Roman" w:hAnsi="Times New Roman" w:cs="Times New Roman"/>
              </w:rPr>
              <w:t>and-foot syndrome</w:t>
            </w:r>
          </w:p>
        </w:tc>
        <w:tc>
          <w:tcPr>
            <w:tcW w:w="2126" w:type="dxa"/>
            <w:tcBorders>
              <w:bottom w:val="single" w:color="auto" w:sz="4" w:space="0"/>
            </w:tcBorders>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(2.0)</w:t>
            </w:r>
          </w:p>
        </w:tc>
      </w:tr>
    </w:tbl>
    <w:p>
      <w:pPr>
        <w:rPr>
          <w:rFonts w:ascii="Times New Roman" w:hAnsi="Times New Roman" w:cs="Times New Roman"/>
        </w:rPr>
      </w:pPr>
      <w:r>
        <w:rPr>
          <w:rFonts w:ascii="Times New Roman" w:hAnsi="Times New Roman" w:cs="Times New Roman"/>
        </w:rPr>
        <w:t>* Other reasons for treatment delays included logistics, personal reasons, or other non-treatment relative factors, i.e., COVID-19 epidemic prevention travel policy.</w:t>
      </w:r>
    </w:p>
    <w:p>
      <w:pPr>
        <w:rPr>
          <w:rFonts w:ascii="Arial" w:hAnsi="Arial" w:cs="Arial"/>
        </w:rPr>
      </w:pPr>
      <w:r>
        <w:rPr>
          <w:rFonts w:ascii="Times New Roman" w:hAnsi="Times New Roman" w:eastAsia="宋体" w:cs="Times New Roman"/>
        </w:rPr>
        <w:t>†</w:t>
      </w:r>
      <w:r>
        <w:rPr>
          <w:rFonts w:ascii="Times New Roman" w:hAnsi="Times New Roman" w:cs="Times New Roman"/>
        </w:rPr>
        <w:t xml:space="preserve"> At the beginning of the study, the initial dose of apatinib was 250 mg daily from day 1 to day 56; from patient #26, with the protocol modification, the initial dose of apatinib adjusted with 250 mg once per day with 5 days on and 2 days off in second (final) version protocol for total 8 weeks (It was recommended that patients stopped apatinib at least 7 days before starting IMRT).</w:t>
      </w:r>
      <w:r>
        <w:rPr>
          <w:rFonts w:ascii="Arial" w:hAnsi="Arial" w:cs="Arial"/>
        </w:rPr>
        <w:br w:type="page"/>
      </w:r>
    </w:p>
    <w:p>
      <w:pPr>
        <w:pStyle w:val="3"/>
        <w:spacing w:line="240" w:lineRule="auto"/>
        <w:rPr>
          <w:rFonts w:ascii="Times New Roman" w:hAnsi="Times New Roman" w:cs="Times New Roman"/>
        </w:rPr>
      </w:pPr>
      <w:bookmarkStart w:id="41" w:name="_Toc118159974"/>
      <w:r>
        <w:rPr>
          <w:rFonts w:ascii="Times New Roman" w:hAnsi="Times New Roman" w:cs="Times New Roman"/>
        </w:rPr>
        <w:t>Supplemental Table S6. Compliance to concurrent cisplatin chemotherapy and radiotherapy.</w:t>
      </w:r>
      <w:bookmarkEnd w:id="41"/>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96"/>
        <w:gridCol w:w="2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Variable</w:t>
            </w:r>
          </w:p>
        </w:tc>
        <w:tc>
          <w:tcPr>
            <w:tcW w:w="2126" w:type="dxa"/>
            <w:tcBorders>
              <w:top w:val="single" w:color="auto" w:sz="4" w:space="0"/>
              <w:bottom w:val="single" w:color="auto" w:sz="4" w:space="0"/>
            </w:tcBorders>
            <w:vAlign w:val="center"/>
          </w:tcPr>
          <w:p>
            <w:pPr>
              <w:rPr>
                <w:rFonts w:ascii="Times New Roman" w:hAnsi="Times New Roman" w:cs="Times New Roman"/>
              </w:rPr>
            </w:pPr>
            <w:r>
              <w:rPr>
                <w:rFonts w:ascii="Times New Roman" w:hAnsi="Times New Roman" w:cs="Times New Roman"/>
              </w:rPr>
              <w:t>No. (%) of patients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top w:val="single" w:color="auto" w:sz="4" w:space="0"/>
            </w:tcBorders>
            <w:vAlign w:val="center"/>
          </w:tcPr>
          <w:p>
            <w:pPr>
              <w:rPr>
                <w:rFonts w:ascii="Times New Roman" w:hAnsi="Times New Roman" w:cs="Times New Roman"/>
              </w:rPr>
            </w:pPr>
            <w:r>
              <w:rPr>
                <w:rFonts w:ascii="Times New Roman" w:hAnsi="Times New Roman" w:cs="Times New Roman"/>
              </w:rPr>
              <w:t>No. patients evaluated</w:t>
            </w:r>
          </w:p>
        </w:tc>
        <w:tc>
          <w:tcPr>
            <w:tcW w:w="2126" w:type="dxa"/>
            <w:tcBorders>
              <w:top w:val="single" w:color="auto" w:sz="4" w:space="0"/>
            </w:tcBorders>
            <w:vAlign w:val="center"/>
          </w:tcPr>
          <w:p>
            <w:pPr>
              <w:rPr>
                <w:rFonts w:ascii="Times New Roman" w:hAnsi="Times New Roman" w:cs="Times New Roman"/>
              </w:rPr>
            </w:pPr>
            <w:r>
              <w:rPr>
                <w:rFonts w:ascii="Times New Roman" w:hAnsi="Times New Roman" w:cs="Times New Roman"/>
              </w:rPr>
              <w:t>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receiving RT, no. (%)</w:t>
            </w:r>
          </w:p>
        </w:tc>
        <w:tc>
          <w:tcPr>
            <w:tcW w:w="2126" w:type="dxa"/>
            <w:vAlign w:val="center"/>
          </w:tcPr>
          <w:p>
            <w:pPr>
              <w:rPr>
                <w:rFonts w:ascii="Times New Roman" w:hAnsi="Times New Roman" w:cs="Times New Roman"/>
              </w:rPr>
            </w:pPr>
            <w:r>
              <w:rPr>
                <w:rFonts w:ascii="Times New Roman" w:hAnsi="Times New Roman" w:cs="Times New Roma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completing RT, no. (%)</w:t>
            </w:r>
          </w:p>
        </w:tc>
        <w:tc>
          <w:tcPr>
            <w:tcW w:w="2126" w:type="dxa"/>
            <w:vAlign w:val="center"/>
          </w:tcPr>
          <w:p>
            <w:pPr>
              <w:rPr>
                <w:rFonts w:ascii="Times New Roman" w:hAnsi="Times New Roman" w:cs="Times New Roman"/>
              </w:rPr>
            </w:pPr>
            <w:r>
              <w:rPr>
                <w:rFonts w:ascii="Times New Roman" w:hAnsi="Times New Roman" w:cs="Times New Roman"/>
              </w:rPr>
              <w:t>47 (98%)</w:t>
            </w:r>
            <w:r>
              <w:rPr>
                <w:rFonts w:ascii="Times New Roman" w:hAnsi="Times New Roman" w:cs="Times New Roman"/>
                <w:vertAlign w:val="superscript"/>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Median (IQR) dose of RT (Gy)</w:t>
            </w:r>
          </w:p>
        </w:tc>
        <w:tc>
          <w:tcPr>
            <w:tcW w:w="2126" w:type="dxa"/>
            <w:vAlign w:val="center"/>
          </w:tcPr>
          <w:p>
            <w:pPr>
              <w:rPr>
                <w:rFonts w:ascii="Times New Roman" w:hAnsi="Times New Roman" w:cs="Times New Roman"/>
              </w:rPr>
            </w:pPr>
            <w:r>
              <w:rPr>
                <w:rFonts w:ascii="Times New Roman" w:hAnsi="Times New Roman" w:cs="Times New Roman"/>
              </w:rPr>
              <w:t>6930 (6900-6990)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Median (IQR) fraction</w:t>
            </w:r>
          </w:p>
        </w:tc>
        <w:tc>
          <w:tcPr>
            <w:tcW w:w="2126" w:type="dxa"/>
            <w:vAlign w:val="center"/>
          </w:tcPr>
          <w:p>
            <w:pPr>
              <w:rPr>
                <w:rFonts w:ascii="Times New Roman" w:hAnsi="Times New Roman" w:cs="Times New Roman"/>
              </w:rPr>
            </w:pPr>
            <w:r>
              <w:rPr>
                <w:rFonts w:ascii="Times New Roman" w:hAnsi="Times New Roman" w:cs="Times New Roman"/>
              </w:rPr>
              <w:t>30 (30-32)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Median (IQR) dose per fraction (Gy)</w:t>
            </w:r>
          </w:p>
        </w:tc>
        <w:tc>
          <w:tcPr>
            <w:tcW w:w="2126" w:type="dxa"/>
            <w:vAlign w:val="center"/>
          </w:tcPr>
          <w:p>
            <w:pPr>
              <w:rPr>
                <w:rFonts w:ascii="Times New Roman" w:hAnsi="Times New Roman" w:cs="Times New Roman"/>
              </w:rPr>
            </w:pPr>
            <w:r>
              <w:rPr>
                <w:rFonts w:ascii="Times New Roman" w:hAnsi="Times New Roman" w:cs="Times New Roman"/>
              </w:rPr>
              <w:t>2.30 (2.16-2.33)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Median (IQR) duration of RT (days)</w:t>
            </w:r>
          </w:p>
        </w:tc>
        <w:tc>
          <w:tcPr>
            <w:tcW w:w="2126" w:type="dxa"/>
            <w:vAlign w:val="center"/>
          </w:tcPr>
          <w:p>
            <w:pPr>
              <w:rPr>
                <w:rFonts w:ascii="Times New Roman" w:hAnsi="Times New Roman" w:cs="Times New Roman"/>
              </w:rPr>
            </w:pPr>
            <w:r>
              <w:rPr>
                <w:rFonts w:ascii="Times New Roman" w:hAnsi="Times New Roman" w:cs="Times New Roman"/>
              </w:rPr>
              <w:t>44 (42-46)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rPr>
                <w:rFonts w:ascii="Times New Roman" w:hAnsi="Times New Roman" w:cs="Times New Roman"/>
              </w:rPr>
            </w:pPr>
            <w:r>
              <w:rPr>
                <w:rFonts w:ascii="Times New Roman" w:hAnsi="Times New Roman" w:cs="Times New Roman"/>
              </w:rPr>
              <w:t>Patients starting concurrent cisplatin, no. (%)</w:t>
            </w:r>
          </w:p>
        </w:tc>
        <w:tc>
          <w:tcPr>
            <w:tcW w:w="2126" w:type="dxa"/>
            <w:vAlign w:val="center"/>
          </w:tcPr>
          <w:p>
            <w:pPr>
              <w:rPr>
                <w:rFonts w:ascii="Times New Roman" w:hAnsi="Times New Roman" w:cs="Times New Roman"/>
              </w:rPr>
            </w:pPr>
            <w:r>
              <w:rPr>
                <w:rFonts w:ascii="Times New Roman" w:hAnsi="Times New Roman" w:cs="Times New Roma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completing at least one cycles CC, no. (%)</w:t>
            </w:r>
          </w:p>
        </w:tc>
        <w:tc>
          <w:tcPr>
            <w:tcW w:w="2126" w:type="dxa"/>
            <w:vAlign w:val="center"/>
          </w:tcPr>
          <w:p>
            <w:pPr>
              <w:rPr>
                <w:rFonts w:ascii="Times New Roman" w:hAnsi="Times New Roman" w:cs="Times New Roman"/>
              </w:rPr>
            </w:pPr>
            <w:r>
              <w:rPr>
                <w:rFonts w:ascii="Times New Roman" w:hAnsi="Times New Roman" w:cs="Times New Roman"/>
              </w:rPr>
              <w:t>48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ascii="Times New Roman" w:hAnsi="Times New Roman" w:cs="Times New Roman"/>
              </w:rPr>
              <w:t>Patients completing two cycles CC, no. (%)</w:t>
            </w:r>
          </w:p>
        </w:tc>
        <w:tc>
          <w:tcPr>
            <w:tcW w:w="2126" w:type="dxa"/>
            <w:vAlign w:val="center"/>
          </w:tcPr>
          <w:p>
            <w:pPr>
              <w:rPr>
                <w:rFonts w:ascii="Times New Roman" w:hAnsi="Times New Roman" w:cs="Times New Roman"/>
              </w:rPr>
            </w:pPr>
            <w:r>
              <w:rPr>
                <w:rFonts w:ascii="Times New Roman" w:hAnsi="Times New Roman" w:cs="Times New Roman"/>
              </w:rPr>
              <w:t>41 (85%)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eason for discontinuation,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 xml:space="preserve">Refused </w:t>
            </w:r>
          </w:p>
        </w:tc>
        <w:tc>
          <w:tcPr>
            <w:tcW w:w="2126" w:type="dxa"/>
            <w:vAlign w:val="center"/>
          </w:tcPr>
          <w:p>
            <w:pPr>
              <w:rPr>
                <w:rFonts w:ascii="Times New Roman" w:hAnsi="Times New Roman" w:cs="Times New Roman"/>
              </w:rPr>
            </w:pPr>
            <w:r>
              <w:rPr>
                <w:rFonts w:ascii="Times New Roman" w:hAnsi="Times New Roman" w:cs="Times New Roman"/>
              </w:rPr>
              <w:t>4 (8.3)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hint="eastAsia" w:ascii="Times New Roman" w:hAnsi="Times New Roman" w:cs="Times New Roman"/>
              </w:rPr>
              <w:t>N</w:t>
            </w:r>
            <w:r>
              <w:rPr>
                <w:rFonts w:ascii="Times New Roman" w:hAnsi="Times New Roman" w:cs="Times New Roman"/>
              </w:rPr>
              <w:t>on-hematological</w:t>
            </w:r>
          </w:p>
        </w:tc>
        <w:tc>
          <w:tcPr>
            <w:tcW w:w="2126" w:type="dxa"/>
            <w:vAlign w:val="center"/>
          </w:tcPr>
          <w:p>
            <w:pPr>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 xml:space="preserve"> (6.3)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bookmarkStart w:id="42" w:name="_Hlk105969975"/>
            <w:r>
              <w:rPr>
                <w:rFonts w:ascii="Times New Roman" w:hAnsi="Times New Roman" w:cs="Times New Roman"/>
              </w:rPr>
              <w:t>Patients with dose reductions of concurrent cisplatin, no. (%)</w:t>
            </w:r>
          </w:p>
        </w:tc>
        <w:tc>
          <w:tcPr>
            <w:tcW w:w="2126" w:type="dxa"/>
            <w:vAlign w:val="center"/>
          </w:tcPr>
          <w:p>
            <w:pPr>
              <w:rPr>
                <w:rFonts w:ascii="Times New Roman" w:hAnsi="Times New Roman" w:cs="Times New Roman"/>
              </w:rPr>
            </w:pPr>
            <w:r>
              <w:rPr>
                <w:rFonts w:ascii="Times New Roman" w:hAnsi="Times New Roman" w:cs="Times New Roman"/>
              </w:rPr>
              <w:t>2 (4%)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210" w:leftChars="100"/>
              <w:rPr>
                <w:rFonts w:ascii="Times New Roman" w:hAnsi="Times New Roman" w:cs="Times New Roman"/>
              </w:rPr>
            </w:pPr>
            <w:r>
              <w:rPr>
                <w:rFonts w:hint="eastAsia" w:ascii="Times New Roman" w:hAnsi="Times New Roman" w:cs="Times New Roman"/>
              </w:rPr>
              <w:t>R</w:t>
            </w:r>
            <w:r>
              <w:rPr>
                <w:rFonts w:ascii="Times New Roman" w:hAnsi="Times New Roman" w:cs="Times New Roman"/>
              </w:rPr>
              <w:t>eason for dose reductions, no. (%)</w:t>
            </w:r>
          </w:p>
        </w:tc>
        <w:tc>
          <w:tcPr>
            <w:tcW w:w="2126" w:type="dxa"/>
            <w:vAlign w:val="center"/>
          </w:tcPr>
          <w:p>
            <w:pPr>
              <w:rPr>
                <w:rFonts w:ascii="Times New Roman" w:hAnsi="Times New Roman" w:cs="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vAlign w:val="center"/>
          </w:tcPr>
          <w:p>
            <w:pPr>
              <w:ind w:left="420" w:leftChars="200"/>
              <w:rPr>
                <w:rFonts w:ascii="Times New Roman" w:hAnsi="Times New Roman" w:cs="Times New Roman"/>
              </w:rPr>
            </w:pPr>
            <w:r>
              <w:rPr>
                <w:rFonts w:ascii="Times New Roman" w:hAnsi="Times New Roman" w:cs="Times New Roman"/>
              </w:rPr>
              <w:t>Both hematological and non-hematological</w:t>
            </w:r>
          </w:p>
        </w:tc>
        <w:tc>
          <w:tcPr>
            <w:tcW w:w="2126" w:type="dxa"/>
            <w:vAlign w:val="center"/>
          </w:tcPr>
          <w:p>
            <w:pPr>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bottom w:val="single" w:color="auto" w:sz="4" w:space="0"/>
            </w:tcBorders>
            <w:vAlign w:val="center"/>
          </w:tcPr>
          <w:p>
            <w:pPr>
              <w:ind w:left="420" w:leftChars="200"/>
              <w:rPr>
                <w:rFonts w:ascii="Times New Roman" w:hAnsi="Times New Roman" w:cs="Times New Roman"/>
              </w:rPr>
            </w:pPr>
            <w:r>
              <w:rPr>
                <w:rFonts w:hint="eastAsia" w:ascii="Times New Roman" w:hAnsi="Times New Roman" w:cs="Times New Roman"/>
              </w:rPr>
              <w:t>N</w:t>
            </w:r>
            <w:r>
              <w:rPr>
                <w:rFonts w:ascii="Times New Roman" w:hAnsi="Times New Roman" w:cs="Times New Roman"/>
              </w:rPr>
              <w:t>on-hematological</w:t>
            </w:r>
          </w:p>
        </w:tc>
        <w:tc>
          <w:tcPr>
            <w:tcW w:w="2126" w:type="dxa"/>
            <w:tcBorders>
              <w:bottom w:val="single" w:color="auto" w:sz="4" w:space="0"/>
            </w:tcBorders>
            <w:vAlign w:val="center"/>
          </w:tcPr>
          <w:p>
            <w:pPr>
              <w:rPr>
                <w:rFonts w:ascii="Times New Roman" w:hAnsi="Times New Roman" w:cs="Times New Roman"/>
              </w:rPr>
            </w:pPr>
            <w:r>
              <w:rPr>
                <w:rFonts w:hint="eastAsia" w:ascii="Times New Roman" w:hAnsi="Times New Roman" w:cs="Times New Roman"/>
              </w:rPr>
              <w:t>1</w:t>
            </w:r>
            <w:r>
              <w:rPr>
                <w:rFonts w:ascii="Times New Roman" w:hAnsi="Times New Roman" w:cs="Times New Roman"/>
              </w:rPr>
              <w:t xml:space="preserve"> (2.1)</w:t>
            </w:r>
          </w:p>
        </w:tc>
      </w:tr>
      <w:bookmarkEnd w:id="42"/>
    </w:tbl>
    <w:p>
      <w:pPr>
        <w:rPr>
          <w:rFonts w:ascii="Times New Roman" w:hAnsi="Times New Roman" w:cs="Times New Roman"/>
        </w:rPr>
      </w:pPr>
      <w:r>
        <w:rPr>
          <w:rFonts w:ascii="Times New Roman" w:hAnsi="Times New Roman" w:cs="Times New Roman"/>
        </w:rPr>
        <w:t>CC = concurrent chemotherapy; IQR = interquartile range; RT = radiotherapy.</w:t>
      </w:r>
    </w:p>
    <w:p>
      <w:pPr>
        <w:rPr>
          <w:rFonts w:ascii="Times New Roman" w:hAnsi="Times New Roman" w:cs="Times New Roman"/>
        </w:rPr>
      </w:pPr>
      <w:r>
        <w:rPr>
          <w:rFonts w:ascii="Times New Roman" w:hAnsi="Times New Roman" w:cs="Times New Roman"/>
        </w:rPr>
        <w:t xml:space="preserve">* One patient </w:t>
      </w:r>
      <w:bookmarkStart w:id="43" w:name="OLE_LINK12"/>
      <w:r>
        <w:rPr>
          <w:rFonts w:ascii="Times New Roman" w:hAnsi="Times New Roman" w:cs="Times New Roman"/>
        </w:rPr>
        <w:t>whose radiotherapy was interrupted prematurely after receiving 9 fractions because of personal reason.</w:t>
      </w:r>
      <w:bookmarkEnd w:id="43"/>
    </w:p>
    <w:p>
      <w:pPr>
        <w:widowControl/>
        <w:jc w:val="left"/>
        <w:rPr>
          <w:rFonts w:ascii="Arial" w:hAnsi="Arial" w:cs="Arial"/>
        </w:rPr>
      </w:pPr>
      <w:r>
        <w:rPr>
          <w:rFonts w:ascii="Arial" w:hAnsi="Arial" w:cs="Arial"/>
        </w:rPr>
        <w:br w:type="page"/>
      </w:r>
    </w:p>
    <w:p>
      <w:bookmarkStart w:id="44" w:name="_Toc118159975"/>
      <w:r>
        <w:rPr>
          <w:rStyle w:val="18"/>
          <w:rFonts w:ascii="Times New Roman" w:hAnsi="Times New Roman" w:cs="Times New Roman"/>
        </w:rPr>
        <w:t>Supplemental Table S7. Plasma EBV DNA clearance information.</w:t>
      </w:r>
      <w:bookmarkEnd w:id="44"/>
      <w:r>
        <w:rPr>
          <w:rFonts w:ascii="Times New Roman" w:hAnsi="Times New Roman" w:cs="Times New Roman"/>
          <w:b/>
          <w:bCs/>
        </w:rPr>
        <w:t>*</w:t>
      </w:r>
    </w:p>
    <w:tbl>
      <w:tblPr>
        <w:tblStyle w:val="11"/>
        <w:tblW w:w="878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096"/>
        <w:gridCol w:w="2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top w:val="single" w:color="auto" w:sz="4" w:space="0"/>
              <w:bottom w:val="single" w:color="auto" w:sz="4" w:space="0"/>
            </w:tcBorders>
            <w:vAlign w:val="center"/>
          </w:tcPr>
          <w:p>
            <w:pPr>
              <w:widowControl/>
              <w:jc w:val="left"/>
              <w:rPr>
                <w:rFonts w:ascii="Times New Roman" w:hAnsi="Times New Roman" w:cs="Times New Roman"/>
              </w:rPr>
            </w:pPr>
          </w:p>
        </w:tc>
        <w:tc>
          <w:tcPr>
            <w:tcW w:w="2693" w:type="dxa"/>
            <w:tcBorders>
              <w:top w:val="single" w:color="auto" w:sz="4" w:space="0"/>
              <w:bottom w:val="single" w:color="auto" w:sz="4" w:space="0"/>
            </w:tcBorders>
            <w:vAlign w:val="center"/>
          </w:tcPr>
          <w:p>
            <w:pPr>
              <w:widowControl/>
              <w:jc w:val="left"/>
              <w:rPr>
                <w:rFonts w:ascii="Times New Roman" w:hAnsi="Times New Roman" w:cs="Times New Roman"/>
              </w:rPr>
            </w:pPr>
            <w:r>
              <w:rPr>
                <w:rFonts w:ascii="Times New Roman" w:hAnsi="Times New Roman" w:cs="Times New Roman"/>
              </w:rPr>
              <w:t>No. (%) of patients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096" w:type="dxa"/>
            <w:tcBorders>
              <w:top w:val="single" w:color="auto" w:sz="4" w:space="0"/>
            </w:tcBorders>
            <w:vAlign w:val="center"/>
          </w:tcPr>
          <w:p>
            <w:pPr>
              <w:widowControl/>
              <w:jc w:val="left"/>
              <w:rPr>
                <w:rFonts w:ascii="Times New Roman" w:hAnsi="Times New Roman" w:cs="Times New Roman"/>
              </w:rPr>
            </w:pPr>
            <w:r>
              <w:rPr>
                <w:rFonts w:ascii="Times New Roman" w:hAnsi="Times New Roman" w:cs="Times New Roman"/>
              </w:rPr>
              <w:t>No. patients evaluated</w:t>
            </w:r>
          </w:p>
        </w:tc>
        <w:tc>
          <w:tcPr>
            <w:tcW w:w="2693" w:type="dxa"/>
            <w:tcBorders>
              <w:top w:val="single" w:color="auto" w:sz="4" w:space="0"/>
            </w:tcBorders>
            <w:vAlign w:val="center"/>
          </w:tcPr>
          <w:p>
            <w:pPr>
              <w:widowControl/>
              <w:jc w:val="left"/>
              <w:rPr>
                <w:rFonts w:ascii="Times New Roman" w:hAnsi="Times New Roman" w:cs="Times New Roman"/>
              </w:rPr>
            </w:pPr>
            <w:r>
              <w:rPr>
                <w:rFonts w:ascii="Times New Roman" w:hAnsi="Times New Roman" w:cs="Times New Roman"/>
              </w:rPr>
              <w:t>49 (100%)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jc w:val="left"/>
              <w:rPr>
                <w:rFonts w:ascii="Times New Roman" w:hAnsi="Times New Roman" w:cs="Times New Roman"/>
              </w:rPr>
            </w:pPr>
            <w:r>
              <w:rPr>
                <w:rFonts w:ascii="Times New Roman" w:hAnsi="Times New Roman" w:cs="Times New Roman"/>
              </w:rPr>
              <w:t>Patients who had positive plasma EBV DNA level at baseline</w:t>
            </w:r>
          </w:p>
        </w:tc>
        <w:tc>
          <w:tcPr>
            <w:tcW w:w="2693" w:type="dxa"/>
          </w:tcPr>
          <w:p>
            <w:pPr>
              <w:widowControl/>
              <w:jc w:val="left"/>
              <w:rPr>
                <w:rFonts w:ascii="Times New Roman" w:hAnsi="Times New Roman" w:cs="Times New Roman"/>
              </w:rPr>
            </w:pPr>
            <w:r>
              <w:rPr>
                <w:rFonts w:ascii="Times New Roman" w:hAnsi="Times New Roman" w:cs="Times New Roman"/>
              </w:rPr>
              <w:t>48 (98%)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210" w:leftChars="100"/>
              <w:jc w:val="left"/>
              <w:rPr>
                <w:rFonts w:ascii="Times New Roman" w:hAnsi="Times New Roman" w:cs="Times New Roman"/>
              </w:rPr>
            </w:pPr>
            <w:r>
              <w:rPr>
                <w:rFonts w:ascii="Times New Roman" w:hAnsi="Times New Roman" w:cs="Times New Roman"/>
              </w:rPr>
              <w:t>Persistently detectable</w:t>
            </w:r>
          </w:p>
        </w:tc>
        <w:tc>
          <w:tcPr>
            <w:tcW w:w="2693" w:type="dxa"/>
          </w:tcPr>
          <w:p>
            <w:pPr>
              <w:widowControl/>
              <w:jc w:val="left"/>
              <w:rPr>
                <w:rFonts w:ascii="Times New Roman" w:hAnsi="Times New Roman" w:cs="Times New Roman"/>
              </w:rPr>
            </w:pPr>
            <w:r>
              <w:rPr>
                <w:rFonts w:ascii="Times New Roman" w:hAnsi="Times New Roman" w:cs="Times New Roman"/>
              </w:rPr>
              <w:t>2 (4%)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6096" w:type="dxa"/>
          </w:tcPr>
          <w:p>
            <w:pPr>
              <w:widowControl/>
              <w:ind w:left="210" w:leftChars="100"/>
              <w:jc w:val="left"/>
              <w:rPr>
                <w:rFonts w:ascii="Times New Roman" w:hAnsi="Times New Roman" w:cs="Times New Roman"/>
              </w:rPr>
            </w:pPr>
            <w:r>
              <w:rPr>
                <w:rFonts w:ascii="Times New Roman" w:hAnsi="Times New Roman" w:cs="Times New Roman"/>
              </w:rPr>
              <w:t>Change to undetectable</w:t>
            </w:r>
          </w:p>
        </w:tc>
        <w:tc>
          <w:tcPr>
            <w:tcW w:w="2693" w:type="dxa"/>
          </w:tcPr>
          <w:p>
            <w:pPr>
              <w:widowControl/>
              <w:jc w:val="left"/>
              <w:rPr>
                <w:rFonts w:ascii="Times New Roman" w:hAnsi="Times New Roman" w:cs="Times New Roman"/>
              </w:rPr>
            </w:pPr>
            <w:r>
              <w:rPr>
                <w:rFonts w:ascii="Times New Roman" w:hAnsi="Times New Roman" w:cs="Times New Roman"/>
              </w:rPr>
              <w:t>46 (96%)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420" w:leftChars="200"/>
              <w:jc w:val="left"/>
              <w:rPr>
                <w:rFonts w:ascii="Times New Roman" w:hAnsi="Times New Roman" w:cs="Times New Roman"/>
              </w:rPr>
            </w:pPr>
            <w:r>
              <w:rPr>
                <w:rFonts w:ascii="Times New Roman" w:hAnsi="Times New Roman" w:cs="Times New Roman"/>
              </w:rPr>
              <w:t>Median (IQR) clearance time, days</w:t>
            </w:r>
          </w:p>
        </w:tc>
        <w:tc>
          <w:tcPr>
            <w:tcW w:w="2693" w:type="dxa"/>
          </w:tcPr>
          <w:p>
            <w:pPr>
              <w:widowControl/>
              <w:jc w:val="left"/>
              <w:rPr>
                <w:rFonts w:ascii="Times New Roman" w:hAnsi="Times New Roman" w:cs="Times New Roman"/>
              </w:rPr>
            </w:pPr>
            <w:r>
              <w:rPr>
                <w:rFonts w:ascii="Times New Roman" w:hAnsi="Times New Roman" w:cs="Times New Roman"/>
              </w:rPr>
              <w:t>36 (27-56)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420" w:leftChars="200"/>
              <w:jc w:val="left"/>
              <w:rPr>
                <w:rFonts w:ascii="Times New Roman" w:hAnsi="Times New Roman" w:cs="Times New Roman"/>
              </w:rPr>
            </w:pPr>
            <w:r>
              <w:rPr>
                <w:rFonts w:ascii="Times New Roman" w:hAnsi="Times New Roman" w:cs="Times New Roman"/>
              </w:rPr>
              <w:t>Range, days</w:t>
            </w:r>
          </w:p>
        </w:tc>
        <w:tc>
          <w:tcPr>
            <w:tcW w:w="2693" w:type="dxa"/>
          </w:tcPr>
          <w:p>
            <w:pPr>
              <w:widowControl/>
              <w:jc w:val="left"/>
              <w:rPr>
                <w:rFonts w:ascii="Times New Roman" w:hAnsi="Times New Roman" w:cs="Times New Roman"/>
              </w:rPr>
            </w:pPr>
            <w:r>
              <w:rPr>
                <w:rFonts w:ascii="Times New Roman" w:hAnsi="Times New Roman" w:cs="Times New Roman"/>
              </w:rPr>
              <w:t>7-106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420" w:leftChars="200"/>
              <w:jc w:val="left"/>
              <w:rPr>
                <w:rFonts w:ascii="Times New Roman" w:hAnsi="Times New Roman" w:cs="Times New Roman"/>
              </w:rPr>
            </w:pPr>
            <w:r>
              <w:rPr>
                <w:rFonts w:ascii="Times New Roman" w:hAnsi="Times New Roman" w:cs="Times New Roman"/>
              </w:rPr>
              <w:t>Undetectable during induction therapy phase</w:t>
            </w:r>
          </w:p>
        </w:tc>
        <w:tc>
          <w:tcPr>
            <w:tcW w:w="2693" w:type="dxa"/>
          </w:tcPr>
          <w:p>
            <w:pPr>
              <w:widowControl/>
              <w:jc w:val="left"/>
              <w:rPr>
                <w:rFonts w:ascii="Times New Roman" w:hAnsi="Times New Roman" w:cs="Times New Roman"/>
              </w:rPr>
            </w:pPr>
            <w:r>
              <w:rPr>
                <w:rFonts w:ascii="Times New Roman" w:hAnsi="Times New Roman" w:cs="Times New Roman"/>
              </w:rPr>
              <w:t>41 (85%)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630" w:leftChars="300"/>
              <w:jc w:val="left"/>
              <w:rPr>
                <w:rFonts w:ascii="Times New Roman" w:hAnsi="Times New Roman" w:cs="Times New Roman"/>
              </w:rPr>
            </w:pPr>
            <w:r>
              <w:rPr>
                <w:rFonts w:ascii="Times New Roman" w:hAnsi="Times New Roman" w:cs="Times New Roman"/>
              </w:rPr>
              <w:t>After 1</w:t>
            </w:r>
            <w:r>
              <w:rPr>
                <w:rFonts w:ascii="Times New Roman" w:hAnsi="Times New Roman" w:cs="Times New Roman"/>
                <w:vertAlign w:val="superscript"/>
              </w:rPr>
              <w:t>st</w:t>
            </w:r>
            <w:r>
              <w:rPr>
                <w:rFonts w:ascii="Times New Roman" w:hAnsi="Times New Roman" w:cs="Times New Roman"/>
              </w:rPr>
              <w:t xml:space="preserve"> cycle of induction therapy</w:t>
            </w:r>
          </w:p>
        </w:tc>
        <w:tc>
          <w:tcPr>
            <w:tcW w:w="2693" w:type="dxa"/>
          </w:tcPr>
          <w:p>
            <w:pPr>
              <w:widowControl/>
              <w:jc w:val="left"/>
              <w:rPr>
                <w:rFonts w:ascii="Times New Roman" w:hAnsi="Times New Roman" w:cs="Times New Roman"/>
              </w:rPr>
            </w:pPr>
            <w:r>
              <w:rPr>
                <w:rFonts w:ascii="Times New Roman" w:hAnsi="Times New Roman" w:cs="Times New Roman"/>
              </w:rPr>
              <w:t>15 (31%)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630" w:leftChars="300"/>
              <w:jc w:val="left"/>
              <w:rPr>
                <w:rFonts w:ascii="Times New Roman" w:hAnsi="Times New Roman" w:cs="Times New Roman"/>
              </w:rPr>
            </w:pPr>
            <w:r>
              <w:rPr>
                <w:rFonts w:ascii="Times New Roman" w:hAnsi="Times New Roman" w:cs="Times New Roman"/>
              </w:rPr>
              <w:t>After 2</w:t>
            </w:r>
            <w:r>
              <w:rPr>
                <w:rFonts w:ascii="Times New Roman" w:hAnsi="Times New Roman" w:cs="Times New Roman"/>
                <w:vertAlign w:val="superscript"/>
              </w:rPr>
              <w:t>nd</w:t>
            </w:r>
            <w:r>
              <w:rPr>
                <w:rFonts w:ascii="Times New Roman" w:hAnsi="Times New Roman" w:cs="Times New Roman"/>
              </w:rPr>
              <w:t xml:space="preserve"> cycle of induction therapy</w:t>
            </w:r>
          </w:p>
        </w:tc>
        <w:tc>
          <w:tcPr>
            <w:tcW w:w="2693" w:type="dxa"/>
          </w:tcPr>
          <w:p>
            <w:pPr>
              <w:widowControl/>
              <w:jc w:val="left"/>
              <w:rPr>
                <w:rFonts w:ascii="Times New Roman" w:hAnsi="Times New Roman" w:cs="Times New Roman"/>
              </w:rPr>
            </w:pPr>
            <w:r>
              <w:rPr>
                <w:rFonts w:ascii="Times New Roman" w:hAnsi="Times New Roman" w:cs="Times New Roman"/>
              </w:rPr>
              <w:t>17 (35%)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Pr>
          <w:p>
            <w:pPr>
              <w:widowControl/>
              <w:ind w:left="630" w:leftChars="300"/>
              <w:jc w:val="left"/>
              <w:rPr>
                <w:rFonts w:ascii="Times New Roman" w:hAnsi="Times New Roman" w:cs="Times New Roman"/>
              </w:rPr>
            </w:pPr>
            <w:r>
              <w:rPr>
                <w:rFonts w:ascii="Times New Roman" w:hAnsi="Times New Roman" w:cs="Times New Roman"/>
              </w:rPr>
              <w:t>After 3</w:t>
            </w:r>
            <w:r>
              <w:rPr>
                <w:rFonts w:ascii="Times New Roman" w:hAnsi="Times New Roman" w:cs="Times New Roman"/>
                <w:vertAlign w:val="superscript"/>
              </w:rPr>
              <w:t>rd</w:t>
            </w:r>
            <w:r>
              <w:rPr>
                <w:rFonts w:ascii="Times New Roman" w:hAnsi="Times New Roman" w:cs="Times New Roman"/>
              </w:rPr>
              <w:t xml:space="preserve"> cycle of induction therapy</w:t>
            </w:r>
          </w:p>
        </w:tc>
        <w:tc>
          <w:tcPr>
            <w:tcW w:w="2693" w:type="dxa"/>
          </w:tcPr>
          <w:p>
            <w:pPr>
              <w:widowControl/>
              <w:jc w:val="left"/>
              <w:rPr>
                <w:rFonts w:ascii="Times New Roman" w:hAnsi="Times New Roman" w:cs="Times New Roman"/>
              </w:rPr>
            </w:pPr>
            <w:r>
              <w:rPr>
                <w:rFonts w:ascii="Times New Roman" w:hAnsi="Times New Roman" w:cs="Times New Roman"/>
              </w:rPr>
              <w:t>9 (19%)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096" w:type="dxa"/>
            <w:tcBorders>
              <w:bottom w:val="single" w:color="auto" w:sz="4" w:space="0"/>
            </w:tcBorders>
          </w:tcPr>
          <w:p>
            <w:pPr>
              <w:widowControl/>
              <w:ind w:left="420" w:leftChars="200"/>
              <w:jc w:val="left"/>
              <w:rPr>
                <w:rFonts w:ascii="Times New Roman" w:hAnsi="Times New Roman" w:cs="Times New Roman"/>
              </w:rPr>
            </w:pPr>
            <w:r>
              <w:rPr>
                <w:rFonts w:ascii="Times New Roman" w:hAnsi="Times New Roman" w:cs="Times New Roman"/>
                <w:kern w:val="0"/>
              </w:rPr>
              <w:t>Undetectable d</w:t>
            </w:r>
            <w:r>
              <w:rPr>
                <w:rFonts w:ascii="Times New Roman" w:hAnsi="Times New Roman" w:cs="Times New Roman"/>
              </w:rPr>
              <w:t>uring radiotherapy phase</w:t>
            </w:r>
          </w:p>
        </w:tc>
        <w:tc>
          <w:tcPr>
            <w:tcW w:w="2693" w:type="dxa"/>
            <w:tcBorders>
              <w:bottom w:val="single" w:color="auto" w:sz="4" w:space="0"/>
            </w:tcBorders>
          </w:tcPr>
          <w:p>
            <w:pPr>
              <w:widowControl/>
              <w:jc w:val="left"/>
              <w:rPr>
                <w:rFonts w:ascii="Times New Roman" w:hAnsi="Times New Roman" w:cs="Times New Roman"/>
              </w:rPr>
            </w:pPr>
            <w:r>
              <w:rPr>
                <w:rFonts w:ascii="Times New Roman" w:hAnsi="Times New Roman" w:cs="Times New Roman"/>
              </w:rPr>
              <w:t>5 (10%)</w:t>
            </w:r>
          </w:p>
        </w:tc>
      </w:tr>
    </w:tbl>
    <w:p>
      <w:pPr>
        <w:widowControl/>
        <w:jc w:val="left"/>
        <w:rPr>
          <w:rFonts w:ascii="Times New Roman" w:hAnsi="Times New Roman" w:cs="Times New Roman"/>
        </w:rPr>
      </w:pPr>
      <w:r>
        <w:rPr>
          <w:rFonts w:ascii="Times New Roman" w:hAnsi="Times New Roman" w:cs="Times New Roman"/>
        </w:rPr>
        <w:t>IQR = interquartile range.</w:t>
      </w:r>
    </w:p>
    <w:p>
      <w:pPr>
        <w:widowControl/>
        <w:jc w:val="left"/>
        <w:rPr>
          <w:rFonts w:ascii="Times New Roman" w:hAnsi="Times New Roman" w:cs="Times New Roman"/>
        </w:rPr>
      </w:pPr>
      <w:r>
        <w:rPr>
          <w:rFonts w:ascii="Times New Roman" w:hAnsi="Times New Roman" w:cs="Times New Roman"/>
        </w:rPr>
        <w:t xml:space="preserve">* </w:t>
      </w:r>
      <w:bookmarkStart w:id="45" w:name="_Hlk118158611"/>
      <w:r>
        <w:rPr>
          <w:rFonts w:ascii="Times New Roman" w:hAnsi="Times New Roman" w:cs="Times New Roman"/>
        </w:rPr>
        <w:t>Quantification testing of plasma Epstein-Barr virus (EBV) DNA level were based on a lower limit of detection cutoff value of 1000 copies/mL</w:t>
      </w:r>
      <w:bookmarkEnd w:id="45"/>
      <w:r>
        <w:rPr>
          <w:rFonts w:ascii="Times New Roman" w:hAnsi="Times New Roman" w:cs="Times New Roman"/>
        </w:rPr>
        <w:t>. Here the undetectable level meaning whose EBV DNA level is reported with 0 copies/mL.</w:t>
      </w:r>
    </w:p>
    <w:p>
      <w:pPr>
        <w:widowControl/>
        <w:jc w:val="left"/>
        <w:rPr>
          <w:rFonts w:ascii="Times New Roman" w:hAnsi="Times New Roman" w:cs="Times New Roman"/>
          <w:b/>
          <w:bCs/>
          <w:sz w:val="24"/>
          <w:szCs w:val="24"/>
        </w:rPr>
      </w:pPr>
      <w:r>
        <w:rPr>
          <w:rFonts w:ascii="Times New Roman" w:hAnsi="Times New Roman" w:cs="Times New Roman"/>
          <w:sz w:val="24"/>
          <w:szCs w:val="24"/>
        </w:rPr>
        <w:br w:type="page"/>
      </w:r>
    </w:p>
    <w:p>
      <w:pPr>
        <w:pStyle w:val="3"/>
        <w:spacing w:line="240" w:lineRule="auto"/>
        <w:rPr>
          <w:rFonts w:ascii="Times New Roman" w:hAnsi="Times New Roman" w:cs="Times New Roman"/>
          <w:szCs w:val="21"/>
        </w:rPr>
      </w:pPr>
      <w:bookmarkStart w:id="46" w:name="_Toc118159976"/>
      <w:r>
        <w:rPr>
          <w:rFonts w:ascii="Times New Roman" w:hAnsi="Times New Roman" w:cs="Times New Roman"/>
          <w:szCs w:val="21"/>
        </w:rPr>
        <w:t>Supplemental Table S8. Treatment-related adverse events, according to treatment phase and grade.</w:t>
      </w:r>
      <w:bookmarkEnd w:id="46"/>
    </w:p>
    <w:tbl>
      <w:tblPr>
        <w:tblStyle w:val="11"/>
        <w:tblW w:w="10357" w:type="dxa"/>
        <w:tblInd w:w="-12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36"/>
        <w:gridCol w:w="1134"/>
        <w:gridCol w:w="1278"/>
        <w:gridCol w:w="284"/>
        <w:gridCol w:w="1132"/>
        <w:gridCol w:w="1134"/>
        <w:gridCol w:w="283"/>
        <w:gridCol w:w="1134"/>
        <w:gridCol w:w="1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Borders>
              <w:top w:val="single" w:color="auto" w:sz="4" w:space="0"/>
            </w:tcBorders>
          </w:tcPr>
          <w:p>
            <w:pPr>
              <w:rPr>
                <w:rFonts w:ascii="Times New Roman" w:hAnsi="Times New Roman" w:cs="Times New Roman"/>
              </w:rPr>
            </w:pPr>
            <w:r>
              <w:rPr>
                <w:rFonts w:ascii="Times New Roman" w:hAnsi="Times New Roman" w:cs="Times New Roman"/>
              </w:rPr>
              <w:t>Event</w:t>
            </w:r>
          </w:p>
        </w:tc>
        <w:tc>
          <w:tcPr>
            <w:tcW w:w="2412" w:type="dxa"/>
            <w:gridSpan w:val="2"/>
            <w:tcBorders>
              <w:top w:val="single" w:color="auto" w:sz="4" w:space="0"/>
              <w:bottom w:val="single" w:color="auto" w:sz="4" w:space="0"/>
            </w:tcBorders>
          </w:tcPr>
          <w:p>
            <w:pPr>
              <w:rPr>
                <w:rFonts w:ascii="Times New Roman" w:hAnsi="Times New Roman" w:cs="Times New Roman"/>
              </w:rPr>
            </w:pPr>
            <w:r>
              <w:rPr>
                <w:rFonts w:ascii="Times New Roman" w:hAnsi="Times New Roman" w:cs="Times New Roman"/>
              </w:rPr>
              <w:t>Cumulative treatment-related adverse events</w:t>
            </w:r>
          </w:p>
          <w:p>
            <w:pPr>
              <w:rPr>
                <w:rFonts w:ascii="Times New Roman" w:hAnsi="Times New Roman" w:cs="Times New Roman"/>
              </w:rPr>
            </w:pPr>
            <w:r>
              <w:rPr>
                <w:rFonts w:ascii="Times New Roman" w:hAnsi="Times New Roman" w:cs="Times New Roman"/>
              </w:rPr>
              <w:t>(n=49)</w:t>
            </w:r>
          </w:p>
        </w:tc>
        <w:tc>
          <w:tcPr>
            <w:tcW w:w="284" w:type="dxa"/>
            <w:tcBorders>
              <w:top w:val="single" w:color="auto" w:sz="4" w:space="0"/>
            </w:tcBorders>
          </w:tcPr>
          <w:p>
            <w:pPr>
              <w:rPr>
                <w:rFonts w:ascii="Times New Roman" w:hAnsi="Times New Roman" w:cs="Times New Roman"/>
              </w:rPr>
            </w:pPr>
          </w:p>
        </w:tc>
        <w:tc>
          <w:tcPr>
            <w:tcW w:w="2266" w:type="dxa"/>
            <w:gridSpan w:val="2"/>
            <w:tcBorders>
              <w:top w:val="single" w:color="auto" w:sz="4" w:space="0"/>
              <w:bottom w:val="single" w:color="auto" w:sz="4" w:space="0"/>
            </w:tcBorders>
          </w:tcPr>
          <w:p>
            <w:pPr>
              <w:rPr>
                <w:rFonts w:ascii="Times New Roman" w:hAnsi="Times New Roman" w:cs="Times New Roman"/>
              </w:rPr>
            </w:pPr>
            <w:r>
              <w:rPr>
                <w:rFonts w:ascii="Times New Roman" w:hAnsi="Times New Roman" w:cs="Times New Roman"/>
              </w:rPr>
              <w:t>Induction phase</w:t>
            </w:r>
          </w:p>
          <w:p>
            <w:pPr>
              <w:rPr>
                <w:rFonts w:ascii="Times New Roman" w:hAnsi="Times New Roman" w:cs="Times New Roman"/>
              </w:rPr>
            </w:pPr>
            <w:r>
              <w:rPr>
                <w:rFonts w:ascii="Times New Roman" w:hAnsi="Times New Roman" w:cs="Times New Roman"/>
              </w:rPr>
              <w:t>(n=49)</w:t>
            </w:r>
          </w:p>
        </w:tc>
        <w:tc>
          <w:tcPr>
            <w:tcW w:w="283" w:type="dxa"/>
            <w:tcBorders>
              <w:top w:val="single" w:color="auto" w:sz="4" w:space="0"/>
            </w:tcBorders>
          </w:tcPr>
          <w:p>
            <w:pPr>
              <w:rPr>
                <w:rFonts w:ascii="Times New Roman" w:hAnsi="Times New Roman" w:cs="Times New Roman"/>
              </w:rPr>
            </w:pPr>
          </w:p>
        </w:tc>
        <w:tc>
          <w:tcPr>
            <w:tcW w:w="2276" w:type="dxa"/>
            <w:gridSpan w:val="2"/>
            <w:tcBorders>
              <w:top w:val="single" w:color="auto" w:sz="4" w:space="0"/>
              <w:bottom w:val="single" w:color="auto" w:sz="4" w:space="0"/>
            </w:tcBorders>
          </w:tcPr>
          <w:p>
            <w:pPr>
              <w:rPr>
                <w:rFonts w:ascii="Times New Roman" w:hAnsi="Times New Roman" w:cs="Times New Roman"/>
              </w:rPr>
            </w:pPr>
            <w:r>
              <w:rPr>
                <w:rFonts w:ascii="Times New Roman" w:hAnsi="Times New Roman" w:cs="Times New Roman"/>
              </w:rPr>
              <w:t>Concurrent phase</w:t>
            </w:r>
          </w:p>
          <w:p>
            <w:pPr>
              <w:rPr>
                <w:rFonts w:ascii="Times New Roman" w:hAnsi="Times New Roman" w:cs="Times New Roman"/>
              </w:rPr>
            </w:pPr>
            <w:r>
              <w:rPr>
                <w:rFonts w:ascii="Times New Roman" w:hAnsi="Times New Roman" w:cs="Times New Roman"/>
              </w:rPr>
              <w:t>(n=48)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Borders>
              <w:bottom w:val="single" w:color="auto" w:sz="4" w:space="0"/>
            </w:tcBorders>
          </w:tcPr>
          <w:p>
            <w:pPr>
              <w:rPr>
                <w:rFonts w:ascii="Times New Roman" w:hAnsi="Times New Roman" w:cs="Times New Roman"/>
              </w:rPr>
            </w:pPr>
            <w:bookmarkStart w:id="47" w:name="_Hlk116596404"/>
          </w:p>
        </w:tc>
        <w:tc>
          <w:tcPr>
            <w:tcW w:w="1134" w:type="dxa"/>
            <w:tcBorders>
              <w:top w:val="single" w:color="auto" w:sz="4" w:space="0"/>
              <w:bottom w:val="single" w:color="auto" w:sz="4" w:space="0"/>
            </w:tcBorders>
          </w:tcPr>
          <w:p>
            <w:pPr>
              <w:jc w:val="left"/>
              <w:rPr>
                <w:rFonts w:ascii="Times New Roman" w:hAnsi="Times New Roman" w:cs="Times New Roman"/>
              </w:rPr>
            </w:pPr>
            <w:r>
              <w:rPr>
                <w:rFonts w:ascii="Times New Roman" w:hAnsi="Times New Roman" w:cs="Times New Roman"/>
              </w:rPr>
              <w:t>Grade 1 or 2</w:t>
            </w:r>
          </w:p>
        </w:tc>
        <w:tc>
          <w:tcPr>
            <w:tcW w:w="1278" w:type="dxa"/>
            <w:tcBorders>
              <w:top w:val="single" w:color="auto" w:sz="4" w:space="0"/>
              <w:bottom w:val="single" w:color="auto" w:sz="4" w:space="0"/>
            </w:tcBorders>
          </w:tcPr>
          <w:p>
            <w:pPr>
              <w:jc w:val="left"/>
              <w:rPr>
                <w:rFonts w:ascii="Times New Roman" w:hAnsi="Times New Roman" w:cs="Times New Roman"/>
              </w:rPr>
            </w:pPr>
            <w:r>
              <w:rPr>
                <w:rFonts w:ascii="Times New Roman" w:hAnsi="Times New Roman" w:cs="Times New Roman"/>
              </w:rPr>
              <w:t>Grade 3 or 4</w:t>
            </w:r>
          </w:p>
        </w:tc>
        <w:tc>
          <w:tcPr>
            <w:tcW w:w="284" w:type="dxa"/>
            <w:tcBorders>
              <w:bottom w:val="single" w:color="auto" w:sz="4" w:space="0"/>
            </w:tcBorders>
          </w:tcPr>
          <w:p>
            <w:pPr>
              <w:jc w:val="left"/>
              <w:rPr>
                <w:rFonts w:ascii="Times New Roman" w:hAnsi="Times New Roman" w:cs="Times New Roman"/>
              </w:rPr>
            </w:pPr>
          </w:p>
        </w:tc>
        <w:tc>
          <w:tcPr>
            <w:tcW w:w="1132" w:type="dxa"/>
            <w:tcBorders>
              <w:top w:val="single" w:color="auto" w:sz="4" w:space="0"/>
              <w:bottom w:val="single" w:color="auto" w:sz="4" w:space="0"/>
            </w:tcBorders>
          </w:tcPr>
          <w:p>
            <w:pPr>
              <w:jc w:val="left"/>
              <w:rPr>
                <w:rFonts w:ascii="Times New Roman" w:hAnsi="Times New Roman" w:cs="Times New Roman"/>
              </w:rPr>
            </w:pPr>
            <w:r>
              <w:rPr>
                <w:rFonts w:ascii="Times New Roman" w:hAnsi="Times New Roman" w:cs="Times New Roman"/>
              </w:rPr>
              <w:t>Grade 1 or 2</w:t>
            </w:r>
          </w:p>
        </w:tc>
        <w:tc>
          <w:tcPr>
            <w:tcW w:w="1134" w:type="dxa"/>
            <w:tcBorders>
              <w:top w:val="single" w:color="auto" w:sz="4" w:space="0"/>
              <w:bottom w:val="single" w:color="auto" w:sz="4" w:space="0"/>
            </w:tcBorders>
          </w:tcPr>
          <w:p>
            <w:pPr>
              <w:jc w:val="left"/>
              <w:rPr>
                <w:rFonts w:ascii="Times New Roman" w:hAnsi="Times New Roman" w:cs="Times New Roman"/>
              </w:rPr>
            </w:pPr>
            <w:r>
              <w:rPr>
                <w:rFonts w:ascii="Times New Roman" w:hAnsi="Times New Roman" w:cs="Times New Roman"/>
              </w:rPr>
              <w:t>Grade 3 or 4</w:t>
            </w:r>
          </w:p>
        </w:tc>
        <w:tc>
          <w:tcPr>
            <w:tcW w:w="283" w:type="dxa"/>
            <w:tcBorders>
              <w:bottom w:val="single" w:color="auto" w:sz="4" w:space="0"/>
            </w:tcBorders>
          </w:tcPr>
          <w:p>
            <w:pPr>
              <w:jc w:val="left"/>
              <w:rPr>
                <w:rFonts w:ascii="Times New Roman" w:hAnsi="Times New Roman" w:cs="Times New Roman"/>
              </w:rPr>
            </w:pPr>
          </w:p>
        </w:tc>
        <w:tc>
          <w:tcPr>
            <w:tcW w:w="1134" w:type="dxa"/>
            <w:tcBorders>
              <w:top w:val="single" w:color="auto" w:sz="4" w:space="0"/>
              <w:bottom w:val="single" w:color="auto" w:sz="4" w:space="0"/>
            </w:tcBorders>
          </w:tcPr>
          <w:p>
            <w:pPr>
              <w:jc w:val="left"/>
              <w:rPr>
                <w:rFonts w:ascii="Times New Roman" w:hAnsi="Times New Roman" w:cs="Times New Roman"/>
              </w:rPr>
            </w:pPr>
            <w:r>
              <w:rPr>
                <w:rFonts w:ascii="Times New Roman" w:hAnsi="Times New Roman" w:cs="Times New Roman"/>
              </w:rPr>
              <w:t>Grade 1 or 2</w:t>
            </w:r>
          </w:p>
        </w:tc>
        <w:tc>
          <w:tcPr>
            <w:tcW w:w="1142" w:type="dxa"/>
            <w:tcBorders>
              <w:top w:val="single" w:color="auto" w:sz="4" w:space="0"/>
              <w:bottom w:val="single" w:color="auto" w:sz="4" w:space="0"/>
            </w:tcBorders>
          </w:tcPr>
          <w:p>
            <w:pPr>
              <w:jc w:val="left"/>
              <w:rPr>
                <w:rFonts w:ascii="Times New Roman" w:hAnsi="Times New Roman" w:cs="Times New Roman"/>
              </w:rPr>
            </w:pPr>
            <w:r>
              <w:rPr>
                <w:rFonts w:ascii="Times New Roman" w:hAnsi="Times New Roman" w:cs="Times New Roman"/>
              </w:rPr>
              <w:t>Grade 3 or 4</w:t>
            </w:r>
          </w:p>
        </w:tc>
      </w:tr>
      <w:bookmarkEnd w:id="47"/>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Borders>
              <w:top w:val="single" w:color="auto" w:sz="4" w:space="0"/>
            </w:tcBorders>
          </w:tcPr>
          <w:p>
            <w:pPr>
              <w:jc w:val="left"/>
              <w:rPr>
                <w:rFonts w:ascii="Times New Roman" w:hAnsi="Times New Roman" w:cs="Times New Roman"/>
              </w:rPr>
            </w:pPr>
            <w:r>
              <w:rPr>
                <w:rFonts w:ascii="Times New Roman" w:hAnsi="Times New Roman" w:cs="Times New Roman"/>
              </w:rPr>
              <w:t>Any treatment-related adverse event*</w:t>
            </w:r>
          </w:p>
        </w:tc>
        <w:tc>
          <w:tcPr>
            <w:tcW w:w="1134" w:type="dxa"/>
            <w:tcBorders>
              <w:top w:val="single" w:color="auto" w:sz="4" w:space="0"/>
            </w:tcBorders>
          </w:tcPr>
          <w:p>
            <w:pPr>
              <w:rPr>
                <w:rFonts w:ascii="Times New Roman" w:hAnsi="Times New Roman" w:cs="Times New Roman"/>
              </w:rPr>
            </w:pPr>
            <w:r>
              <w:rPr>
                <w:rFonts w:ascii="Times New Roman" w:hAnsi="Times New Roman" w:cs="Times New Roman"/>
              </w:rPr>
              <w:t>17 (34.7)</w:t>
            </w:r>
          </w:p>
        </w:tc>
        <w:tc>
          <w:tcPr>
            <w:tcW w:w="1278" w:type="dxa"/>
            <w:tcBorders>
              <w:top w:val="single" w:color="auto" w:sz="4" w:space="0"/>
            </w:tcBorders>
          </w:tcPr>
          <w:p>
            <w:pPr>
              <w:rPr>
                <w:rFonts w:ascii="Times New Roman" w:hAnsi="Times New Roman" w:cs="Times New Roman"/>
              </w:rPr>
            </w:pPr>
            <w:r>
              <w:rPr>
                <w:rFonts w:ascii="Times New Roman" w:hAnsi="Times New Roman" w:cs="Times New Roman"/>
              </w:rPr>
              <w:t>32 (65.3)</w:t>
            </w:r>
          </w:p>
        </w:tc>
        <w:tc>
          <w:tcPr>
            <w:tcW w:w="284" w:type="dxa"/>
            <w:tcBorders>
              <w:top w:val="single" w:color="auto" w:sz="4" w:space="0"/>
            </w:tcBorders>
          </w:tcPr>
          <w:p>
            <w:pPr>
              <w:rPr>
                <w:rFonts w:ascii="Times New Roman" w:hAnsi="Times New Roman" w:cs="Times New Roman"/>
              </w:rPr>
            </w:pPr>
          </w:p>
        </w:tc>
        <w:tc>
          <w:tcPr>
            <w:tcW w:w="1132" w:type="dxa"/>
            <w:tcBorders>
              <w:top w:val="single" w:color="auto" w:sz="4" w:space="0"/>
            </w:tcBorders>
          </w:tcPr>
          <w:p>
            <w:pPr>
              <w:ind w:left="-252" w:leftChars="-120" w:firstLine="252" w:firstLineChars="120"/>
              <w:rPr>
                <w:rFonts w:ascii="Times New Roman" w:hAnsi="Times New Roman" w:cs="Times New Roman"/>
              </w:rPr>
            </w:pPr>
            <w:r>
              <w:rPr>
                <w:rFonts w:ascii="Times New Roman" w:hAnsi="Times New Roman" w:cs="Times New Roman"/>
              </w:rPr>
              <w:t>26 (53.1)</w:t>
            </w:r>
          </w:p>
        </w:tc>
        <w:tc>
          <w:tcPr>
            <w:tcW w:w="1134" w:type="dxa"/>
            <w:tcBorders>
              <w:top w:val="single" w:color="auto" w:sz="4" w:space="0"/>
            </w:tcBorders>
          </w:tcPr>
          <w:p>
            <w:pPr>
              <w:rPr>
                <w:rFonts w:ascii="Times New Roman" w:hAnsi="Times New Roman" w:cs="Times New Roman"/>
              </w:rPr>
            </w:pPr>
            <w:r>
              <w:rPr>
                <w:rFonts w:ascii="Times New Roman" w:hAnsi="Times New Roman" w:cs="Times New Roman"/>
              </w:rPr>
              <w:t>23 (46.9)</w:t>
            </w:r>
          </w:p>
        </w:tc>
        <w:tc>
          <w:tcPr>
            <w:tcW w:w="283" w:type="dxa"/>
            <w:tcBorders>
              <w:top w:val="single" w:color="auto" w:sz="4" w:space="0"/>
            </w:tcBorders>
          </w:tcPr>
          <w:p>
            <w:pPr>
              <w:rPr>
                <w:rFonts w:ascii="Times New Roman" w:hAnsi="Times New Roman" w:cs="Times New Roman"/>
              </w:rPr>
            </w:pPr>
          </w:p>
        </w:tc>
        <w:tc>
          <w:tcPr>
            <w:tcW w:w="1134" w:type="dxa"/>
            <w:tcBorders>
              <w:top w:val="single" w:color="auto" w:sz="4" w:space="0"/>
            </w:tcBorders>
          </w:tcPr>
          <w:p>
            <w:pPr>
              <w:rPr>
                <w:rFonts w:ascii="Times New Roman" w:hAnsi="Times New Roman" w:cs="Times New Roman"/>
              </w:rPr>
            </w:pPr>
            <w:r>
              <w:rPr>
                <w:rFonts w:ascii="Times New Roman" w:hAnsi="Times New Roman" w:cs="Times New Roman"/>
              </w:rPr>
              <w:t>27 (56.2)</w:t>
            </w:r>
          </w:p>
        </w:tc>
        <w:tc>
          <w:tcPr>
            <w:tcW w:w="1142" w:type="dxa"/>
            <w:tcBorders>
              <w:top w:val="single" w:color="auto" w:sz="4" w:space="0"/>
            </w:tcBorders>
          </w:tcPr>
          <w:p>
            <w:pPr>
              <w:rPr>
                <w:rFonts w:ascii="Times New Roman" w:hAnsi="Times New Roman" w:cs="Times New Roman"/>
              </w:rPr>
            </w:pPr>
            <w:r>
              <w:rPr>
                <w:rFonts w:ascii="Times New Roman" w:hAnsi="Times New Roman" w:cs="Times New Roman"/>
              </w:rPr>
              <w:t>21 (43.8)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Leukopenia</w:t>
            </w:r>
          </w:p>
        </w:tc>
        <w:tc>
          <w:tcPr>
            <w:tcW w:w="1134" w:type="dxa"/>
          </w:tcPr>
          <w:p>
            <w:pPr>
              <w:rPr>
                <w:rFonts w:ascii="Times New Roman" w:hAnsi="Times New Roman" w:cs="Times New Roman"/>
              </w:rPr>
            </w:pPr>
            <w:r>
              <w:rPr>
                <w:rFonts w:ascii="Times New Roman" w:hAnsi="Times New Roman" w:cs="Times New Roman"/>
              </w:rPr>
              <w:t>31 (63.3)</w:t>
            </w:r>
          </w:p>
        </w:tc>
        <w:tc>
          <w:tcPr>
            <w:tcW w:w="1278" w:type="dxa"/>
          </w:tcPr>
          <w:p>
            <w:pPr>
              <w:rPr>
                <w:rFonts w:ascii="Times New Roman" w:hAnsi="Times New Roman" w:cs="Times New Roman"/>
              </w:rPr>
            </w:pPr>
            <w:r>
              <w:rPr>
                <w:rFonts w:ascii="Times New Roman" w:hAnsi="Times New Roman" w:cs="Times New Roman"/>
              </w:rPr>
              <w:t>7 (14.3)</w:t>
            </w:r>
          </w:p>
        </w:tc>
        <w:tc>
          <w:tcPr>
            <w:tcW w:w="284" w:type="dxa"/>
          </w:tcPr>
          <w:p>
            <w:pPr>
              <w:rPr>
                <w:rFonts w:ascii="Times New Roman" w:hAnsi="Times New Roman" w:cs="Times New Roman"/>
              </w:rPr>
            </w:pPr>
          </w:p>
        </w:tc>
        <w:tc>
          <w:tcPr>
            <w:tcW w:w="1132" w:type="dxa"/>
          </w:tcPr>
          <w:p>
            <w:pPr>
              <w:ind w:left="-252" w:leftChars="-120" w:firstLine="252" w:firstLineChars="120"/>
              <w:rPr>
                <w:rFonts w:ascii="Times New Roman" w:hAnsi="Times New Roman" w:cs="Times New Roman"/>
              </w:rPr>
            </w:pPr>
            <w:r>
              <w:rPr>
                <w:rFonts w:ascii="Times New Roman" w:hAnsi="Times New Roman" w:cs="Times New Roman"/>
              </w:rPr>
              <w:t>15 (30.6)</w:t>
            </w:r>
          </w:p>
        </w:tc>
        <w:tc>
          <w:tcPr>
            <w:tcW w:w="1134" w:type="dxa"/>
          </w:tcPr>
          <w:p>
            <w:pPr>
              <w:rPr>
                <w:rFonts w:ascii="Times New Roman" w:hAnsi="Times New Roman" w:cs="Times New Roman"/>
              </w:rPr>
            </w:pPr>
            <w:r>
              <w:rPr>
                <w:rFonts w:ascii="Times New Roman" w:hAnsi="Times New Roman" w:cs="Times New Roman"/>
              </w:rPr>
              <w:t>3 (6.1)</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23 (47.9)</w:t>
            </w:r>
          </w:p>
        </w:tc>
        <w:tc>
          <w:tcPr>
            <w:tcW w:w="1142" w:type="dxa"/>
          </w:tcPr>
          <w:p>
            <w:pPr>
              <w:rPr>
                <w:rFonts w:ascii="Times New Roman" w:hAnsi="Times New Roman" w:cs="Times New Roman"/>
              </w:rPr>
            </w:pPr>
            <w:r>
              <w:rPr>
                <w:rFonts w:ascii="Times New Roman" w:hAnsi="Times New Roman" w:cs="Times New Roman"/>
              </w:rPr>
              <w:t>2 (4.2)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Neutropenia</w:t>
            </w:r>
          </w:p>
        </w:tc>
        <w:tc>
          <w:tcPr>
            <w:tcW w:w="1134" w:type="dxa"/>
          </w:tcPr>
          <w:p>
            <w:pPr>
              <w:rPr>
                <w:rFonts w:ascii="Times New Roman" w:hAnsi="Times New Roman" w:cs="Times New Roman"/>
              </w:rPr>
            </w:pPr>
            <w:r>
              <w:rPr>
                <w:rFonts w:ascii="Times New Roman" w:hAnsi="Times New Roman" w:cs="Times New Roman"/>
              </w:rPr>
              <w:t>36 (73.5)</w:t>
            </w:r>
          </w:p>
        </w:tc>
        <w:tc>
          <w:tcPr>
            <w:tcW w:w="1278" w:type="dxa"/>
          </w:tcPr>
          <w:p>
            <w:pPr>
              <w:rPr>
                <w:rFonts w:ascii="Times New Roman" w:hAnsi="Times New Roman" w:cs="Times New Roman"/>
              </w:rPr>
            </w:pPr>
            <w:r>
              <w:rPr>
                <w:rFonts w:ascii="Times New Roman" w:hAnsi="Times New Roman" w:cs="Times New Roman"/>
              </w:rPr>
              <w:t>8 (16.3)</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25 (51.0)</w:t>
            </w:r>
          </w:p>
        </w:tc>
        <w:tc>
          <w:tcPr>
            <w:tcW w:w="1134" w:type="dxa"/>
          </w:tcPr>
          <w:p>
            <w:pPr>
              <w:rPr>
                <w:rFonts w:ascii="Times New Roman" w:hAnsi="Times New Roman" w:cs="Times New Roman"/>
              </w:rPr>
            </w:pPr>
            <w:r>
              <w:rPr>
                <w:rFonts w:ascii="Times New Roman" w:hAnsi="Times New Roman" w:cs="Times New Roman"/>
              </w:rPr>
              <w:t>7 (14.3)</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34 (70.8)</w:t>
            </w:r>
          </w:p>
        </w:tc>
        <w:tc>
          <w:tcPr>
            <w:tcW w:w="1142" w:type="dxa"/>
          </w:tcPr>
          <w:p>
            <w:pPr>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Anemia</w:t>
            </w:r>
          </w:p>
        </w:tc>
        <w:tc>
          <w:tcPr>
            <w:tcW w:w="1134" w:type="dxa"/>
          </w:tcPr>
          <w:p>
            <w:pPr>
              <w:rPr>
                <w:rFonts w:ascii="Times New Roman" w:hAnsi="Times New Roman" w:cs="Times New Roman"/>
              </w:rPr>
            </w:pPr>
            <w:r>
              <w:rPr>
                <w:rFonts w:ascii="Times New Roman" w:hAnsi="Times New Roman" w:cs="Times New Roman"/>
              </w:rPr>
              <w:t>41 (83.7)</w:t>
            </w:r>
          </w:p>
        </w:tc>
        <w:tc>
          <w:tcPr>
            <w:tcW w:w="1278" w:type="dxa"/>
          </w:tcPr>
          <w:p>
            <w:pPr>
              <w:rPr>
                <w:rFonts w:ascii="Times New Roman" w:hAnsi="Times New Roman" w:cs="Times New Roman"/>
              </w:rPr>
            </w:pPr>
            <w:r>
              <w:rPr>
                <w:rFonts w:ascii="Times New Roman" w:hAnsi="Times New Roman" w:cs="Times New Roman"/>
              </w:rPr>
              <w:t>7 (14.3)</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43 (87.8)</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42 (87.5)</w:t>
            </w:r>
          </w:p>
        </w:tc>
        <w:tc>
          <w:tcPr>
            <w:tcW w:w="1142" w:type="dxa"/>
          </w:tcPr>
          <w:p>
            <w:pPr>
              <w:rPr>
                <w:rFonts w:ascii="Times New Roman" w:hAnsi="Times New Roman" w:cs="Times New Roman"/>
              </w:rPr>
            </w:pPr>
            <w:r>
              <w:rPr>
                <w:rFonts w:ascii="Times New Roman" w:hAnsi="Times New Roman" w:cs="Times New Roman"/>
              </w:rPr>
              <w:t>4 (8.3)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Thrombocytopenia</w:t>
            </w:r>
          </w:p>
        </w:tc>
        <w:tc>
          <w:tcPr>
            <w:tcW w:w="1134" w:type="dxa"/>
          </w:tcPr>
          <w:p>
            <w:pPr>
              <w:rPr>
                <w:rFonts w:ascii="Times New Roman" w:hAnsi="Times New Roman" w:cs="Times New Roman"/>
              </w:rPr>
            </w:pPr>
            <w:r>
              <w:rPr>
                <w:rFonts w:ascii="Times New Roman" w:hAnsi="Times New Roman" w:cs="Times New Roman"/>
              </w:rPr>
              <w:t>16 (32.7)</w:t>
            </w:r>
          </w:p>
        </w:tc>
        <w:tc>
          <w:tcPr>
            <w:tcW w:w="1278" w:type="dxa"/>
          </w:tcPr>
          <w:p>
            <w:pPr>
              <w:rPr>
                <w:rFonts w:ascii="Times New Roman" w:hAnsi="Times New Roman" w:cs="Times New Roman"/>
              </w:rPr>
            </w:pPr>
            <w:r>
              <w:rPr>
                <w:rFonts w:ascii="Times New Roman" w:hAnsi="Times New Roman" w:cs="Times New Roman"/>
              </w:rPr>
              <w:t>5 (10.2)</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10 (20.4)</w:t>
            </w:r>
          </w:p>
        </w:tc>
        <w:tc>
          <w:tcPr>
            <w:tcW w:w="1134" w:type="dxa"/>
          </w:tcPr>
          <w:p>
            <w:pPr>
              <w:rPr>
                <w:rFonts w:ascii="Times New Roman" w:hAnsi="Times New Roman" w:cs="Times New Roman"/>
              </w:rPr>
            </w:pPr>
            <w:r>
              <w:rPr>
                <w:rFonts w:ascii="Times New Roman" w:hAnsi="Times New Roman" w:cs="Times New Roman"/>
              </w:rPr>
              <w:t>1 (2.0)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13 (27.1)</w:t>
            </w:r>
          </w:p>
        </w:tc>
        <w:tc>
          <w:tcPr>
            <w:tcW w:w="1142" w:type="dxa"/>
          </w:tcPr>
          <w:p>
            <w:pPr>
              <w:rPr>
                <w:rFonts w:ascii="Times New Roman" w:hAnsi="Times New Roman" w:cs="Times New Roman"/>
              </w:rPr>
            </w:pPr>
            <w:r>
              <w:rPr>
                <w:rFonts w:ascii="Times New Roman" w:hAnsi="Times New Roman" w:cs="Times New Roman"/>
              </w:rPr>
              <w:t>2 (4.2)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Hypokalemia</w:t>
            </w:r>
          </w:p>
        </w:tc>
        <w:tc>
          <w:tcPr>
            <w:tcW w:w="1134" w:type="dxa"/>
          </w:tcPr>
          <w:p>
            <w:pPr>
              <w:rPr>
                <w:rFonts w:ascii="Times New Roman" w:hAnsi="Times New Roman" w:cs="Times New Roman"/>
              </w:rPr>
            </w:pPr>
            <w:r>
              <w:rPr>
                <w:rFonts w:ascii="Times New Roman" w:hAnsi="Times New Roman" w:cs="Times New Roman"/>
              </w:rPr>
              <w:t>23 (46.9)</w:t>
            </w:r>
          </w:p>
        </w:tc>
        <w:tc>
          <w:tcPr>
            <w:tcW w:w="1278" w:type="dxa"/>
          </w:tcPr>
          <w:p>
            <w:pPr>
              <w:rPr>
                <w:rFonts w:ascii="Times New Roman" w:hAnsi="Times New Roman" w:cs="Times New Roman"/>
              </w:rPr>
            </w:pPr>
            <w:r>
              <w:rPr>
                <w:rFonts w:ascii="Times New Roman" w:hAnsi="Times New Roman" w:cs="Times New Roman"/>
              </w:rPr>
              <w:t>4 (8.2)</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20 (40.8)</w:t>
            </w:r>
          </w:p>
        </w:tc>
        <w:tc>
          <w:tcPr>
            <w:tcW w:w="1134" w:type="dxa"/>
          </w:tcPr>
          <w:p>
            <w:pPr>
              <w:rPr>
                <w:rFonts w:ascii="Times New Roman" w:hAnsi="Times New Roman" w:cs="Times New Roman"/>
              </w:rPr>
            </w:pPr>
            <w:r>
              <w:rPr>
                <w:rFonts w:ascii="Times New Roman" w:hAnsi="Times New Roman" w:cs="Times New Roman"/>
              </w:rPr>
              <w:t>2 (4.1)</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15 (31.3)</w:t>
            </w:r>
          </w:p>
        </w:tc>
        <w:tc>
          <w:tcPr>
            <w:tcW w:w="1142" w:type="dxa"/>
          </w:tcPr>
          <w:p>
            <w:pPr>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Hyponatremia</w:t>
            </w:r>
          </w:p>
        </w:tc>
        <w:tc>
          <w:tcPr>
            <w:tcW w:w="1134" w:type="dxa"/>
          </w:tcPr>
          <w:p>
            <w:pPr>
              <w:rPr>
                <w:rFonts w:ascii="Times New Roman" w:hAnsi="Times New Roman" w:cs="Times New Roman"/>
              </w:rPr>
            </w:pPr>
            <w:r>
              <w:rPr>
                <w:rFonts w:ascii="Times New Roman" w:hAnsi="Times New Roman" w:cs="Times New Roman"/>
              </w:rPr>
              <w:t>23 (46.9)</w:t>
            </w:r>
          </w:p>
        </w:tc>
        <w:tc>
          <w:tcPr>
            <w:tcW w:w="1278" w:type="dxa"/>
          </w:tcPr>
          <w:p>
            <w:pPr>
              <w:rPr>
                <w:rFonts w:ascii="Times New Roman" w:hAnsi="Times New Roman" w:cs="Times New Roman"/>
              </w:rPr>
            </w:pPr>
            <w:r>
              <w:rPr>
                <w:rFonts w:ascii="Times New Roman" w:hAnsi="Times New Roman" w:cs="Times New Roman"/>
              </w:rPr>
              <w:t>2 (4.1)</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20 (40.8)</w:t>
            </w:r>
          </w:p>
        </w:tc>
        <w:tc>
          <w:tcPr>
            <w:tcW w:w="1134" w:type="dxa"/>
          </w:tcPr>
          <w:p>
            <w:pPr>
              <w:rPr>
                <w:rFonts w:ascii="Times New Roman" w:hAnsi="Times New Roman" w:cs="Times New Roman"/>
              </w:rPr>
            </w:pPr>
            <w:r>
              <w:rPr>
                <w:rFonts w:ascii="Times New Roman" w:hAnsi="Times New Roman" w:cs="Times New Roman"/>
              </w:rPr>
              <w:t>1 (2.0)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10 (20.8)</w:t>
            </w:r>
          </w:p>
        </w:tc>
        <w:tc>
          <w:tcPr>
            <w:tcW w:w="1142" w:type="dxa"/>
          </w:tcPr>
          <w:p>
            <w:pPr>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Hypomagnesemia</w:t>
            </w:r>
          </w:p>
        </w:tc>
        <w:tc>
          <w:tcPr>
            <w:tcW w:w="1134" w:type="dxa"/>
          </w:tcPr>
          <w:p>
            <w:pPr>
              <w:rPr>
                <w:rFonts w:ascii="Times New Roman" w:hAnsi="Times New Roman" w:cs="Times New Roman"/>
              </w:rPr>
            </w:pPr>
            <w:r>
              <w:rPr>
                <w:rFonts w:ascii="Times New Roman" w:hAnsi="Times New Roman" w:cs="Times New Roman"/>
              </w:rPr>
              <w:t>31 (63.3)</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14 (28.6)</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27 (56.3)</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hypermagnesemia</w:t>
            </w:r>
          </w:p>
        </w:tc>
        <w:tc>
          <w:tcPr>
            <w:tcW w:w="1134" w:type="dxa"/>
          </w:tcPr>
          <w:p>
            <w:pPr>
              <w:rPr>
                <w:rFonts w:ascii="Times New Roman" w:hAnsi="Times New Roman" w:cs="Times New Roman"/>
              </w:rPr>
            </w:pPr>
            <w:r>
              <w:rPr>
                <w:rFonts w:ascii="Times New Roman" w:hAnsi="Times New Roman" w:cs="Times New Roman"/>
              </w:rPr>
              <w:t>15 (30.6)</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15 (30.6)</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0</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Hypocalcemia</w:t>
            </w:r>
          </w:p>
        </w:tc>
        <w:tc>
          <w:tcPr>
            <w:tcW w:w="1134" w:type="dxa"/>
          </w:tcPr>
          <w:p>
            <w:pPr>
              <w:rPr>
                <w:rFonts w:ascii="Times New Roman" w:hAnsi="Times New Roman" w:cs="Times New Roman"/>
              </w:rPr>
            </w:pPr>
            <w:r>
              <w:rPr>
                <w:rFonts w:ascii="Times New Roman" w:hAnsi="Times New Roman" w:cs="Times New Roman"/>
              </w:rPr>
              <w:t>30 (61.3)</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29 (59.2)</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9 (18.8)</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hypercalcinemia</w:t>
            </w:r>
          </w:p>
        </w:tc>
        <w:tc>
          <w:tcPr>
            <w:tcW w:w="1134" w:type="dxa"/>
          </w:tcPr>
          <w:p>
            <w:pPr>
              <w:rPr>
                <w:rFonts w:ascii="Times New Roman" w:hAnsi="Times New Roman" w:cs="Times New Roman"/>
              </w:rPr>
            </w:pPr>
            <w:r>
              <w:rPr>
                <w:rFonts w:ascii="Times New Roman" w:hAnsi="Times New Roman" w:cs="Times New Roman"/>
              </w:rPr>
              <w:t>10 (20.4)</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1 (2.0)</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4 (8.3)</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Hypoalbuminemia</w:t>
            </w:r>
          </w:p>
        </w:tc>
        <w:tc>
          <w:tcPr>
            <w:tcW w:w="1134" w:type="dxa"/>
          </w:tcPr>
          <w:p>
            <w:pPr>
              <w:rPr>
                <w:rFonts w:ascii="Times New Roman" w:hAnsi="Times New Roman" w:cs="Times New Roman"/>
              </w:rPr>
            </w:pPr>
            <w:r>
              <w:rPr>
                <w:rFonts w:ascii="Times New Roman" w:hAnsi="Times New Roman" w:cs="Times New Roman"/>
              </w:rPr>
              <w:t>27 (55.1)</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24 (49.0)</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18 (37.5)</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Alanine aminotransferase increased</w:t>
            </w:r>
          </w:p>
        </w:tc>
        <w:tc>
          <w:tcPr>
            <w:tcW w:w="1134" w:type="dxa"/>
          </w:tcPr>
          <w:p>
            <w:pPr>
              <w:rPr>
                <w:rFonts w:ascii="Times New Roman" w:hAnsi="Times New Roman" w:cs="Times New Roman"/>
              </w:rPr>
            </w:pPr>
            <w:r>
              <w:rPr>
                <w:rFonts w:ascii="Times New Roman" w:hAnsi="Times New Roman" w:cs="Times New Roman"/>
              </w:rPr>
              <w:t>28 (57.1)</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25 (51.0)</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5 (10.4)</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Aspartate aminotransferase increased</w:t>
            </w:r>
          </w:p>
        </w:tc>
        <w:tc>
          <w:tcPr>
            <w:tcW w:w="1134" w:type="dxa"/>
          </w:tcPr>
          <w:p>
            <w:pPr>
              <w:rPr>
                <w:rFonts w:ascii="Times New Roman" w:hAnsi="Times New Roman" w:cs="Times New Roman"/>
              </w:rPr>
            </w:pPr>
            <w:r>
              <w:rPr>
                <w:rFonts w:ascii="Times New Roman" w:hAnsi="Times New Roman" w:cs="Times New Roman"/>
              </w:rPr>
              <w:t>36 (73.5)</w:t>
            </w:r>
          </w:p>
        </w:tc>
        <w:tc>
          <w:tcPr>
            <w:tcW w:w="1278" w:type="dxa"/>
          </w:tcPr>
          <w:p>
            <w:pPr>
              <w:rPr>
                <w:rFonts w:ascii="Times New Roman" w:hAnsi="Times New Roman" w:cs="Times New Roman"/>
              </w:rPr>
            </w:pPr>
            <w:r>
              <w:rPr>
                <w:rFonts w:ascii="Times New Roman" w:hAnsi="Times New Roman" w:cs="Times New Roman"/>
              </w:rPr>
              <w:t>1 (2.0)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34 (69.4)</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8 (16.7)</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Lactate dehydrogenase increased</w:t>
            </w:r>
          </w:p>
        </w:tc>
        <w:tc>
          <w:tcPr>
            <w:tcW w:w="1134" w:type="dxa"/>
          </w:tcPr>
          <w:p>
            <w:pPr>
              <w:rPr>
                <w:rFonts w:ascii="Times New Roman" w:hAnsi="Times New Roman" w:cs="Times New Roman"/>
              </w:rPr>
            </w:pPr>
            <w:r>
              <w:rPr>
                <w:rFonts w:ascii="Times New Roman" w:hAnsi="Times New Roman" w:cs="Times New Roman"/>
              </w:rPr>
              <w:t>40 (81.6)</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40 (81.6)</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9 (18.8)</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Blood creatinine increased</w:t>
            </w:r>
          </w:p>
        </w:tc>
        <w:tc>
          <w:tcPr>
            <w:tcW w:w="1134" w:type="dxa"/>
          </w:tcPr>
          <w:p>
            <w:pPr>
              <w:rPr>
                <w:rFonts w:ascii="Times New Roman" w:hAnsi="Times New Roman" w:cs="Times New Roman"/>
              </w:rPr>
            </w:pPr>
            <w:r>
              <w:rPr>
                <w:rFonts w:ascii="Times New Roman" w:hAnsi="Times New Roman" w:cs="Times New Roman"/>
              </w:rPr>
              <w:t>9 (18.4)</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5 (10.2)</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7 (14.6)</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Hyperuricaemia</w:t>
            </w:r>
          </w:p>
        </w:tc>
        <w:tc>
          <w:tcPr>
            <w:tcW w:w="1134" w:type="dxa"/>
          </w:tcPr>
          <w:p>
            <w:pPr>
              <w:rPr>
                <w:rFonts w:ascii="Times New Roman" w:hAnsi="Times New Roman" w:cs="Times New Roman"/>
              </w:rPr>
            </w:pPr>
            <w:r>
              <w:rPr>
                <w:rFonts w:ascii="Times New Roman" w:hAnsi="Times New Roman" w:cs="Times New Roman"/>
              </w:rPr>
              <w:t>28 (57.1)</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22 (44.9)</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17 (35.4)</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Hypercholesterolemia</w:t>
            </w:r>
          </w:p>
        </w:tc>
        <w:tc>
          <w:tcPr>
            <w:tcW w:w="1134" w:type="dxa"/>
          </w:tcPr>
          <w:p>
            <w:pPr>
              <w:rPr>
                <w:rFonts w:ascii="Times New Roman" w:hAnsi="Times New Roman" w:cs="Times New Roman"/>
              </w:rPr>
            </w:pPr>
            <w:r>
              <w:rPr>
                <w:rFonts w:ascii="Times New Roman" w:hAnsi="Times New Roman" w:cs="Times New Roman"/>
              </w:rPr>
              <w:t>32 (65.3)</w:t>
            </w:r>
          </w:p>
        </w:tc>
        <w:tc>
          <w:tcPr>
            <w:tcW w:w="1278" w:type="dxa"/>
          </w:tcPr>
          <w:p>
            <w:pPr>
              <w:rPr>
                <w:rFonts w:ascii="Times New Roman" w:hAnsi="Times New Roman" w:cs="Times New Roman"/>
              </w:rPr>
            </w:pPr>
            <w:r>
              <w:rPr>
                <w:rFonts w:ascii="Times New Roman" w:hAnsi="Times New Roman" w:cs="Times New Roman"/>
              </w:rPr>
              <w:t>1 (2.0)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22 (44.9)</w:t>
            </w:r>
          </w:p>
        </w:tc>
        <w:tc>
          <w:tcPr>
            <w:tcW w:w="1134" w:type="dxa"/>
          </w:tcPr>
          <w:p>
            <w:pPr>
              <w:rPr>
                <w:rFonts w:ascii="Times New Roman" w:hAnsi="Times New Roman" w:cs="Times New Roman"/>
              </w:rPr>
            </w:pPr>
            <w:r>
              <w:rPr>
                <w:rFonts w:ascii="Times New Roman" w:hAnsi="Times New Roman" w:cs="Times New Roman"/>
              </w:rPr>
              <w:t>1 (2.0)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16 (33.3)</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Rash</w:t>
            </w:r>
          </w:p>
        </w:tc>
        <w:tc>
          <w:tcPr>
            <w:tcW w:w="1134" w:type="dxa"/>
          </w:tcPr>
          <w:p>
            <w:pPr>
              <w:rPr>
                <w:rFonts w:ascii="Times New Roman" w:hAnsi="Times New Roman" w:cs="Times New Roman"/>
              </w:rPr>
            </w:pPr>
            <w:r>
              <w:rPr>
                <w:rFonts w:ascii="Times New Roman" w:hAnsi="Times New Roman" w:cs="Times New Roman"/>
              </w:rPr>
              <w:t>22 (44.9)</w:t>
            </w:r>
          </w:p>
        </w:tc>
        <w:tc>
          <w:tcPr>
            <w:tcW w:w="1278" w:type="dxa"/>
          </w:tcPr>
          <w:p>
            <w:pPr>
              <w:rPr>
                <w:rFonts w:ascii="Times New Roman" w:hAnsi="Times New Roman" w:cs="Times New Roman"/>
              </w:rPr>
            </w:pPr>
            <w:r>
              <w:rPr>
                <w:rFonts w:ascii="Times New Roman" w:hAnsi="Times New Roman" w:cs="Times New Roman"/>
              </w:rPr>
              <w:t>5 (10.2)</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21 (42.9)</w:t>
            </w:r>
          </w:p>
        </w:tc>
        <w:tc>
          <w:tcPr>
            <w:tcW w:w="1134" w:type="dxa"/>
          </w:tcPr>
          <w:p>
            <w:pPr>
              <w:rPr>
                <w:rFonts w:ascii="Times New Roman" w:hAnsi="Times New Roman" w:cs="Times New Roman"/>
              </w:rPr>
            </w:pPr>
            <w:r>
              <w:rPr>
                <w:rFonts w:ascii="Times New Roman" w:hAnsi="Times New Roman" w:cs="Times New Roman"/>
              </w:rPr>
              <w:t>5 (10.2)</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4 (8.3)</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Reactive capillary endothelial proliferation</w:t>
            </w:r>
          </w:p>
        </w:tc>
        <w:tc>
          <w:tcPr>
            <w:tcW w:w="1134" w:type="dxa"/>
          </w:tcPr>
          <w:p>
            <w:pPr>
              <w:rPr>
                <w:rFonts w:ascii="Times New Roman" w:hAnsi="Times New Roman" w:cs="Times New Roman"/>
              </w:rPr>
            </w:pPr>
            <w:r>
              <w:rPr>
                <w:rFonts w:ascii="Times New Roman" w:hAnsi="Times New Roman" w:cs="Times New Roman"/>
              </w:rPr>
              <w:t>42 (85.7)</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25 (51.0)</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34 (70.8)</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Fatigue</w:t>
            </w:r>
          </w:p>
        </w:tc>
        <w:tc>
          <w:tcPr>
            <w:tcW w:w="1134" w:type="dxa"/>
          </w:tcPr>
          <w:p>
            <w:pPr>
              <w:rPr>
                <w:rFonts w:ascii="Times New Roman" w:hAnsi="Times New Roman" w:cs="Times New Roman"/>
              </w:rPr>
            </w:pPr>
            <w:r>
              <w:rPr>
                <w:rFonts w:ascii="Times New Roman" w:hAnsi="Times New Roman" w:cs="Times New Roman"/>
              </w:rPr>
              <w:t>39 (79.6)</w:t>
            </w:r>
          </w:p>
        </w:tc>
        <w:tc>
          <w:tcPr>
            <w:tcW w:w="1278" w:type="dxa"/>
          </w:tcPr>
          <w:p>
            <w:pPr>
              <w:rPr>
                <w:rFonts w:ascii="Times New Roman" w:hAnsi="Times New Roman" w:cs="Times New Roman"/>
              </w:rPr>
            </w:pPr>
            <w:r>
              <w:rPr>
                <w:rFonts w:ascii="Times New Roman" w:hAnsi="Times New Roman" w:cs="Times New Roman"/>
              </w:rPr>
              <w:t>2 (4.1)</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37 (75.5)</w:t>
            </w:r>
          </w:p>
        </w:tc>
        <w:tc>
          <w:tcPr>
            <w:tcW w:w="1134" w:type="dxa"/>
          </w:tcPr>
          <w:p>
            <w:pPr>
              <w:rPr>
                <w:rFonts w:ascii="Times New Roman" w:hAnsi="Times New Roman" w:cs="Times New Roman"/>
              </w:rPr>
            </w:pPr>
            <w:r>
              <w:rPr>
                <w:rFonts w:ascii="Times New Roman" w:hAnsi="Times New Roman" w:cs="Times New Roman"/>
              </w:rPr>
              <w:t>2 (4.1)</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38 (79.2)</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Decreased appetite</w:t>
            </w:r>
          </w:p>
        </w:tc>
        <w:tc>
          <w:tcPr>
            <w:tcW w:w="1134" w:type="dxa"/>
          </w:tcPr>
          <w:p>
            <w:pPr>
              <w:rPr>
                <w:rFonts w:ascii="Times New Roman" w:hAnsi="Times New Roman" w:cs="Times New Roman"/>
              </w:rPr>
            </w:pPr>
            <w:r>
              <w:rPr>
                <w:rFonts w:ascii="Times New Roman" w:hAnsi="Times New Roman" w:cs="Times New Roman"/>
              </w:rPr>
              <w:t>43 (87.8)</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43 (87.8)</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42 (87.5)</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Dry mouth</w:t>
            </w:r>
          </w:p>
        </w:tc>
        <w:tc>
          <w:tcPr>
            <w:tcW w:w="1134" w:type="dxa"/>
          </w:tcPr>
          <w:p>
            <w:pPr>
              <w:rPr>
                <w:rFonts w:ascii="Times New Roman" w:hAnsi="Times New Roman" w:cs="Times New Roman"/>
              </w:rPr>
            </w:pPr>
            <w:r>
              <w:rPr>
                <w:rFonts w:ascii="Times New Roman" w:hAnsi="Times New Roman" w:cs="Times New Roman"/>
              </w:rPr>
              <w:t>40 (83.7)</w:t>
            </w:r>
          </w:p>
        </w:tc>
        <w:tc>
          <w:tcPr>
            <w:tcW w:w="1278" w:type="dxa"/>
          </w:tcPr>
          <w:p>
            <w:pPr>
              <w:rPr>
                <w:rFonts w:ascii="Times New Roman" w:hAnsi="Times New Roman" w:cs="Times New Roman"/>
              </w:rPr>
            </w:pPr>
            <w:r>
              <w:rPr>
                <w:rFonts w:ascii="Times New Roman" w:hAnsi="Times New Roman" w:cs="Times New Roman"/>
              </w:rPr>
              <w:t>7 (14.3)</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0</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35 (72.9)</w:t>
            </w:r>
          </w:p>
        </w:tc>
        <w:tc>
          <w:tcPr>
            <w:tcW w:w="1142" w:type="dxa"/>
          </w:tcPr>
          <w:p>
            <w:pPr>
              <w:rPr>
                <w:rFonts w:ascii="Times New Roman" w:hAnsi="Times New Roman" w:cs="Times New Roman"/>
              </w:rPr>
            </w:pPr>
            <w:r>
              <w:rPr>
                <w:rFonts w:ascii="Times New Roman" w:hAnsi="Times New Roman" w:cs="Times New Roman"/>
              </w:rPr>
              <w:t>5 (10.4)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Mucositis</w:t>
            </w:r>
          </w:p>
        </w:tc>
        <w:tc>
          <w:tcPr>
            <w:tcW w:w="1134" w:type="dxa"/>
          </w:tcPr>
          <w:p>
            <w:pPr>
              <w:rPr>
                <w:rFonts w:ascii="Times New Roman" w:hAnsi="Times New Roman" w:cs="Times New Roman"/>
              </w:rPr>
            </w:pPr>
            <w:r>
              <w:rPr>
                <w:rFonts w:ascii="Times New Roman" w:hAnsi="Times New Roman" w:cs="Times New Roman"/>
              </w:rPr>
              <w:t>32 (65.3)</w:t>
            </w:r>
          </w:p>
        </w:tc>
        <w:tc>
          <w:tcPr>
            <w:tcW w:w="1278" w:type="dxa"/>
          </w:tcPr>
          <w:p>
            <w:pPr>
              <w:rPr>
                <w:rFonts w:ascii="Times New Roman" w:hAnsi="Times New Roman" w:cs="Times New Roman"/>
              </w:rPr>
            </w:pPr>
            <w:r>
              <w:rPr>
                <w:rFonts w:ascii="Times New Roman" w:hAnsi="Times New Roman" w:cs="Times New Roman"/>
              </w:rPr>
              <w:t>14 (28.6)</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5 (10.2)</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31 (64.6)</w:t>
            </w:r>
          </w:p>
        </w:tc>
        <w:tc>
          <w:tcPr>
            <w:tcW w:w="1142" w:type="dxa"/>
          </w:tcPr>
          <w:p>
            <w:pPr>
              <w:rPr>
                <w:rFonts w:ascii="Times New Roman" w:hAnsi="Times New Roman" w:cs="Times New Roman"/>
              </w:rPr>
            </w:pPr>
            <w:r>
              <w:rPr>
                <w:rFonts w:ascii="Times New Roman" w:hAnsi="Times New Roman" w:cs="Times New Roman"/>
              </w:rPr>
              <w:t>14 (29.2)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Dermatitis</w:t>
            </w:r>
          </w:p>
        </w:tc>
        <w:tc>
          <w:tcPr>
            <w:tcW w:w="1134" w:type="dxa"/>
          </w:tcPr>
          <w:p>
            <w:pPr>
              <w:rPr>
                <w:rFonts w:ascii="Times New Roman" w:hAnsi="Times New Roman" w:cs="Times New Roman"/>
              </w:rPr>
            </w:pPr>
            <w:r>
              <w:rPr>
                <w:rFonts w:ascii="Times New Roman" w:hAnsi="Times New Roman" w:cs="Times New Roman"/>
              </w:rPr>
              <w:t>32 (65.3)</w:t>
            </w:r>
          </w:p>
        </w:tc>
        <w:tc>
          <w:tcPr>
            <w:tcW w:w="1278" w:type="dxa"/>
          </w:tcPr>
          <w:p>
            <w:pPr>
              <w:rPr>
                <w:rFonts w:ascii="Times New Roman" w:hAnsi="Times New Roman" w:cs="Times New Roman"/>
              </w:rPr>
            </w:pPr>
            <w:r>
              <w:rPr>
                <w:rFonts w:ascii="Times New Roman" w:hAnsi="Times New Roman" w:cs="Times New Roman"/>
              </w:rPr>
              <w:t>3 (6.1)</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0</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32 (66.7)</w:t>
            </w:r>
          </w:p>
        </w:tc>
        <w:tc>
          <w:tcPr>
            <w:tcW w:w="1142" w:type="dxa"/>
          </w:tcPr>
          <w:p>
            <w:pPr>
              <w:rPr>
                <w:rFonts w:ascii="Times New Roman" w:hAnsi="Times New Roman" w:cs="Times New Roman"/>
              </w:rPr>
            </w:pPr>
            <w:r>
              <w:rPr>
                <w:rFonts w:ascii="Times New Roman" w:hAnsi="Times New Roman" w:cs="Times New Roman"/>
              </w:rPr>
              <w:t>3 (6.3)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Weight loss</w:t>
            </w:r>
          </w:p>
        </w:tc>
        <w:tc>
          <w:tcPr>
            <w:tcW w:w="1134" w:type="dxa"/>
          </w:tcPr>
          <w:p>
            <w:pPr>
              <w:rPr>
                <w:rFonts w:ascii="Times New Roman" w:hAnsi="Times New Roman" w:cs="Times New Roman"/>
              </w:rPr>
            </w:pPr>
            <w:r>
              <w:rPr>
                <w:rFonts w:ascii="Times New Roman" w:hAnsi="Times New Roman" w:cs="Times New Roman"/>
              </w:rPr>
              <w:t>31 (63.3)</w:t>
            </w:r>
          </w:p>
        </w:tc>
        <w:tc>
          <w:tcPr>
            <w:tcW w:w="1278" w:type="dxa"/>
          </w:tcPr>
          <w:p>
            <w:pPr>
              <w:rPr>
                <w:rFonts w:ascii="Times New Roman" w:hAnsi="Times New Roman" w:cs="Times New Roman"/>
              </w:rPr>
            </w:pPr>
            <w:r>
              <w:rPr>
                <w:rFonts w:ascii="Times New Roman" w:hAnsi="Times New Roman" w:cs="Times New Roman"/>
              </w:rPr>
              <w:t>1 (2.0)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6 (12.2)</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27 (56.3)</w:t>
            </w:r>
          </w:p>
        </w:tc>
        <w:tc>
          <w:tcPr>
            <w:tcW w:w="1142" w:type="dxa"/>
          </w:tcPr>
          <w:p>
            <w:pPr>
              <w:rPr>
                <w:rFonts w:ascii="Times New Roman" w:hAnsi="Times New Roman" w:cs="Times New Roman"/>
              </w:rPr>
            </w:pPr>
            <w:r>
              <w:rPr>
                <w:rFonts w:ascii="Times New Roman" w:hAnsi="Times New Roman" w:cs="Times New Roman"/>
              </w:rPr>
              <w:t>1 (2.1)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hypogeusia</w:t>
            </w:r>
          </w:p>
        </w:tc>
        <w:tc>
          <w:tcPr>
            <w:tcW w:w="1134" w:type="dxa"/>
          </w:tcPr>
          <w:p>
            <w:pPr>
              <w:rPr>
                <w:rFonts w:ascii="Times New Roman" w:hAnsi="Times New Roman" w:cs="Times New Roman"/>
              </w:rPr>
            </w:pPr>
            <w:r>
              <w:rPr>
                <w:rFonts w:ascii="Times New Roman" w:hAnsi="Times New Roman" w:cs="Times New Roman"/>
              </w:rPr>
              <w:t>41 (83.7)</w:t>
            </w:r>
          </w:p>
        </w:tc>
        <w:tc>
          <w:tcPr>
            <w:tcW w:w="1278" w:type="dxa"/>
          </w:tcPr>
          <w:p>
            <w:pPr>
              <w:rPr>
                <w:rFonts w:ascii="Times New Roman" w:hAnsi="Times New Roman" w:cs="Times New Roman"/>
              </w:rPr>
            </w:pPr>
            <w:r>
              <w:rPr>
                <w:rFonts w:ascii="Times New Roman" w:hAnsi="Times New Roman" w:cs="Times New Roman"/>
              </w:rPr>
              <w:t>-</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5 (10.2)</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39 (81.3)</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Nausea</w:t>
            </w:r>
          </w:p>
        </w:tc>
        <w:tc>
          <w:tcPr>
            <w:tcW w:w="1134" w:type="dxa"/>
          </w:tcPr>
          <w:p>
            <w:pPr>
              <w:rPr>
                <w:rFonts w:ascii="Times New Roman" w:hAnsi="Times New Roman" w:cs="Times New Roman"/>
              </w:rPr>
            </w:pPr>
            <w:r>
              <w:rPr>
                <w:rFonts w:ascii="Times New Roman" w:hAnsi="Times New Roman" w:cs="Times New Roman"/>
              </w:rPr>
              <w:t>41 (83.7)</w:t>
            </w:r>
          </w:p>
        </w:tc>
        <w:tc>
          <w:tcPr>
            <w:tcW w:w="1278" w:type="dxa"/>
          </w:tcPr>
          <w:p>
            <w:pPr>
              <w:rPr>
                <w:rFonts w:ascii="Times New Roman" w:hAnsi="Times New Roman" w:cs="Times New Roman"/>
              </w:rPr>
            </w:pPr>
            <w:r>
              <w:rPr>
                <w:rFonts w:ascii="Times New Roman" w:hAnsi="Times New Roman" w:cs="Times New Roman"/>
              </w:rPr>
              <w:t>7 (14.3)</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41 (83.7)</w:t>
            </w:r>
          </w:p>
        </w:tc>
        <w:tc>
          <w:tcPr>
            <w:tcW w:w="1134" w:type="dxa"/>
          </w:tcPr>
          <w:p>
            <w:pPr>
              <w:rPr>
                <w:rFonts w:ascii="Times New Roman" w:hAnsi="Times New Roman" w:cs="Times New Roman"/>
              </w:rPr>
            </w:pPr>
            <w:r>
              <w:rPr>
                <w:rFonts w:ascii="Times New Roman" w:hAnsi="Times New Roman" w:cs="Times New Roman"/>
              </w:rPr>
              <w:t>5 (10.2)</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45 (93.8)</w:t>
            </w:r>
          </w:p>
        </w:tc>
        <w:tc>
          <w:tcPr>
            <w:tcW w:w="1142" w:type="dxa"/>
          </w:tcPr>
          <w:p>
            <w:pPr>
              <w:rPr>
                <w:rFonts w:ascii="Times New Roman" w:hAnsi="Times New Roman" w:cs="Times New Roman"/>
              </w:rPr>
            </w:pPr>
            <w:r>
              <w:rPr>
                <w:rFonts w:ascii="Times New Roman" w:hAnsi="Times New Roman" w:cs="Times New Roman"/>
              </w:rPr>
              <w:t>2 (4.2)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Vomit</w:t>
            </w:r>
          </w:p>
        </w:tc>
        <w:tc>
          <w:tcPr>
            <w:tcW w:w="1134" w:type="dxa"/>
          </w:tcPr>
          <w:p>
            <w:pPr>
              <w:rPr>
                <w:rFonts w:ascii="Times New Roman" w:hAnsi="Times New Roman" w:cs="Times New Roman"/>
              </w:rPr>
            </w:pPr>
            <w:r>
              <w:rPr>
                <w:rFonts w:ascii="Times New Roman" w:hAnsi="Times New Roman" w:cs="Times New Roman"/>
              </w:rPr>
              <w:t>32 (65.3)</w:t>
            </w:r>
          </w:p>
        </w:tc>
        <w:tc>
          <w:tcPr>
            <w:tcW w:w="1278" w:type="dxa"/>
          </w:tcPr>
          <w:p>
            <w:pPr>
              <w:rPr>
                <w:rFonts w:ascii="Times New Roman" w:hAnsi="Times New Roman" w:cs="Times New Roman"/>
              </w:rPr>
            </w:pPr>
            <w:r>
              <w:rPr>
                <w:rFonts w:ascii="Times New Roman" w:hAnsi="Times New Roman" w:cs="Times New Roman"/>
              </w:rPr>
              <w:t>6 (12.2)</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26 (53.1)</w:t>
            </w:r>
          </w:p>
        </w:tc>
        <w:tc>
          <w:tcPr>
            <w:tcW w:w="1134" w:type="dxa"/>
          </w:tcPr>
          <w:p>
            <w:pPr>
              <w:rPr>
                <w:rFonts w:ascii="Times New Roman" w:hAnsi="Times New Roman" w:cs="Times New Roman"/>
              </w:rPr>
            </w:pPr>
            <w:r>
              <w:rPr>
                <w:rFonts w:ascii="Times New Roman" w:hAnsi="Times New Roman" w:cs="Times New Roman"/>
              </w:rPr>
              <w:t>3 (6.1)</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34 (70.8)</w:t>
            </w:r>
          </w:p>
        </w:tc>
        <w:tc>
          <w:tcPr>
            <w:tcW w:w="1142" w:type="dxa"/>
          </w:tcPr>
          <w:p>
            <w:pPr>
              <w:rPr>
                <w:rFonts w:ascii="Times New Roman" w:hAnsi="Times New Roman" w:cs="Times New Roman"/>
              </w:rPr>
            </w:pPr>
            <w:r>
              <w:rPr>
                <w:rFonts w:ascii="Times New Roman" w:hAnsi="Times New Roman" w:cs="Times New Roman"/>
              </w:rPr>
              <w:t>3 (6.3)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Hypertension</w:t>
            </w:r>
          </w:p>
        </w:tc>
        <w:tc>
          <w:tcPr>
            <w:tcW w:w="1134" w:type="dxa"/>
          </w:tcPr>
          <w:p>
            <w:pPr>
              <w:rPr>
                <w:rFonts w:ascii="Times New Roman" w:hAnsi="Times New Roman" w:cs="Times New Roman"/>
              </w:rPr>
            </w:pPr>
            <w:r>
              <w:rPr>
                <w:rFonts w:ascii="Times New Roman" w:hAnsi="Times New Roman" w:cs="Times New Roman"/>
              </w:rPr>
              <w:t>4 (8.2)</w:t>
            </w:r>
          </w:p>
        </w:tc>
        <w:tc>
          <w:tcPr>
            <w:tcW w:w="1278" w:type="dxa"/>
          </w:tcPr>
          <w:p>
            <w:pPr>
              <w:rPr>
                <w:rFonts w:ascii="Times New Roman" w:hAnsi="Times New Roman" w:cs="Times New Roman"/>
              </w:rPr>
            </w:pPr>
            <w:r>
              <w:rPr>
                <w:rFonts w:ascii="Times New Roman" w:hAnsi="Times New Roman" w:cs="Times New Roman"/>
              </w:rPr>
              <w:t>1 (2.0)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4 (8.2)</w:t>
            </w:r>
          </w:p>
        </w:tc>
        <w:tc>
          <w:tcPr>
            <w:tcW w:w="1134" w:type="dxa"/>
          </w:tcPr>
          <w:p>
            <w:pPr>
              <w:rPr>
                <w:rFonts w:ascii="Times New Roman" w:hAnsi="Times New Roman" w:cs="Times New Roman"/>
              </w:rPr>
            </w:pPr>
            <w:r>
              <w:rPr>
                <w:rFonts w:ascii="Times New Roman" w:hAnsi="Times New Roman" w:cs="Times New Roman"/>
              </w:rPr>
              <w:t>1 (2.0)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0</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Diarrhea</w:t>
            </w:r>
          </w:p>
        </w:tc>
        <w:tc>
          <w:tcPr>
            <w:tcW w:w="1134" w:type="dxa"/>
          </w:tcPr>
          <w:p>
            <w:pPr>
              <w:rPr>
                <w:rFonts w:ascii="Times New Roman" w:hAnsi="Times New Roman" w:cs="Times New Roman"/>
              </w:rPr>
            </w:pPr>
            <w:r>
              <w:rPr>
                <w:rFonts w:ascii="Times New Roman" w:hAnsi="Times New Roman" w:cs="Times New Roman"/>
              </w:rPr>
              <w:t>6 (12.2)</w:t>
            </w:r>
          </w:p>
        </w:tc>
        <w:tc>
          <w:tcPr>
            <w:tcW w:w="1278" w:type="dxa"/>
          </w:tcPr>
          <w:p>
            <w:pPr>
              <w:rPr>
                <w:rFonts w:ascii="Times New Roman" w:hAnsi="Times New Roman" w:cs="Times New Roman"/>
              </w:rPr>
            </w:pPr>
            <w:r>
              <w:rPr>
                <w:rFonts w:ascii="Times New Roman" w:hAnsi="Times New Roman" w:cs="Times New Roman"/>
              </w:rPr>
              <w:t>2 (4.1)</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4 (8.2)</w:t>
            </w:r>
          </w:p>
        </w:tc>
        <w:tc>
          <w:tcPr>
            <w:tcW w:w="1134" w:type="dxa"/>
          </w:tcPr>
          <w:p>
            <w:pPr>
              <w:rPr>
                <w:rFonts w:ascii="Times New Roman" w:hAnsi="Times New Roman" w:cs="Times New Roman"/>
              </w:rPr>
            </w:pPr>
            <w:r>
              <w:rPr>
                <w:rFonts w:ascii="Times New Roman" w:hAnsi="Times New Roman" w:cs="Times New Roman"/>
              </w:rPr>
              <w:t>2 (4.1)</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3 (6.3)</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Constipation</w:t>
            </w:r>
          </w:p>
        </w:tc>
        <w:tc>
          <w:tcPr>
            <w:tcW w:w="1134" w:type="dxa"/>
          </w:tcPr>
          <w:p>
            <w:pPr>
              <w:rPr>
                <w:rFonts w:ascii="Times New Roman" w:hAnsi="Times New Roman" w:cs="Times New Roman"/>
              </w:rPr>
            </w:pPr>
            <w:r>
              <w:rPr>
                <w:rFonts w:ascii="Times New Roman" w:hAnsi="Times New Roman" w:cs="Times New Roman"/>
              </w:rPr>
              <w:t>21 (42.9)</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14 (28.6)</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18 (37.5)</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Dizziness</w:t>
            </w:r>
          </w:p>
        </w:tc>
        <w:tc>
          <w:tcPr>
            <w:tcW w:w="1134" w:type="dxa"/>
          </w:tcPr>
          <w:p>
            <w:pPr>
              <w:rPr>
                <w:rFonts w:ascii="Times New Roman" w:hAnsi="Times New Roman" w:cs="Times New Roman"/>
              </w:rPr>
            </w:pPr>
            <w:r>
              <w:rPr>
                <w:rFonts w:ascii="Times New Roman" w:hAnsi="Times New Roman" w:cs="Times New Roman"/>
              </w:rPr>
              <w:t>11 (22.4)</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9 (18.4)</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4 (8.3)</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Pruritus</w:t>
            </w:r>
          </w:p>
        </w:tc>
        <w:tc>
          <w:tcPr>
            <w:tcW w:w="1134" w:type="dxa"/>
          </w:tcPr>
          <w:p>
            <w:pPr>
              <w:rPr>
                <w:rFonts w:ascii="Times New Roman" w:hAnsi="Times New Roman" w:cs="Times New Roman"/>
              </w:rPr>
            </w:pPr>
            <w:r>
              <w:rPr>
                <w:rFonts w:ascii="Times New Roman" w:hAnsi="Times New Roman" w:cs="Times New Roman"/>
              </w:rPr>
              <w:t>22 (44.9)</w:t>
            </w:r>
          </w:p>
        </w:tc>
        <w:tc>
          <w:tcPr>
            <w:tcW w:w="1278" w:type="dxa"/>
          </w:tcPr>
          <w:p>
            <w:pPr>
              <w:rPr>
                <w:rFonts w:ascii="Times New Roman" w:hAnsi="Times New Roman" w:cs="Times New Roman"/>
              </w:rPr>
            </w:pPr>
            <w:r>
              <w:rPr>
                <w:rFonts w:ascii="Times New Roman" w:hAnsi="Times New Roman" w:cs="Times New Roman"/>
              </w:rPr>
              <w:t>3 (6.1)</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21 (42.9)</w:t>
            </w:r>
          </w:p>
        </w:tc>
        <w:tc>
          <w:tcPr>
            <w:tcW w:w="1134" w:type="dxa"/>
          </w:tcPr>
          <w:p>
            <w:pPr>
              <w:rPr>
                <w:rFonts w:ascii="Times New Roman" w:hAnsi="Times New Roman" w:cs="Times New Roman"/>
              </w:rPr>
            </w:pPr>
            <w:r>
              <w:rPr>
                <w:rFonts w:ascii="Times New Roman" w:hAnsi="Times New Roman" w:cs="Times New Roman"/>
              </w:rPr>
              <w:t>3 (6.1)</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8 (16.7)</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Hiccup</w:t>
            </w:r>
          </w:p>
        </w:tc>
        <w:tc>
          <w:tcPr>
            <w:tcW w:w="1134" w:type="dxa"/>
          </w:tcPr>
          <w:p>
            <w:pPr>
              <w:rPr>
                <w:rFonts w:ascii="Times New Roman" w:hAnsi="Times New Roman" w:cs="Times New Roman"/>
              </w:rPr>
            </w:pPr>
            <w:r>
              <w:rPr>
                <w:rFonts w:ascii="Times New Roman" w:hAnsi="Times New Roman" w:cs="Times New Roman"/>
              </w:rPr>
              <w:t>11 (22.4)</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8 (16.3)</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6 (12.5)</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Hoarseness</w:t>
            </w:r>
          </w:p>
        </w:tc>
        <w:tc>
          <w:tcPr>
            <w:tcW w:w="1134" w:type="dxa"/>
          </w:tcPr>
          <w:p>
            <w:pPr>
              <w:rPr>
                <w:rFonts w:ascii="Times New Roman" w:hAnsi="Times New Roman" w:cs="Times New Roman"/>
              </w:rPr>
            </w:pPr>
            <w:r>
              <w:rPr>
                <w:rFonts w:ascii="Times New Roman" w:hAnsi="Times New Roman" w:cs="Times New Roman"/>
              </w:rPr>
              <w:t>18 (36.7)</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8 (16.3)</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9 (18.8)</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Fever</w:t>
            </w:r>
          </w:p>
        </w:tc>
        <w:tc>
          <w:tcPr>
            <w:tcW w:w="1134" w:type="dxa"/>
          </w:tcPr>
          <w:p>
            <w:pPr>
              <w:rPr>
                <w:rFonts w:ascii="Times New Roman" w:hAnsi="Times New Roman" w:cs="Times New Roman"/>
              </w:rPr>
            </w:pPr>
            <w:r>
              <w:rPr>
                <w:rFonts w:ascii="Times New Roman" w:hAnsi="Times New Roman" w:cs="Times New Roman"/>
              </w:rPr>
              <w:t>7 (14.3)</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3 (6.1)</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2 (4.2)</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Peripheral neuropathy</w:t>
            </w:r>
          </w:p>
        </w:tc>
        <w:tc>
          <w:tcPr>
            <w:tcW w:w="1134" w:type="dxa"/>
          </w:tcPr>
          <w:p>
            <w:pPr>
              <w:rPr>
                <w:rFonts w:ascii="Times New Roman" w:hAnsi="Times New Roman" w:cs="Times New Roman"/>
              </w:rPr>
            </w:pPr>
            <w:r>
              <w:rPr>
                <w:rFonts w:ascii="Times New Roman" w:hAnsi="Times New Roman" w:cs="Times New Roman"/>
              </w:rPr>
              <w:t>40 (81.6)</w:t>
            </w:r>
          </w:p>
        </w:tc>
        <w:tc>
          <w:tcPr>
            <w:tcW w:w="1278" w:type="dxa"/>
          </w:tcPr>
          <w:p>
            <w:pPr>
              <w:rPr>
                <w:rFonts w:ascii="Times New Roman" w:hAnsi="Times New Roman" w:cs="Times New Roman"/>
              </w:rPr>
            </w:pPr>
            <w:r>
              <w:rPr>
                <w:rFonts w:ascii="Times New Roman" w:hAnsi="Times New Roman" w:cs="Times New Roman"/>
              </w:rPr>
              <w:t>1 (2.0)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39 (79.6)</w:t>
            </w:r>
          </w:p>
        </w:tc>
        <w:tc>
          <w:tcPr>
            <w:tcW w:w="1134" w:type="dxa"/>
          </w:tcPr>
          <w:p>
            <w:pPr>
              <w:rPr>
                <w:rFonts w:ascii="Times New Roman" w:hAnsi="Times New Roman" w:cs="Times New Roman"/>
              </w:rPr>
            </w:pPr>
            <w:r>
              <w:rPr>
                <w:rFonts w:ascii="Times New Roman" w:hAnsi="Times New Roman" w:cs="Times New Roman"/>
              </w:rPr>
              <w:t>1 (2.0)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22 (45.8)</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Allergic reaction</w:t>
            </w:r>
          </w:p>
        </w:tc>
        <w:tc>
          <w:tcPr>
            <w:tcW w:w="1134" w:type="dxa"/>
          </w:tcPr>
          <w:p>
            <w:pPr>
              <w:rPr>
                <w:rFonts w:ascii="Times New Roman" w:hAnsi="Times New Roman" w:cs="Times New Roman"/>
              </w:rPr>
            </w:pPr>
            <w:r>
              <w:rPr>
                <w:rFonts w:ascii="Times New Roman" w:hAnsi="Times New Roman" w:cs="Times New Roman"/>
              </w:rPr>
              <w:t>3 (6.1)</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3 (6.1)</w:t>
            </w:r>
          </w:p>
        </w:tc>
        <w:tc>
          <w:tcPr>
            <w:tcW w:w="1134" w:type="dxa"/>
          </w:tcPr>
          <w:p>
            <w:pPr>
              <w:rPr>
                <w:rFonts w:ascii="Times New Roman" w:hAnsi="Times New Roman" w:cs="Times New Roman"/>
              </w:rPr>
            </w:pPr>
            <w:r>
              <w:rPr>
                <w:rFonts w:ascii="Times New Roman" w:hAnsi="Times New Roman" w:cs="Times New Roman"/>
              </w:rPr>
              <w:t>0</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0</w:t>
            </w:r>
          </w:p>
        </w:tc>
        <w:tc>
          <w:tcPr>
            <w:tcW w:w="1142" w:type="dxa"/>
          </w:tcPr>
          <w:p>
            <w:pPr>
              <w:rPr>
                <w:rFonts w:ascii="Times New Roman" w:hAnsi="Times New Roman" w:cs="Times New Roman"/>
              </w:rPr>
            </w:pPr>
            <w:r>
              <w:rPr>
                <w:rFonts w:ascii="Times New Roman" w:hAnsi="Times New Roman" w:cs="Times New Roma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Any late adverse events</w:t>
            </w:r>
            <w:r>
              <w:rPr>
                <w:rFonts w:ascii="Times New Roman" w:hAnsi="Times New Roman" w:eastAsia="宋体" w:cs="Times New Roman"/>
              </w:rPr>
              <w:t>†</w:t>
            </w:r>
          </w:p>
        </w:tc>
        <w:tc>
          <w:tcPr>
            <w:tcW w:w="1134" w:type="dxa"/>
          </w:tcPr>
          <w:p>
            <w:pPr>
              <w:rPr>
                <w:rFonts w:ascii="Times New Roman" w:hAnsi="Times New Roman" w:cs="Times New Roman"/>
              </w:rPr>
            </w:pPr>
            <w:r>
              <w:rPr>
                <w:rFonts w:ascii="Times New Roman" w:hAnsi="Times New Roman" w:cs="Times New Roman"/>
              </w:rPr>
              <w:t>39 (79.6)</w:t>
            </w:r>
          </w:p>
        </w:tc>
        <w:tc>
          <w:tcPr>
            <w:tcW w:w="1278" w:type="dxa"/>
          </w:tcPr>
          <w:p>
            <w:pPr>
              <w:rPr>
                <w:rFonts w:ascii="Times New Roman" w:hAnsi="Times New Roman" w:cs="Times New Roman"/>
              </w:rPr>
            </w:pPr>
            <w:r>
              <w:rPr>
                <w:rFonts w:ascii="Times New Roman" w:hAnsi="Times New Roman" w:cs="Times New Roman"/>
              </w:rPr>
              <w:t>8 (16.3)</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Hearing impairment</w:t>
            </w:r>
          </w:p>
        </w:tc>
        <w:tc>
          <w:tcPr>
            <w:tcW w:w="1134" w:type="dxa"/>
          </w:tcPr>
          <w:p>
            <w:pPr>
              <w:rPr>
                <w:rFonts w:ascii="Times New Roman" w:hAnsi="Times New Roman" w:cs="Times New Roman"/>
              </w:rPr>
            </w:pPr>
            <w:r>
              <w:rPr>
                <w:rFonts w:ascii="Times New Roman" w:hAnsi="Times New Roman" w:cs="Times New Roman"/>
              </w:rPr>
              <w:t>20 (40.8)</w:t>
            </w:r>
          </w:p>
        </w:tc>
        <w:tc>
          <w:tcPr>
            <w:tcW w:w="1278" w:type="dxa"/>
          </w:tcPr>
          <w:p>
            <w:pPr>
              <w:rPr>
                <w:rFonts w:ascii="Times New Roman" w:hAnsi="Times New Roman" w:cs="Times New Roman"/>
              </w:rPr>
            </w:pPr>
            <w:r>
              <w:rPr>
                <w:rFonts w:ascii="Times New Roman" w:hAnsi="Times New Roman" w:cs="Times New Roman"/>
              </w:rPr>
              <w:t>5 (10.2)</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Dry mouth</w:t>
            </w:r>
          </w:p>
        </w:tc>
        <w:tc>
          <w:tcPr>
            <w:tcW w:w="1134" w:type="dxa"/>
          </w:tcPr>
          <w:p>
            <w:pPr>
              <w:rPr>
                <w:rFonts w:ascii="Times New Roman" w:hAnsi="Times New Roman" w:cs="Times New Roman"/>
              </w:rPr>
            </w:pPr>
            <w:r>
              <w:rPr>
                <w:rFonts w:ascii="Times New Roman" w:hAnsi="Times New Roman" w:cs="Times New Roman"/>
              </w:rPr>
              <w:t>40 (81.6)</w:t>
            </w:r>
          </w:p>
        </w:tc>
        <w:tc>
          <w:tcPr>
            <w:tcW w:w="1278" w:type="dxa"/>
          </w:tcPr>
          <w:p>
            <w:pPr>
              <w:rPr>
                <w:rFonts w:ascii="Times New Roman" w:hAnsi="Times New Roman" w:cs="Times New Roman"/>
              </w:rPr>
            </w:pPr>
            <w:r>
              <w:rPr>
                <w:rFonts w:ascii="Times New Roman" w:hAnsi="Times New Roman" w:cs="Times New Roman"/>
              </w:rPr>
              <w:t>4 (8.2)</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Trismus</w:t>
            </w:r>
          </w:p>
        </w:tc>
        <w:tc>
          <w:tcPr>
            <w:tcW w:w="1134" w:type="dxa"/>
          </w:tcPr>
          <w:p>
            <w:pPr>
              <w:rPr>
                <w:rFonts w:ascii="Times New Roman" w:hAnsi="Times New Roman" w:cs="Times New Roman"/>
              </w:rPr>
            </w:pPr>
            <w:r>
              <w:rPr>
                <w:rFonts w:ascii="Times New Roman" w:hAnsi="Times New Roman" w:cs="Times New Roman"/>
              </w:rPr>
              <w:t>4 (8.2)</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Temporal lobe injury</w:t>
            </w:r>
          </w:p>
        </w:tc>
        <w:tc>
          <w:tcPr>
            <w:tcW w:w="1134" w:type="dxa"/>
          </w:tcPr>
          <w:p>
            <w:pPr>
              <w:rPr>
                <w:rFonts w:ascii="Times New Roman" w:hAnsi="Times New Roman" w:cs="Times New Roman"/>
              </w:rPr>
            </w:pPr>
            <w:r>
              <w:rPr>
                <w:rFonts w:ascii="Times New Roman" w:hAnsi="Times New Roman" w:cs="Times New Roman"/>
              </w:rPr>
              <w:t>6 (12.2)</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Eye damage</w:t>
            </w:r>
          </w:p>
        </w:tc>
        <w:tc>
          <w:tcPr>
            <w:tcW w:w="1134" w:type="dxa"/>
          </w:tcPr>
          <w:p>
            <w:pPr>
              <w:rPr>
                <w:rFonts w:ascii="Times New Roman" w:hAnsi="Times New Roman" w:cs="Times New Roman"/>
              </w:rPr>
            </w:pPr>
            <w:r>
              <w:rPr>
                <w:rFonts w:ascii="Times New Roman" w:hAnsi="Times New Roman" w:cs="Times New Roman"/>
              </w:rPr>
              <w:t>3 (6.1)</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Pr>
          <w:p>
            <w:pPr>
              <w:jc w:val="left"/>
              <w:rPr>
                <w:rFonts w:ascii="Times New Roman" w:hAnsi="Times New Roman" w:cs="Times New Roman"/>
              </w:rPr>
            </w:pPr>
            <w:r>
              <w:rPr>
                <w:rFonts w:ascii="Times New Roman" w:hAnsi="Times New Roman" w:cs="Times New Roman"/>
              </w:rPr>
              <w:t>Peripheral neuropathy</w:t>
            </w:r>
          </w:p>
        </w:tc>
        <w:tc>
          <w:tcPr>
            <w:tcW w:w="1134" w:type="dxa"/>
          </w:tcPr>
          <w:p>
            <w:pPr>
              <w:rPr>
                <w:rFonts w:ascii="Times New Roman" w:hAnsi="Times New Roman" w:cs="Times New Roman"/>
              </w:rPr>
            </w:pPr>
            <w:r>
              <w:rPr>
                <w:rFonts w:ascii="Times New Roman" w:hAnsi="Times New Roman" w:cs="Times New Roman"/>
              </w:rPr>
              <w:t>4 (8.2)</w:t>
            </w:r>
          </w:p>
        </w:tc>
        <w:tc>
          <w:tcPr>
            <w:tcW w:w="1278" w:type="dxa"/>
          </w:tcPr>
          <w:p>
            <w:pPr>
              <w:rPr>
                <w:rFonts w:ascii="Times New Roman" w:hAnsi="Times New Roman" w:cs="Times New Roman"/>
              </w:rPr>
            </w:pPr>
            <w:r>
              <w:rPr>
                <w:rFonts w:ascii="Times New Roman" w:hAnsi="Times New Roman" w:cs="Times New Roman"/>
              </w:rPr>
              <w:t>0</w:t>
            </w:r>
          </w:p>
        </w:tc>
        <w:tc>
          <w:tcPr>
            <w:tcW w:w="284" w:type="dxa"/>
          </w:tcPr>
          <w:p>
            <w:pPr>
              <w:rPr>
                <w:rFonts w:ascii="Times New Roman" w:hAnsi="Times New Roman" w:cs="Times New Roman"/>
              </w:rPr>
            </w:pPr>
          </w:p>
        </w:tc>
        <w:tc>
          <w:tcPr>
            <w:tcW w:w="1132" w:type="dxa"/>
          </w:tcPr>
          <w:p>
            <w:pPr>
              <w:rPr>
                <w:rFonts w:ascii="Times New Roman" w:hAnsi="Times New Roman" w:cs="Times New Roman"/>
              </w:rPr>
            </w:pPr>
            <w:r>
              <w:rPr>
                <w:rFonts w:ascii="Times New Roman" w:hAnsi="Times New Roman" w:cs="Times New Roman"/>
              </w:rPr>
              <w:t>-</w:t>
            </w:r>
          </w:p>
        </w:tc>
        <w:tc>
          <w:tcPr>
            <w:tcW w:w="1134" w:type="dxa"/>
          </w:tcPr>
          <w:p>
            <w:pPr>
              <w:rPr>
                <w:rFonts w:ascii="Times New Roman" w:hAnsi="Times New Roman" w:cs="Times New Roman"/>
              </w:rPr>
            </w:pPr>
            <w:r>
              <w:rPr>
                <w:rFonts w:ascii="Times New Roman" w:hAnsi="Times New Roman" w:cs="Times New Roman"/>
              </w:rPr>
              <w:t>-</w:t>
            </w:r>
          </w:p>
        </w:tc>
        <w:tc>
          <w:tcPr>
            <w:tcW w:w="283" w:type="dxa"/>
          </w:tcPr>
          <w:p>
            <w:pPr>
              <w:rPr>
                <w:rFonts w:ascii="Times New Roman" w:hAnsi="Times New Roman" w:cs="Times New Roman"/>
              </w:rPr>
            </w:pPr>
          </w:p>
        </w:tc>
        <w:tc>
          <w:tcPr>
            <w:tcW w:w="1134" w:type="dxa"/>
          </w:tcPr>
          <w:p>
            <w:pPr>
              <w:rPr>
                <w:rFonts w:ascii="Times New Roman" w:hAnsi="Times New Roman" w:cs="Times New Roman"/>
              </w:rPr>
            </w:pPr>
            <w:r>
              <w:rPr>
                <w:rFonts w:ascii="Times New Roman" w:hAnsi="Times New Roman" w:cs="Times New Roman"/>
              </w:rPr>
              <w:t>-</w:t>
            </w:r>
          </w:p>
        </w:tc>
        <w:tc>
          <w:tcPr>
            <w:tcW w:w="1142" w:type="dxa"/>
          </w:tcPr>
          <w:p>
            <w:pPr>
              <w:rPr>
                <w:rFonts w:ascii="Times New Roman" w:hAnsi="Times New Roman" w:cs="Times New Roman"/>
              </w:rPr>
            </w:pPr>
            <w:r>
              <w:rPr>
                <w:rFonts w:ascii="Times New Roman" w:hAnsi="Times New Roman" w:cs="Times New Roma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36" w:type="dxa"/>
            <w:tcBorders>
              <w:bottom w:val="single" w:color="auto" w:sz="4" w:space="0"/>
            </w:tcBorders>
          </w:tcPr>
          <w:p>
            <w:pPr>
              <w:rPr>
                <w:rFonts w:ascii="Times New Roman" w:hAnsi="Times New Roman" w:cs="Times New Roman"/>
              </w:rPr>
            </w:pPr>
          </w:p>
        </w:tc>
        <w:tc>
          <w:tcPr>
            <w:tcW w:w="1134" w:type="dxa"/>
            <w:tcBorders>
              <w:bottom w:val="single" w:color="auto" w:sz="4" w:space="0"/>
            </w:tcBorders>
          </w:tcPr>
          <w:p>
            <w:pPr>
              <w:rPr>
                <w:rFonts w:ascii="Times New Roman" w:hAnsi="Times New Roman" w:cs="Times New Roman"/>
              </w:rPr>
            </w:pPr>
          </w:p>
        </w:tc>
        <w:tc>
          <w:tcPr>
            <w:tcW w:w="1278" w:type="dxa"/>
            <w:tcBorders>
              <w:bottom w:val="single" w:color="auto" w:sz="4" w:space="0"/>
            </w:tcBorders>
          </w:tcPr>
          <w:p>
            <w:pPr>
              <w:rPr>
                <w:rFonts w:ascii="Times New Roman" w:hAnsi="Times New Roman" w:cs="Times New Roman"/>
              </w:rPr>
            </w:pPr>
          </w:p>
        </w:tc>
        <w:tc>
          <w:tcPr>
            <w:tcW w:w="284" w:type="dxa"/>
            <w:tcBorders>
              <w:bottom w:val="single" w:color="auto" w:sz="4" w:space="0"/>
            </w:tcBorders>
          </w:tcPr>
          <w:p>
            <w:pPr>
              <w:rPr>
                <w:rFonts w:ascii="Times New Roman" w:hAnsi="Times New Roman" w:cs="Times New Roman"/>
              </w:rPr>
            </w:pPr>
          </w:p>
        </w:tc>
        <w:tc>
          <w:tcPr>
            <w:tcW w:w="1132" w:type="dxa"/>
            <w:tcBorders>
              <w:bottom w:val="single" w:color="auto" w:sz="4" w:space="0"/>
            </w:tcBorders>
          </w:tcPr>
          <w:p>
            <w:pPr>
              <w:rPr>
                <w:rFonts w:ascii="Times New Roman" w:hAnsi="Times New Roman" w:cs="Times New Roman"/>
              </w:rPr>
            </w:pPr>
          </w:p>
        </w:tc>
        <w:tc>
          <w:tcPr>
            <w:tcW w:w="1134" w:type="dxa"/>
            <w:tcBorders>
              <w:bottom w:val="single" w:color="auto" w:sz="4" w:space="0"/>
            </w:tcBorders>
          </w:tcPr>
          <w:p>
            <w:pPr>
              <w:rPr>
                <w:rFonts w:ascii="Times New Roman" w:hAnsi="Times New Roman" w:cs="Times New Roman"/>
              </w:rPr>
            </w:pPr>
          </w:p>
        </w:tc>
        <w:tc>
          <w:tcPr>
            <w:tcW w:w="283" w:type="dxa"/>
            <w:tcBorders>
              <w:bottom w:val="single" w:color="auto" w:sz="4" w:space="0"/>
            </w:tcBorders>
          </w:tcPr>
          <w:p>
            <w:pPr>
              <w:rPr>
                <w:rFonts w:ascii="Times New Roman" w:hAnsi="Times New Roman" w:cs="Times New Roman"/>
              </w:rPr>
            </w:pPr>
          </w:p>
        </w:tc>
        <w:tc>
          <w:tcPr>
            <w:tcW w:w="1134" w:type="dxa"/>
            <w:tcBorders>
              <w:bottom w:val="single" w:color="auto" w:sz="4" w:space="0"/>
            </w:tcBorders>
          </w:tcPr>
          <w:p>
            <w:pPr>
              <w:rPr>
                <w:rFonts w:ascii="Times New Roman" w:hAnsi="Times New Roman" w:cs="Times New Roman"/>
              </w:rPr>
            </w:pPr>
          </w:p>
        </w:tc>
        <w:tc>
          <w:tcPr>
            <w:tcW w:w="1142" w:type="dxa"/>
            <w:tcBorders>
              <w:bottom w:val="single" w:color="auto" w:sz="4" w:space="0"/>
            </w:tcBorders>
          </w:tcPr>
          <w:p>
            <w:pPr>
              <w:rPr>
                <w:rFonts w:ascii="Times New Roman" w:hAnsi="Times New Roman" w:cs="Times New Roman"/>
              </w:rPr>
            </w:pPr>
          </w:p>
        </w:tc>
      </w:tr>
    </w:tbl>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w:t>
      </w:r>
      <w:bookmarkStart w:id="48" w:name="OLE_LINK50"/>
      <w:r>
        <w:rPr>
          <w:rFonts w:ascii="Times New Roman" w:hAnsi="Times New Roman" w:cs="Times New Roman"/>
        </w:rPr>
        <w:t xml:space="preserve">Listed are all the treatment-related adverse events that occurred during the treatment period. The severity of treatment-related adverse events was graded according to the Common Terminology Criteria for Adverse Events, version 5.0, of the National Cancer Institute. Data are for grade 1-2 treatment-related adverse events occurred in at least 5% of the patients and all grade 3 and grade 4 adverse events. Patients may have had more than one event. No grade 5 treatment-related adverse events occurred. </w:t>
      </w:r>
      <w:bookmarkEnd w:id="48"/>
    </w:p>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Late adverse events that occurred 12 weeks after the end of radiation therapy. Shown are late adverse events of interest that occurred in at least 5% of the patients and all grade 3 or 4 late adverse events. The severity of late adverse events was graded according to the Radiation Therapy Oncology Group and European Organization for Research and Treatment of Cancer late radiation morbidity scoring scheme.</w:t>
      </w:r>
    </w:p>
    <w:p>
      <w:pPr>
        <w:widowControl/>
        <w:jc w:val="left"/>
        <w:rPr>
          <w:rFonts w:ascii="Arial" w:hAnsi="Arial" w:cs="Arial"/>
        </w:rPr>
      </w:pPr>
      <w:r>
        <w:rPr>
          <w:rFonts w:ascii="Arial" w:hAnsi="Arial" w:cs="Arial"/>
        </w:rPr>
        <w:br w:type="page"/>
      </w:r>
    </w:p>
    <w:p>
      <w:pPr>
        <w:pStyle w:val="26"/>
        <w:rPr>
          <w:rFonts w:ascii="Times New Roman" w:hAnsi="Times New Roman" w:cs="Times New Roman"/>
        </w:rPr>
      </w:pPr>
      <w:bookmarkStart w:id="49" w:name="_Toc118159977"/>
      <w:r>
        <w:rPr>
          <w:rStyle w:val="18"/>
          <w:rFonts w:ascii="Times New Roman" w:hAnsi="Times New Roman" w:cs="Times New Roman"/>
        </w:rPr>
        <w:t>Supplemental Table S9. Immune-related adverse events, according to treatment phase and grade.</w:t>
      </w:r>
      <w:bookmarkEnd w:id="49"/>
      <w:r>
        <w:rPr>
          <w:rFonts w:ascii="Times New Roman" w:hAnsi="Times New Roman" w:cs="Times New Roman"/>
          <w:b/>
          <w:bCs/>
        </w:rPr>
        <w:t>*</w:t>
      </w:r>
    </w:p>
    <w:tbl>
      <w:tblPr>
        <w:tblStyle w:val="11"/>
        <w:tblW w:w="10212" w:type="dxa"/>
        <w:tblInd w:w="-9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69"/>
        <w:gridCol w:w="992"/>
        <w:gridCol w:w="851"/>
        <w:gridCol w:w="284"/>
        <w:gridCol w:w="992"/>
        <w:gridCol w:w="850"/>
        <w:gridCol w:w="283"/>
        <w:gridCol w:w="993"/>
        <w:gridCol w:w="709"/>
        <w:gridCol w:w="280"/>
        <w:gridCol w:w="993"/>
        <w:gridCol w:w="709"/>
        <w:gridCol w:w="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9"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Event</w:t>
            </w:r>
          </w:p>
        </w:tc>
        <w:tc>
          <w:tcPr>
            <w:tcW w:w="1843" w:type="dxa"/>
            <w:gridSpan w:val="2"/>
            <w:tcBorders>
              <w:top w:val="single" w:color="auto" w:sz="4" w:space="0"/>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Cumulative</w:t>
            </w:r>
            <w:r>
              <w:rPr>
                <w:rFonts w:ascii="Times New Roman" w:hAnsi="Times New Roman" w:cs="Times New Roman"/>
              </w:rPr>
              <w:t xml:space="preserve"> </w:t>
            </w:r>
            <w:r>
              <w:rPr>
                <w:rFonts w:ascii="Times New Roman" w:hAnsi="Times New Roman" w:cs="Times New Roman"/>
                <w:sz w:val="18"/>
                <w:szCs w:val="20"/>
              </w:rPr>
              <w:t>immune-related adverse events</w:t>
            </w:r>
          </w:p>
          <w:p>
            <w:pPr>
              <w:rPr>
                <w:rFonts w:ascii="Times New Roman" w:hAnsi="Times New Roman" w:cs="Times New Roman"/>
                <w:sz w:val="18"/>
                <w:szCs w:val="20"/>
              </w:rPr>
            </w:pPr>
            <w:r>
              <w:rPr>
                <w:rFonts w:ascii="Times New Roman" w:hAnsi="Times New Roman" w:cs="Times New Roman"/>
              </w:rPr>
              <w:t>(n=49)</w:t>
            </w:r>
          </w:p>
        </w:tc>
        <w:tc>
          <w:tcPr>
            <w:tcW w:w="284" w:type="dxa"/>
            <w:tcBorders>
              <w:top w:val="single" w:color="auto" w:sz="4" w:space="0"/>
            </w:tcBorders>
          </w:tcPr>
          <w:p>
            <w:pPr>
              <w:rPr>
                <w:rFonts w:ascii="Times New Roman" w:hAnsi="Times New Roman" w:cs="Times New Roman"/>
                <w:sz w:val="18"/>
                <w:szCs w:val="20"/>
              </w:rPr>
            </w:pPr>
          </w:p>
        </w:tc>
        <w:tc>
          <w:tcPr>
            <w:tcW w:w="1842" w:type="dxa"/>
            <w:gridSpan w:val="2"/>
            <w:tcBorders>
              <w:top w:val="single" w:color="auto" w:sz="4" w:space="0"/>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Induction phase</w:t>
            </w:r>
          </w:p>
          <w:p>
            <w:pPr>
              <w:rPr>
                <w:rFonts w:ascii="Times New Roman" w:hAnsi="Times New Roman" w:cs="Times New Roman"/>
                <w:sz w:val="18"/>
                <w:szCs w:val="20"/>
              </w:rPr>
            </w:pPr>
            <w:r>
              <w:rPr>
                <w:rFonts w:ascii="Times New Roman" w:hAnsi="Times New Roman" w:cs="Times New Roman"/>
              </w:rPr>
              <w:t>(n=49)</w:t>
            </w:r>
          </w:p>
        </w:tc>
        <w:tc>
          <w:tcPr>
            <w:tcW w:w="283" w:type="dxa"/>
            <w:tcBorders>
              <w:top w:val="single" w:color="auto" w:sz="4" w:space="0"/>
            </w:tcBorders>
          </w:tcPr>
          <w:p>
            <w:pPr>
              <w:rPr>
                <w:rFonts w:ascii="Times New Roman" w:hAnsi="Times New Roman" w:cs="Times New Roman"/>
                <w:sz w:val="18"/>
                <w:szCs w:val="20"/>
              </w:rPr>
            </w:pPr>
          </w:p>
        </w:tc>
        <w:tc>
          <w:tcPr>
            <w:tcW w:w="1702" w:type="dxa"/>
            <w:gridSpan w:val="2"/>
            <w:tcBorders>
              <w:top w:val="single" w:color="auto" w:sz="4" w:space="0"/>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Concurrent phase</w:t>
            </w:r>
          </w:p>
          <w:p>
            <w:pPr>
              <w:rPr>
                <w:rFonts w:ascii="Times New Roman" w:hAnsi="Times New Roman" w:cs="Times New Roman"/>
                <w:sz w:val="18"/>
                <w:szCs w:val="20"/>
              </w:rPr>
            </w:pPr>
            <w:r>
              <w:rPr>
                <w:rFonts w:ascii="Times New Roman" w:hAnsi="Times New Roman" w:cs="Times New Roman"/>
              </w:rPr>
              <w:t>(n=48)</w:t>
            </w:r>
          </w:p>
        </w:tc>
        <w:tc>
          <w:tcPr>
            <w:tcW w:w="280" w:type="dxa"/>
            <w:tcBorders>
              <w:top w:val="single" w:color="auto" w:sz="4" w:space="0"/>
              <w:bottom w:val="single" w:color="auto" w:sz="4" w:space="0"/>
            </w:tcBorders>
          </w:tcPr>
          <w:p>
            <w:pPr>
              <w:rPr>
                <w:rFonts w:ascii="Times New Roman" w:hAnsi="Times New Roman" w:cs="Times New Roman"/>
                <w:sz w:val="18"/>
                <w:szCs w:val="20"/>
              </w:rPr>
            </w:pPr>
          </w:p>
        </w:tc>
        <w:tc>
          <w:tcPr>
            <w:tcW w:w="1709" w:type="dxa"/>
            <w:gridSpan w:val="3"/>
            <w:tcBorders>
              <w:top w:val="single" w:color="auto" w:sz="4" w:space="0"/>
              <w:bottom w:val="single" w:color="auto" w:sz="4" w:space="0"/>
            </w:tcBorders>
          </w:tcPr>
          <w:p>
            <w:pPr>
              <w:rPr>
                <w:rFonts w:ascii="Times New Roman" w:hAnsi="Times New Roman" w:cs="Times New Roman"/>
                <w:sz w:val="18"/>
                <w:szCs w:val="20"/>
              </w:rPr>
            </w:pPr>
            <w:bookmarkStart w:id="50" w:name="OLE_LINK66"/>
            <w:r>
              <w:rPr>
                <w:rFonts w:ascii="Times New Roman" w:hAnsi="Times New Roman" w:cs="Times New Roman"/>
                <w:sz w:val="18"/>
                <w:szCs w:val="20"/>
              </w:rPr>
              <w:t xml:space="preserve">Maintain </w:t>
            </w:r>
            <w:bookmarkEnd w:id="50"/>
            <w:r>
              <w:rPr>
                <w:rFonts w:ascii="Times New Roman" w:hAnsi="Times New Roman" w:cs="Times New Roman"/>
                <w:sz w:val="18"/>
                <w:szCs w:val="20"/>
              </w:rPr>
              <w:t>phase</w:t>
            </w:r>
          </w:p>
          <w:p>
            <w:pPr>
              <w:rPr>
                <w:rFonts w:ascii="Times New Roman" w:hAnsi="Times New Roman" w:cs="Times New Roman"/>
                <w:sz w:val="18"/>
                <w:szCs w:val="20"/>
              </w:rPr>
            </w:pPr>
            <w:r>
              <w:rPr>
                <w:rFonts w:ascii="Times New Roman" w:hAnsi="Times New Roman" w:cs="Times New Roman"/>
              </w:rPr>
              <w:t>(n=48)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Borders>
              <w:bottom w:val="single" w:color="auto" w:sz="4" w:space="0"/>
            </w:tcBorders>
          </w:tcPr>
          <w:p>
            <w:pPr>
              <w:rPr>
                <w:rFonts w:ascii="Times New Roman" w:hAnsi="Times New Roman" w:cs="Times New Roman"/>
                <w:sz w:val="18"/>
                <w:szCs w:val="20"/>
              </w:rPr>
            </w:pPr>
          </w:p>
        </w:tc>
        <w:tc>
          <w:tcPr>
            <w:tcW w:w="992"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1 or 2</w:t>
            </w:r>
          </w:p>
        </w:tc>
        <w:tc>
          <w:tcPr>
            <w:tcW w:w="851"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3 or 4</w:t>
            </w:r>
          </w:p>
        </w:tc>
        <w:tc>
          <w:tcPr>
            <w:tcW w:w="284" w:type="dxa"/>
            <w:tcBorders>
              <w:bottom w:val="single" w:color="auto" w:sz="4" w:space="0"/>
            </w:tcBorders>
          </w:tcPr>
          <w:p>
            <w:pPr>
              <w:rPr>
                <w:rFonts w:ascii="Times New Roman" w:hAnsi="Times New Roman" w:cs="Times New Roman"/>
                <w:sz w:val="18"/>
                <w:szCs w:val="18"/>
              </w:rPr>
            </w:pPr>
          </w:p>
        </w:tc>
        <w:tc>
          <w:tcPr>
            <w:tcW w:w="992"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1 or 2</w:t>
            </w:r>
          </w:p>
        </w:tc>
        <w:tc>
          <w:tcPr>
            <w:tcW w:w="850"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3 or 4</w:t>
            </w:r>
          </w:p>
        </w:tc>
        <w:tc>
          <w:tcPr>
            <w:tcW w:w="283" w:type="dxa"/>
            <w:tcBorders>
              <w:bottom w:val="single" w:color="auto" w:sz="4" w:space="0"/>
            </w:tcBorders>
          </w:tcPr>
          <w:p>
            <w:pPr>
              <w:rPr>
                <w:rFonts w:ascii="Times New Roman" w:hAnsi="Times New Roman" w:cs="Times New Roman"/>
                <w:sz w:val="18"/>
                <w:szCs w:val="18"/>
              </w:rPr>
            </w:pPr>
          </w:p>
        </w:tc>
        <w:tc>
          <w:tcPr>
            <w:tcW w:w="993"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1 or 2</w:t>
            </w:r>
          </w:p>
        </w:tc>
        <w:tc>
          <w:tcPr>
            <w:tcW w:w="709"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3 or 4</w:t>
            </w:r>
          </w:p>
        </w:tc>
        <w:tc>
          <w:tcPr>
            <w:tcW w:w="280" w:type="dxa"/>
            <w:tcBorders>
              <w:top w:val="single" w:color="auto" w:sz="4" w:space="0"/>
              <w:bottom w:val="single" w:color="auto" w:sz="4" w:space="0"/>
            </w:tcBorders>
          </w:tcPr>
          <w:p>
            <w:pPr>
              <w:rPr>
                <w:rFonts w:ascii="Times New Roman" w:hAnsi="Times New Roman" w:cs="Times New Roman"/>
                <w:sz w:val="18"/>
                <w:szCs w:val="18"/>
              </w:rPr>
            </w:pPr>
          </w:p>
        </w:tc>
        <w:tc>
          <w:tcPr>
            <w:tcW w:w="993"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1 or 2</w:t>
            </w:r>
          </w:p>
        </w:tc>
        <w:tc>
          <w:tcPr>
            <w:tcW w:w="709" w:type="dxa"/>
            <w:tcBorders>
              <w:top w:val="single" w:color="auto" w:sz="4" w:space="0"/>
              <w:bottom w:val="single" w:color="auto" w:sz="4" w:space="0"/>
            </w:tcBorders>
          </w:tcPr>
          <w:p>
            <w:pPr>
              <w:rPr>
                <w:rFonts w:ascii="Times New Roman" w:hAnsi="Times New Roman" w:cs="Times New Roman"/>
                <w:sz w:val="18"/>
                <w:szCs w:val="18"/>
              </w:rPr>
            </w:pPr>
            <w:r>
              <w:rPr>
                <w:rFonts w:ascii="Times New Roman" w:hAnsi="Times New Roman" w:cs="Times New Roman"/>
                <w:sz w:val="18"/>
                <w:szCs w:val="18"/>
              </w:rPr>
              <w:t>Grade 3 or 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Borders>
              <w:top w:val="single" w:color="auto" w:sz="4" w:space="0"/>
            </w:tcBorders>
          </w:tcPr>
          <w:p>
            <w:pPr>
              <w:jc w:val="left"/>
              <w:rPr>
                <w:rFonts w:ascii="Times New Roman" w:hAnsi="Times New Roman" w:cs="Times New Roman"/>
                <w:sz w:val="18"/>
                <w:szCs w:val="20"/>
              </w:rPr>
            </w:pPr>
            <w:r>
              <w:rPr>
                <w:rFonts w:ascii="Times New Roman" w:hAnsi="Times New Roman" w:cs="Times New Roman"/>
                <w:sz w:val="18"/>
                <w:szCs w:val="20"/>
              </w:rPr>
              <w:t xml:space="preserve">Any </w:t>
            </w:r>
            <w:bookmarkStart w:id="51" w:name="OLE_LINK52"/>
            <w:r>
              <w:rPr>
                <w:rFonts w:ascii="Times New Roman" w:hAnsi="Times New Roman" w:cs="Times New Roman"/>
                <w:sz w:val="18"/>
                <w:szCs w:val="20"/>
              </w:rPr>
              <w:t>immune-related adverse events</w:t>
            </w:r>
            <w:bookmarkEnd w:id="51"/>
            <w:r>
              <w:rPr>
                <w:rFonts w:ascii="Times New Roman" w:hAnsi="Times New Roman" w:eastAsia="宋体" w:cs="Times New Roman"/>
                <w:sz w:val="18"/>
                <w:szCs w:val="20"/>
              </w:rPr>
              <w:t>†</w:t>
            </w:r>
          </w:p>
        </w:tc>
        <w:tc>
          <w:tcPr>
            <w:tcW w:w="992"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43 (87.8)</w:t>
            </w:r>
          </w:p>
        </w:tc>
        <w:tc>
          <w:tcPr>
            <w:tcW w:w="851"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5 (10.2)</w:t>
            </w:r>
          </w:p>
        </w:tc>
        <w:tc>
          <w:tcPr>
            <w:tcW w:w="284" w:type="dxa"/>
            <w:tcBorders>
              <w:top w:val="single" w:color="auto" w:sz="4" w:space="0"/>
            </w:tcBorders>
          </w:tcPr>
          <w:p>
            <w:pPr>
              <w:rPr>
                <w:rFonts w:ascii="Times New Roman" w:hAnsi="Times New Roman" w:cs="Times New Roman"/>
                <w:sz w:val="18"/>
                <w:szCs w:val="20"/>
              </w:rPr>
            </w:pPr>
          </w:p>
        </w:tc>
        <w:tc>
          <w:tcPr>
            <w:tcW w:w="992" w:type="dxa"/>
            <w:tcBorders>
              <w:top w:val="single" w:color="auto" w:sz="4" w:space="0"/>
            </w:tcBorders>
          </w:tcPr>
          <w:p>
            <w:pPr>
              <w:ind w:left="-252" w:leftChars="-120" w:firstLine="216" w:firstLineChars="120"/>
              <w:rPr>
                <w:rFonts w:ascii="Times New Roman" w:hAnsi="Times New Roman" w:cs="Times New Roman"/>
                <w:sz w:val="18"/>
                <w:szCs w:val="20"/>
              </w:rPr>
            </w:pPr>
            <w:r>
              <w:rPr>
                <w:rFonts w:ascii="Times New Roman" w:hAnsi="Times New Roman" w:cs="Times New Roman"/>
                <w:sz w:val="18"/>
                <w:szCs w:val="20"/>
              </w:rPr>
              <w:t>29 (59.2)</w:t>
            </w:r>
          </w:p>
        </w:tc>
        <w:tc>
          <w:tcPr>
            <w:tcW w:w="850"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5 (10.2)</w:t>
            </w:r>
          </w:p>
        </w:tc>
        <w:tc>
          <w:tcPr>
            <w:tcW w:w="283" w:type="dxa"/>
            <w:tcBorders>
              <w:top w:val="single" w:color="auto" w:sz="4" w:space="0"/>
            </w:tcBorders>
          </w:tcPr>
          <w:p>
            <w:pPr>
              <w:rPr>
                <w:rFonts w:ascii="Times New Roman" w:hAnsi="Times New Roman" w:cs="Times New Roman"/>
                <w:sz w:val="18"/>
                <w:szCs w:val="20"/>
              </w:rPr>
            </w:pPr>
          </w:p>
        </w:tc>
        <w:tc>
          <w:tcPr>
            <w:tcW w:w="993"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39 (81.3)</w:t>
            </w:r>
          </w:p>
        </w:tc>
        <w:tc>
          <w:tcPr>
            <w:tcW w:w="709"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Borders>
              <w:top w:val="single" w:color="auto" w:sz="4" w:space="0"/>
            </w:tcBorders>
          </w:tcPr>
          <w:p>
            <w:pPr>
              <w:rPr>
                <w:rFonts w:ascii="Times New Roman" w:hAnsi="Times New Roman" w:cs="Times New Roman"/>
                <w:sz w:val="18"/>
                <w:szCs w:val="20"/>
              </w:rPr>
            </w:pPr>
          </w:p>
        </w:tc>
        <w:tc>
          <w:tcPr>
            <w:tcW w:w="993"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43 (87.8)</w:t>
            </w:r>
          </w:p>
        </w:tc>
        <w:tc>
          <w:tcPr>
            <w:tcW w:w="709" w:type="dxa"/>
            <w:tcBorders>
              <w:top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Reactive capillary endothelial proliferation</w:t>
            </w:r>
            <w:r>
              <w:rPr>
                <w:rFonts w:ascii="Times New Roman" w:hAnsi="Times New Roman" w:eastAsia="宋体" w:cs="Times New Roman"/>
                <w:sz w:val="18"/>
                <w:szCs w:val="20"/>
              </w:rPr>
              <w:t>‡</w:t>
            </w:r>
          </w:p>
        </w:tc>
        <w:tc>
          <w:tcPr>
            <w:tcW w:w="992" w:type="dxa"/>
          </w:tcPr>
          <w:p>
            <w:pPr>
              <w:rPr>
                <w:rFonts w:ascii="Times New Roman" w:hAnsi="Times New Roman" w:cs="Times New Roman"/>
                <w:sz w:val="18"/>
                <w:szCs w:val="20"/>
              </w:rPr>
            </w:pPr>
            <w:r>
              <w:rPr>
                <w:rFonts w:ascii="Times New Roman" w:hAnsi="Times New Roman" w:cs="Times New Roman"/>
                <w:sz w:val="18"/>
                <w:szCs w:val="20"/>
              </w:rPr>
              <w:t>42 (85.7)</w:t>
            </w:r>
          </w:p>
        </w:tc>
        <w:tc>
          <w:tcPr>
            <w:tcW w:w="851" w:type="dxa"/>
          </w:tcPr>
          <w:p>
            <w:pPr>
              <w:rPr>
                <w:rFonts w:ascii="Times New Roman" w:hAnsi="Times New Roman" w:cs="Times New Roman"/>
                <w:sz w:val="18"/>
                <w:szCs w:val="20"/>
              </w:rPr>
            </w:pPr>
            <w:r>
              <w:rPr>
                <w:rFonts w:ascii="Times New Roman" w:hAnsi="Times New Roman" w:cs="Times New Roman"/>
                <w:sz w:val="18"/>
                <w:szCs w:val="20"/>
              </w:rPr>
              <w:t>0</w:t>
            </w:r>
          </w:p>
        </w:tc>
        <w:tc>
          <w:tcPr>
            <w:tcW w:w="284" w:type="dxa"/>
          </w:tcPr>
          <w:p>
            <w:pPr>
              <w:rPr>
                <w:rFonts w:ascii="Times New Roman" w:hAnsi="Times New Roman" w:cs="Times New Roman"/>
                <w:sz w:val="18"/>
                <w:szCs w:val="20"/>
              </w:rPr>
            </w:pPr>
          </w:p>
        </w:tc>
        <w:tc>
          <w:tcPr>
            <w:tcW w:w="992" w:type="dxa"/>
          </w:tcPr>
          <w:p>
            <w:pPr>
              <w:ind w:left="-252" w:leftChars="-120" w:firstLine="216" w:firstLineChars="120"/>
              <w:rPr>
                <w:rFonts w:ascii="Times New Roman" w:hAnsi="Times New Roman" w:cs="Times New Roman"/>
                <w:sz w:val="18"/>
                <w:szCs w:val="20"/>
              </w:rPr>
            </w:pPr>
            <w:r>
              <w:rPr>
                <w:rFonts w:ascii="Times New Roman" w:hAnsi="Times New Roman" w:cs="Times New Roman"/>
                <w:sz w:val="18"/>
                <w:szCs w:val="20"/>
              </w:rPr>
              <w:t>25 (51.0)</w:t>
            </w:r>
          </w:p>
        </w:tc>
        <w:tc>
          <w:tcPr>
            <w:tcW w:w="850" w:type="dxa"/>
          </w:tcPr>
          <w:p>
            <w:pPr>
              <w:rPr>
                <w:rFonts w:ascii="Times New Roman" w:hAnsi="Times New Roman" w:cs="Times New Roman"/>
                <w:sz w:val="18"/>
                <w:szCs w:val="20"/>
              </w:rPr>
            </w:pPr>
            <w:r>
              <w:rPr>
                <w:rFonts w:ascii="Times New Roman" w:hAnsi="Times New Roman" w:cs="Times New Roman"/>
                <w:sz w:val="18"/>
                <w:szCs w:val="20"/>
              </w:rPr>
              <w:t>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34 (70.8)</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40 (81.6)</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Hypothyroidism</w:t>
            </w:r>
          </w:p>
        </w:tc>
        <w:tc>
          <w:tcPr>
            <w:tcW w:w="992" w:type="dxa"/>
          </w:tcPr>
          <w:p>
            <w:pPr>
              <w:rPr>
                <w:rFonts w:ascii="Times New Roman" w:hAnsi="Times New Roman" w:cs="Times New Roman"/>
                <w:sz w:val="18"/>
                <w:szCs w:val="20"/>
              </w:rPr>
            </w:pPr>
            <w:r>
              <w:rPr>
                <w:rFonts w:ascii="Times New Roman" w:hAnsi="Times New Roman" w:cs="Times New Roman"/>
                <w:sz w:val="18"/>
                <w:szCs w:val="20"/>
              </w:rPr>
              <w:t>15 (30.6)</w:t>
            </w:r>
          </w:p>
        </w:tc>
        <w:tc>
          <w:tcPr>
            <w:tcW w:w="851" w:type="dxa"/>
          </w:tcPr>
          <w:p>
            <w:pPr>
              <w:rPr>
                <w:rFonts w:ascii="Times New Roman" w:hAnsi="Times New Roman" w:cs="Times New Roman"/>
                <w:sz w:val="18"/>
                <w:szCs w:val="20"/>
              </w:rPr>
            </w:pPr>
            <w:r>
              <w:rPr>
                <w:rFonts w:ascii="Times New Roman" w:hAnsi="Times New Roman" w:cs="Times New Roman"/>
                <w:sz w:val="18"/>
                <w:szCs w:val="20"/>
              </w:rPr>
              <w:t>0</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7 (14.3)</w:t>
            </w:r>
          </w:p>
        </w:tc>
        <w:tc>
          <w:tcPr>
            <w:tcW w:w="850" w:type="dxa"/>
          </w:tcPr>
          <w:p>
            <w:pPr>
              <w:rPr>
                <w:rFonts w:ascii="Times New Roman" w:hAnsi="Times New Roman" w:cs="Times New Roman"/>
                <w:sz w:val="18"/>
                <w:szCs w:val="20"/>
              </w:rPr>
            </w:pPr>
            <w:r>
              <w:rPr>
                <w:rFonts w:ascii="Times New Roman" w:hAnsi="Times New Roman" w:cs="Times New Roman"/>
                <w:sz w:val="18"/>
                <w:szCs w:val="20"/>
              </w:rPr>
              <w:t>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3 (6.3)</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14 (28.6)</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Rash</w:t>
            </w:r>
          </w:p>
        </w:tc>
        <w:tc>
          <w:tcPr>
            <w:tcW w:w="992" w:type="dxa"/>
          </w:tcPr>
          <w:p>
            <w:pPr>
              <w:rPr>
                <w:rFonts w:ascii="Times New Roman" w:hAnsi="Times New Roman" w:cs="Times New Roman"/>
                <w:sz w:val="18"/>
                <w:szCs w:val="20"/>
              </w:rPr>
            </w:pPr>
            <w:r>
              <w:rPr>
                <w:rFonts w:ascii="Times New Roman" w:hAnsi="Times New Roman" w:cs="Times New Roman"/>
                <w:sz w:val="18"/>
                <w:szCs w:val="20"/>
              </w:rPr>
              <w:t>5 (10.2)</w:t>
            </w:r>
          </w:p>
        </w:tc>
        <w:tc>
          <w:tcPr>
            <w:tcW w:w="851" w:type="dxa"/>
          </w:tcPr>
          <w:p>
            <w:pPr>
              <w:rPr>
                <w:rFonts w:ascii="Times New Roman" w:hAnsi="Times New Roman" w:cs="Times New Roman"/>
                <w:sz w:val="18"/>
                <w:szCs w:val="20"/>
              </w:rPr>
            </w:pPr>
            <w:r>
              <w:rPr>
                <w:rFonts w:ascii="Times New Roman" w:hAnsi="Times New Roman" w:cs="Times New Roman"/>
                <w:sz w:val="18"/>
                <w:szCs w:val="20"/>
              </w:rPr>
              <w:t>3 (6.1)</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4 (8.2)</w:t>
            </w:r>
          </w:p>
        </w:tc>
        <w:tc>
          <w:tcPr>
            <w:tcW w:w="850" w:type="dxa"/>
          </w:tcPr>
          <w:p>
            <w:pPr>
              <w:rPr>
                <w:rFonts w:ascii="Times New Roman" w:hAnsi="Times New Roman" w:cs="Times New Roman"/>
                <w:sz w:val="18"/>
                <w:szCs w:val="20"/>
              </w:rPr>
            </w:pPr>
            <w:r>
              <w:rPr>
                <w:rFonts w:ascii="Times New Roman" w:hAnsi="Times New Roman" w:cs="Times New Roman"/>
                <w:sz w:val="18"/>
                <w:szCs w:val="20"/>
              </w:rPr>
              <w:t>3 (6.1)</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1 (2.1)</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Anti-thyroid antibody positive</w:t>
            </w:r>
          </w:p>
        </w:tc>
        <w:tc>
          <w:tcPr>
            <w:tcW w:w="992" w:type="dxa"/>
          </w:tcPr>
          <w:p>
            <w:pPr>
              <w:rPr>
                <w:rFonts w:ascii="Times New Roman" w:hAnsi="Times New Roman" w:cs="Times New Roman"/>
                <w:sz w:val="18"/>
                <w:szCs w:val="20"/>
              </w:rPr>
            </w:pPr>
            <w:r>
              <w:rPr>
                <w:rFonts w:ascii="Times New Roman" w:hAnsi="Times New Roman" w:cs="Times New Roman"/>
                <w:sz w:val="18"/>
                <w:szCs w:val="20"/>
              </w:rPr>
              <w:t>13 (26.5)</w:t>
            </w:r>
          </w:p>
        </w:tc>
        <w:tc>
          <w:tcPr>
            <w:tcW w:w="851" w:type="dxa"/>
          </w:tcPr>
          <w:p>
            <w:pPr>
              <w:rPr>
                <w:rFonts w:ascii="Times New Roman" w:hAnsi="Times New Roman" w:cs="Times New Roman"/>
                <w:sz w:val="18"/>
                <w:szCs w:val="20"/>
              </w:rPr>
            </w:pPr>
            <w:r>
              <w:rPr>
                <w:rFonts w:ascii="Times New Roman" w:hAnsi="Times New Roman" w:cs="Times New Roman"/>
                <w:sz w:val="18"/>
                <w:szCs w:val="20"/>
              </w:rPr>
              <w:t>0</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8 (16.3)</w:t>
            </w:r>
          </w:p>
        </w:tc>
        <w:tc>
          <w:tcPr>
            <w:tcW w:w="850" w:type="dxa"/>
          </w:tcPr>
          <w:p>
            <w:pPr>
              <w:rPr>
                <w:rFonts w:ascii="Times New Roman" w:hAnsi="Times New Roman" w:cs="Times New Roman"/>
                <w:sz w:val="18"/>
                <w:szCs w:val="20"/>
              </w:rPr>
            </w:pPr>
            <w:r>
              <w:rPr>
                <w:rFonts w:ascii="Times New Roman" w:hAnsi="Times New Roman" w:cs="Times New Roman"/>
                <w:sz w:val="18"/>
                <w:szCs w:val="20"/>
              </w:rPr>
              <w:t>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7 (14.3)</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12 (24.5)</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Thyroglobulin decreased</w:t>
            </w:r>
          </w:p>
        </w:tc>
        <w:tc>
          <w:tcPr>
            <w:tcW w:w="992" w:type="dxa"/>
          </w:tcPr>
          <w:p>
            <w:pPr>
              <w:rPr>
                <w:rFonts w:ascii="Times New Roman" w:hAnsi="Times New Roman" w:cs="Times New Roman"/>
                <w:sz w:val="18"/>
                <w:szCs w:val="20"/>
              </w:rPr>
            </w:pPr>
            <w:r>
              <w:rPr>
                <w:rFonts w:ascii="Times New Roman" w:hAnsi="Times New Roman" w:cs="Times New Roman"/>
                <w:sz w:val="18"/>
                <w:szCs w:val="20"/>
              </w:rPr>
              <w:t>15 (30.6)</w:t>
            </w:r>
          </w:p>
        </w:tc>
        <w:tc>
          <w:tcPr>
            <w:tcW w:w="851" w:type="dxa"/>
          </w:tcPr>
          <w:p>
            <w:pPr>
              <w:rPr>
                <w:rFonts w:ascii="Times New Roman" w:hAnsi="Times New Roman" w:cs="Times New Roman"/>
                <w:sz w:val="18"/>
                <w:szCs w:val="20"/>
              </w:rPr>
            </w:pPr>
            <w:r>
              <w:rPr>
                <w:rFonts w:ascii="Times New Roman" w:hAnsi="Times New Roman" w:cs="Times New Roman"/>
                <w:sz w:val="18"/>
                <w:szCs w:val="20"/>
              </w:rPr>
              <w:t>0</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11 (22.5)</w:t>
            </w:r>
          </w:p>
        </w:tc>
        <w:tc>
          <w:tcPr>
            <w:tcW w:w="850" w:type="dxa"/>
          </w:tcPr>
          <w:p>
            <w:pPr>
              <w:rPr>
                <w:rFonts w:ascii="Times New Roman" w:hAnsi="Times New Roman" w:cs="Times New Roman"/>
                <w:sz w:val="18"/>
                <w:szCs w:val="20"/>
              </w:rPr>
            </w:pPr>
            <w:r>
              <w:rPr>
                <w:rFonts w:ascii="Times New Roman" w:hAnsi="Times New Roman" w:cs="Times New Roman"/>
                <w:sz w:val="18"/>
                <w:szCs w:val="20"/>
              </w:rPr>
              <w:t>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9 (18.4)</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10 (20.4)</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Diarrhea</w:t>
            </w:r>
          </w:p>
        </w:tc>
        <w:tc>
          <w:tcPr>
            <w:tcW w:w="992" w:type="dxa"/>
          </w:tcPr>
          <w:p>
            <w:pPr>
              <w:rPr>
                <w:rFonts w:ascii="Times New Roman" w:hAnsi="Times New Roman" w:cs="Times New Roman"/>
                <w:sz w:val="18"/>
                <w:szCs w:val="20"/>
              </w:rPr>
            </w:pPr>
            <w:r>
              <w:rPr>
                <w:rFonts w:ascii="Times New Roman" w:hAnsi="Times New Roman" w:cs="Times New Roman"/>
                <w:sz w:val="18"/>
                <w:szCs w:val="20"/>
              </w:rPr>
              <w:t>0</w:t>
            </w:r>
          </w:p>
        </w:tc>
        <w:tc>
          <w:tcPr>
            <w:tcW w:w="851" w:type="dxa"/>
          </w:tcPr>
          <w:p>
            <w:pPr>
              <w:rPr>
                <w:rFonts w:ascii="Times New Roman" w:hAnsi="Times New Roman" w:cs="Times New Roman"/>
                <w:sz w:val="18"/>
                <w:szCs w:val="20"/>
              </w:rPr>
            </w:pPr>
            <w:r>
              <w:rPr>
                <w:rFonts w:ascii="Times New Roman" w:hAnsi="Times New Roman" w:cs="Times New Roman"/>
                <w:sz w:val="18"/>
                <w:szCs w:val="20"/>
              </w:rPr>
              <w:t>1 (2.0)</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0</w:t>
            </w:r>
          </w:p>
        </w:tc>
        <w:tc>
          <w:tcPr>
            <w:tcW w:w="850" w:type="dxa"/>
          </w:tcPr>
          <w:p>
            <w:pPr>
              <w:rPr>
                <w:rFonts w:ascii="Times New Roman" w:hAnsi="Times New Roman" w:cs="Times New Roman"/>
                <w:sz w:val="18"/>
                <w:szCs w:val="20"/>
              </w:rPr>
            </w:pPr>
            <w:r>
              <w:rPr>
                <w:rFonts w:ascii="Times New Roman" w:hAnsi="Times New Roman" w:cs="Times New Roman"/>
                <w:sz w:val="18"/>
                <w:szCs w:val="20"/>
              </w:rPr>
              <w:t>1 (2.0)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Brain natriuretic peptide increased</w:t>
            </w:r>
          </w:p>
        </w:tc>
        <w:tc>
          <w:tcPr>
            <w:tcW w:w="992" w:type="dxa"/>
          </w:tcPr>
          <w:p>
            <w:pPr>
              <w:rPr>
                <w:rFonts w:ascii="Times New Roman" w:hAnsi="Times New Roman" w:cs="Times New Roman"/>
                <w:sz w:val="18"/>
                <w:szCs w:val="20"/>
              </w:rPr>
            </w:pPr>
            <w:r>
              <w:rPr>
                <w:rFonts w:ascii="Times New Roman" w:hAnsi="Times New Roman" w:cs="Times New Roman"/>
                <w:sz w:val="18"/>
                <w:szCs w:val="20"/>
              </w:rPr>
              <w:t>3 (6.1)</w:t>
            </w:r>
          </w:p>
        </w:tc>
        <w:tc>
          <w:tcPr>
            <w:tcW w:w="851" w:type="dxa"/>
          </w:tcPr>
          <w:p>
            <w:pPr>
              <w:rPr>
                <w:rFonts w:ascii="Times New Roman" w:hAnsi="Times New Roman" w:cs="Times New Roman"/>
                <w:sz w:val="18"/>
                <w:szCs w:val="20"/>
              </w:rPr>
            </w:pPr>
            <w:r>
              <w:rPr>
                <w:rFonts w:ascii="Times New Roman" w:hAnsi="Times New Roman" w:cs="Times New Roman"/>
                <w:sz w:val="18"/>
                <w:szCs w:val="20"/>
              </w:rPr>
              <w:t>0</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2 (4.1)</w:t>
            </w:r>
          </w:p>
        </w:tc>
        <w:tc>
          <w:tcPr>
            <w:tcW w:w="850" w:type="dxa"/>
          </w:tcPr>
          <w:p>
            <w:pPr>
              <w:rPr>
                <w:rFonts w:ascii="Times New Roman" w:hAnsi="Times New Roman" w:cs="Times New Roman"/>
                <w:sz w:val="18"/>
                <w:szCs w:val="20"/>
              </w:rPr>
            </w:pPr>
            <w:r>
              <w:rPr>
                <w:rFonts w:ascii="Times New Roman" w:hAnsi="Times New Roman" w:cs="Times New Roman"/>
                <w:sz w:val="18"/>
                <w:szCs w:val="20"/>
              </w:rPr>
              <w:t>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2 (4.1)</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Pr>
          <w:p>
            <w:pPr>
              <w:jc w:val="left"/>
              <w:rPr>
                <w:rFonts w:ascii="Times New Roman" w:hAnsi="Times New Roman" w:cs="Times New Roman"/>
                <w:sz w:val="18"/>
                <w:szCs w:val="20"/>
              </w:rPr>
            </w:pPr>
            <w:r>
              <w:rPr>
                <w:rFonts w:ascii="Times New Roman" w:hAnsi="Times New Roman" w:cs="Times New Roman"/>
                <w:sz w:val="18"/>
                <w:szCs w:val="20"/>
              </w:rPr>
              <w:t>Lipase increased</w:t>
            </w:r>
          </w:p>
        </w:tc>
        <w:tc>
          <w:tcPr>
            <w:tcW w:w="992" w:type="dxa"/>
          </w:tcPr>
          <w:p>
            <w:pPr>
              <w:rPr>
                <w:rFonts w:ascii="Times New Roman" w:hAnsi="Times New Roman" w:cs="Times New Roman"/>
                <w:sz w:val="18"/>
                <w:szCs w:val="20"/>
              </w:rPr>
            </w:pPr>
            <w:r>
              <w:rPr>
                <w:rFonts w:ascii="Times New Roman" w:hAnsi="Times New Roman" w:cs="Times New Roman"/>
                <w:sz w:val="18"/>
                <w:szCs w:val="20"/>
              </w:rPr>
              <w:t>5 (10.2)</w:t>
            </w:r>
          </w:p>
        </w:tc>
        <w:tc>
          <w:tcPr>
            <w:tcW w:w="851" w:type="dxa"/>
          </w:tcPr>
          <w:p>
            <w:pPr>
              <w:rPr>
                <w:rFonts w:ascii="Times New Roman" w:hAnsi="Times New Roman" w:cs="Times New Roman"/>
                <w:sz w:val="18"/>
                <w:szCs w:val="20"/>
              </w:rPr>
            </w:pPr>
            <w:r>
              <w:rPr>
                <w:rFonts w:ascii="Times New Roman" w:hAnsi="Times New Roman" w:cs="Times New Roman"/>
                <w:sz w:val="18"/>
                <w:szCs w:val="20"/>
              </w:rPr>
              <w:t>0</w:t>
            </w:r>
          </w:p>
        </w:tc>
        <w:tc>
          <w:tcPr>
            <w:tcW w:w="284" w:type="dxa"/>
          </w:tcPr>
          <w:p>
            <w:pPr>
              <w:rPr>
                <w:rFonts w:ascii="Times New Roman" w:hAnsi="Times New Roman" w:cs="Times New Roman"/>
                <w:sz w:val="18"/>
                <w:szCs w:val="20"/>
              </w:rPr>
            </w:pPr>
          </w:p>
        </w:tc>
        <w:tc>
          <w:tcPr>
            <w:tcW w:w="992" w:type="dxa"/>
          </w:tcPr>
          <w:p>
            <w:pPr>
              <w:rPr>
                <w:rFonts w:ascii="Times New Roman" w:hAnsi="Times New Roman" w:cs="Times New Roman"/>
                <w:sz w:val="18"/>
                <w:szCs w:val="20"/>
              </w:rPr>
            </w:pPr>
            <w:r>
              <w:rPr>
                <w:rFonts w:ascii="Times New Roman" w:hAnsi="Times New Roman" w:cs="Times New Roman"/>
                <w:sz w:val="18"/>
                <w:szCs w:val="20"/>
              </w:rPr>
              <w:t>3 (6.1)</w:t>
            </w:r>
          </w:p>
        </w:tc>
        <w:tc>
          <w:tcPr>
            <w:tcW w:w="850" w:type="dxa"/>
          </w:tcPr>
          <w:p>
            <w:pPr>
              <w:rPr>
                <w:rFonts w:ascii="Times New Roman" w:hAnsi="Times New Roman" w:cs="Times New Roman"/>
                <w:sz w:val="18"/>
                <w:szCs w:val="20"/>
              </w:rPr>
            </w:pPr>
            <w:r>
              <w:rPr>
                <w:rFonts w:ascii="Times New Roman" w:hAnsi="Times New Roman" w:cs="Times New Roman"/>
                <w:sz w:val="18"/>
                <w:szCs w:val="20"/>
              </w:rPr>
              <w:t>0</w:t>
            </w:r>
          </w:p>
        </w:tc>
        <w:tc>
          <w:tcPr>
            <w:tcW w:w="283"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Pr>
          <w:p>
            <w:pPr>
              <w:rPr>
                <w:rFonts w:ascii="Times New Roman" w:hAnsi="Times New Roman" w:cs="Times New Roman"/>
                <w:sz w:val="18"/>
                <w:szCs w:val="20"/>
              </w:rPr>
            </w:pPr>
          </w:p>
        </w:tc>
        <w:tc>
          <w:tcPr>
            <w:tcW w:w="993" w:type="dxa"/>
          </w:tcPr>
          <w:p>
            <w:pPr>
              <w:rPr>
                <w:rFonts w:ascii="Times New Roman" w:hAnsi="Times New Roman" w:cs="Times New Roman"/>
                <w:sz w:val="18"/>
                <w:szCs w:val="20"/>
              </w:rPr>
            </w:pPr>
            <w:r>
              <w:rPr>
                <w:rFonts w:ascii="Times New Roman" w:hAnsi="Times New Roman" w:cs="Times New Roman"/>
                <w:sz w:val="18"/>
                <w:szCs w:val="20"/>
              </w:rPr>
              <w:t>2 (4.1)</w:t>
            </w:r>
          </w:p>
        </w:tc>
        <w:tc>
          <w:tcPr>
            <w:tcW w:w="709" w:type="dxa"/>
          </w:tcPr>
          <w:p>
            <w:pPr>
              <w:rPr>
                <w:rFonts w:ascii="Times New Roman" w:hAnsi="Times New Roman" w:cs="Times New Roman"/>
                <w:sz w:val="18"/>
                <w:szCs w:val="20"/>
              </w:rPr>
            </w:pPr>
            <w:r>
              <w:rPr>
                <w:rFonts w:ascii="Times New Roman" w:hAnsi="Times New Roman" w:cs="Times New Roman"/>
                <w:sz w:val="18"/>
                <w:szCs w:val="20"/>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7" w:type="dxa"/>
        </w:trPr>
        <w:tc>
          <w:tcPr>
            <w:tcW w:w="2269" w:type="dxa"/>
            <w:tcBorders>
              <w:bottom w:val="single" w:color="auto" w:sz="4" w:space="0"/>
            </w:tcBorders>
          </w:tcPr>
          <w:p>
            <w:pPr>
              <w:jc w:val="left"/>
              <w:rPr>
                <w:rFonts w:ascii="Times New Roman" w:hAnsi="Times New Roman" w:cs="Times New Roman"/>
                <w:sz w:val="18"/>
                <w:szCs w:val="20"/>
              </w:rPr>
            </w:pPr>
            <w:r>
              <w:rPr>
                <w:rFonts w:ascii="Times New Roman" w:hAnsi="Times New Roman" w:cs="Times New Roman"/>
                <w:sz w:val="18"/>
                <w:szCs w:val="20"/>
              </w:rPr>
              <w:t>Inflammatory cytokine increased</w:t>
            </w:r>
          </w:p>
        </w:tc>
        <w:tc>
          <w:tcPr>
            <w:tcW w:w="992"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c>
          <w:tcPr>
            <w:tcW w:w="851"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1 (2.0)</w:t>
            </w:r>
          </w:p>
        </w:tc>
        <w:tc>
          <w:tcPr>
            <w:tcW w:w="284" w:type="dxa"/>
            <w:tcBorders>
              <w:bottom w:val="single" w:color="auto" w:sz="4" w:space="0"/>
            </w:tcBorders>
          </w:tcPr>
          <w:p>
            <w:pPr>
              <w:rPr>
                <w:rFonts w:ascii="Times New Roman" w:hAnsi="Times New Roman" w:cs="Times New Roman"/>
                <w:sz w:val="18"/>
                <w:szCs w:val="20"/>
              </w:rPr>
            </w:pPr>
          </w:p>
        </w:tc>
        <w:tc>
          <w:tcPr>
            <w:tcW w:w="992"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c>
          <w:tcPr>
            <w:tcW w:w="850"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1 (2.0)</w:t>
            </w:r>
          </w:p>
        </w:tc>
        <w:tc>
          <w:tcPr>
            <w:tcW w:w="283" w:type="dxa"/>
            <w:tcBorders>
              <w:bottom w:val="single" w:color="auto" w:sz="4" w:space="0"/>
            </w:tcBorders>
          </w:tcPr>
          <w:p>
            <w:pPr>
              <w:rPr>
                <w:rFonts w:ascii="Times New Roman" w:hAnsi="Times New Roman" w:cs="Times New Roman"/>
                <w:sz w:val="18"/>
                <w:szCs w:val="20"/>
              </w:rPr>
            </w:pPr>
          </w:p>
        </w:tc>
        <w:tc>
          <w:tcPr>
            <w:tcW w:w="993"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c>
          <w:tcPr>
            <w:tcW w:w="280" w:type="dxa"/>
            <w:tcBorders>
              <w:bottom w:val="single" w:color="auto" w:sz="4" w:space="0"/>
            </w:tcBorders>
          </w:tcPr>
          <w:p>
            <w:pPr>
              <w:rPr>
                <w:rFonts w:ascii="Times New Roman" w:hAnsi="Times New Roman" w:cs="Times New Roman"/>
                <w:sz w:val="18"/>
                <w:szCs w:val="20"/>
              </w:rPr>
            </w:pPr>
          </w:p>
        </w:tc>
        <w:tc>
          <w:tcPr>
            <w:tcW w:w="993"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c>
          <w:tcPr>
            <w:tcW w:w="709" w:type="dxa"/>
            <w:tcBorders>
              <w:bottom w:val="single" w:color="auto" w:sz="4" w:space="0"/>
            </w:tcBorders>
          </w:tcPr>
          <w:p>
            <w:pPr>
              <w:rPr>
                <w:rFonts w:ascii="Times New Roman" w:hAnsi="Times New Roman" w:cs="Times New Roman"/>
                <w:sz w:val="18"/>
                <w:szCs w:val="20"/>
              </w:rPr>
            </w:pPr>
            <w:r>
              <w:rPr>
                <w:rFonts w:ascii="Times New Roman" w:hAnsi="Times New Roman" w:cs="Times New Roman"/>
                <w:sz w:val="18"/>
                <w:szCs w:val="20"/>
              </w:rPr>
              <w:t>0</w:t>
            </w:r>
          </w:p>
        </w:tc>
      </w:tr>
    </w:tbl>
    <w:p>
      <w:pPr>
        <w:rPr>
          <w:rFonts w:ascii="Times New Roman" w:hAnsi="Times New Roman" w:cs="Times New Roman"/>
        </w:rPr>
      </w:pPr>
      <w:bookmarkStart w:id="52" w:name="OLE_LINK20"/>
      <w:r>
        <w:rPr>
          <w:rFonts w:ascii="Times New Roman" w:hAnsi="Times New Roman" w:cs="Times New Roman"/>
        </w:rPr>
        <w:t>* Du</w:t>
      </w:r>
      <w:bookmarkEnd w:id="52"/>
      <w:r>
        <w:rPr>
          <w:rFonts w:ascii="Times New Roman" w:hAnsi="Times New Roman" w:cs="Times New Roman"/>
        </w:rPr>
        <w:t>e to one patient declined concurrent chemoradiotherapy after induction phase, there were 48 patients for safety analysis in concurrent and maintain phase.</w:t>
      </w:r>
    </w:p>
    <w:p>
      <w:pPr>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w:t>
      </w:r>
      <w:bookmarkStart w:id="53" w:name="OLE_LINK51"/>
      <w:r>
        <w:rPr>
          <w:rFonts w:ascii="Times New Roman" w:hAnsi="Times New Roman" w:cs="Times New Roman"/>
        </w:rPr>
        <w:t>Immune-</w:t>
      </w:r>
      <w:bookmarkEnd w:id="53"/>
      <w:r>
        <w:rPr>
          <w:rFonts w:ascii="Times New Roman" w:hAnsi="Times New Roman" w:cs="Times New Roman"/>
        </w:rPr>
        <w:t xml:space="preserve">related adverse events that occurred during the treatment period or within 30 days after the treatment period. The severity of </w:t>
      </w:r>
      <w:r>
        <w:rPr>
          <w:rFonts w:ascii="Times New Roman" w:hAnsi="Times New Roman" w:cs="Times New Roman"/>
          <w:kern w:val="0"/>
        </w:rPr>
        <w:t>immune-</w:t>
      </w:r>
      <w:r>
        <w:rPr>
          <w:rFonts w:ascii="Times New Roman" w:hAnsi="Times New Roman" w:cs="Times New Roman"/>
        </w:rPr>
        <w:t>-related adverse events was graded according to the Common Terminology Criteria for Adverse Events, version 5.0, of the National Cancer Institute. Shown are adverse events of interest that occurred in at least 3 patients or grade 3 or grade 4 adverse events. Patients may have had more than one event. No grade 5 immune-related adverse events occurred.</w:t>
      </w:r>
    </w:p>
    <w:p>
      <w:pPr>
        <w:widowControl/>
        <w:jc w:val="left"/>
        <w:rPr>
          <w:rFonts w:ascii="Times New Roman" w:hAnsi="Times New Roman" w:cs="Times New Roman"/>
        </w:rPr>
      </w:pPr>
      <w:r>
        <w:rPr>
          <w:rFonts w:ascii="Times New Roman" w:hAnsi="Times New Roman" w:eastAsia="宋体" w:cs="Times New Roman"/>
        </w:rPr>
        <w:t>‡</w:t>
      </w:r>
      <w:r>
        <w:rPr>
          <w:rFonts w:ascii="Times New Roman" w:hAnsi="Times New Roman" w:cs="Times New Roman"/>
        </w:rPr>
        <w:t xml:space="preserve"> </w:t>
      </w:r>
      <w:bookmarkStart w:id="54" w:name="OLE_LINK42"/>
      <w:r>
        <w:rPr>
          <w:rFonts w:ascii="Times New Roman" w:hAnsi="Times New Roman" w:cs="Times New Roman"/>
        </w:rPr>
        <w:t>Two cases have the reactive capillary endothelial proliferation at nasal, and nasopharynx mucosa, respectively.</w:t>
      </w:r>
    </w:p>
    <w:p>
      <w:pPr>
        <w:widowControl/>
        <w:jc w:val="left"/>
        <w:rPr>
          <w:rFonts w:ascii="Arial" w:hAnsi="Arial" w:cs="Arial"/>
        </w:rPr>
      </w:pPr>
      <w:r>
        <w:rPr>
          <w:rFonts w:ascii="Arial" w:hAnsi="Arial" w:cs="Arial"/>
        </w:rPr>
        <w:br w:type="page"/>
      </w:r>
    </w:p>
    <w:p>
      <w:pPr>
        <w:rPr>
          <w:rFonts w:ascii="Times New Roman" w:hAnsi="Times New Roman" w:cs="Times New Roman"/>
        </w:rPr>
      </w:pPr>
      <w:bookmarkStart w:id="55" w:name="_Toc118159978"/>
      <w:r>
        <w:rPr>
          <w:rStyle w:val="18"/>
          <w:rFonts w:ascii="Times New Roman" w:hAnsi="Times New Roman" w:cs="Times New Roman"/>
        </w:rPr>
        <w:t>Supplemental Figure S1. Response to induction therapy.</w:t>
      </w:r>
      <w:bookmarkEnd w:id="55"/>
      <w:r>
        <w:rPr>
          <w:rStyle w:val="18"/>
          <w:rFonts w:ascii="Times New Roman" w:hAnsi="Times New Roman" w:cs="Times New Roman"/>
        </w:rPr>
        <w:t xml:space="preserve"> </w:t>
      </w:r>
      <w:r>
        <w:rPr>
          <w:rFonts w:ascii="Times New Roman" w:hAnsi="Times New Roman" w:cs="Times New Roman"/>
        </w:rPr>
        <w:t>One week after completing induction therapy, the responses to induction therapy are assessed by imaging by independent image committee and is classified according to the Response Evaluation Criteria in Solid Tumors (RECIST) criteria, version 1.1. All patients achieved objective response (complete and partial response) after completing induction therapy.</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072380" cy="3902710"/>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81433" cy="3909603"/>
                    </a:xfrm>
                    <a:prstGeom prst="rect">
                      <a:avLst/>
                    </a:prstGeom>
                    <a:noFill/>
                  </pic:spPr>
                </pic:pic>
              </a:graphicData>
            </a:graphic>
          </wp:inline>
        </w:drawing>
      </w:r>
    </w:p>
    <w:p>
      <w:pPr>
        <w:widowControl/>
        <w:jc w:val="left"/>
        <w:rPr>
          <w:rFonts w:ascii="Arial" w:hAnsi="Arial" w:cs="Arial"/>
        </w:rPr>
      </w:pPr>
    </w:p>
    <w:p>
      <w:pPr>
        <w:widowControl/>
        <w:jc w:val="left"/>
        <w:rPr>
          <w:rFonts w:ascii="Arial" w:hAnsi="Arial" w:cs="Arial"/>
        </w:rPr>
      </w:pPr>
    </w:p>
    <w:p>
      <w:pPr>
        <w:widowControl/>
        <w:jc w:val="left"/>
        <w:rPr>
          <w:rFonts w:ascii="Arial" w:hAnsi="Arial" w:cs="Arial"/>
        </w:rPr>
      </w:pPr>
      <w:r>
        <w:rPr>
          <w:rFonts w:ascii="Arial" w:hAnsi="Arial" w:cs="Arial"/>
        </w:rPr>
        <w:br w:type="page"/>
      </w:r>
    </w:p>
    <w:p>
      <w:pPr>
        <w:rPr>
          <w:rFonts w:ascii="Times New Roman" w:hAnsi="Times New Roman" w:cs="Times New Roman"/>
        </w:rPr>
      </w:pPr>
      <w:bookmarkStart w:id="56" w:name="_Toc118159979"/>
      <w:bookmarkStart w:id="57" w:name="OLE_LINK60"/>
      <w:r>
        <w:rPr>
          <w:rStyle w:val="18"/>
          <w:rFonts w:ascii="Times New Roman" w:hAnsi="Times New Roman" w:cs="Times New Roman"/>
        </w:rPr>
        <w:t>Supplemental Figure S2. Representative MRI comparison of pre- and after induction phase.</w:t>
      </w:r>
      <w:bookmarkEnd w:id="56"/>
      <w:r>
        <w:rPr>
          <w:rFonts w:ascii="Times New Roman" w:hAnsi="Times New Roman" w:cs="Times New Roman"/>
          <w:b/>
          <w:bCs/>
        </w:rPr>
        <w:t xml:space="preserve"> </w:t>
      </w:r>
      <w:r>
        <w:rPr>
          <w:rFonts w:ascii="Times New Roman" w:hAnsi="Times New Roman" w:cs="Times New Roman"/>
        </w:rPr>
        <w:t>Panel A (Right cavernous sinus invasion), B (Righ</w:t>
      </w:r>
      <w:r>
        <w:rPr>
          <w:rFonts w:hint="eastAsia" w:ascii="Times New Roman" w:hAnsi="Times New Roman" w:cs="Times New Roman"/>
        </w:rPr>
        <w:t>t</w:t>
      </w:r>
      <w:r>
        <w:rPr>
          <w:rFonts w:ascii="Times New Roman" w:hAnsi="Times New Roman" w:cs="Times New Roman"/>
        </w:rPr>
        <w:t xml:space="preserve"> oropharyngeal invasion), C (Right cavernous sinus, clivus, petrous apex, and area II-IV lymph node invasion) and D (Left cavernous sinus, retropharyngeal and area II-V lymph nodes invasion) denote nasopharyngeal and neck MRI before treatment. Panel E, F, G, and H denote complete response to induction therapy in the corresponding aforementioned sites, respectively.</w:t>
      </w:r>
    </w:p>
    <w:p>
      <w:pPr>
        <w:rPr>
          <w:rFonts w:ascii="Times New Roman" w:hAnsi="Times New Roman" w:cs="Times New Roman"/>
          <w:b/>
          <w:bCs/>
        </w:rPr>
      </w:pPr>
      <w:r>
        <w:rPr>
          <w:rFonts w:ascii="Times New Roman" w:hAnsi="Times New Roman" w:cs="Times New Roman"/>
        </w:rPr>
        <w:drawing>
          <wp:inline distT="0" distB="0" distL="0" distR="0">
            <wp:extent cx="3597910" cy="7502525"/>
            <wp:effectExtent l="0" t="0" r="0" b="317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36153" cy="7581648"/>
                    </a:xfrm>
                    <a:prstGeom prst="rect">
                      <a:avLst/>
                    </a:prstGeom>
                    <a:noFill/>
                  </pic:spPr>
                </pic:pic>
              </a:graphicData>
            </a:graphic>
          </wp:inline>
        </w:drawing>
      </w:r>
    </w:p>
    <w:p>
      <w:pPr>
        <w:rPr>
          <w:rFonts w:ascii="Times New Roman" w:hAnsi="Times New Roman" w:cs="Times New Roman"/>
        </w:rPr>
      </w:pPr>
      <w:bookmarkStart w:id="58" w:name="_Toc118159980"/>
      <w:r>
        <w:rPr>
          <w:rStyle w:val="18"/>
          <w:rFonts w:ascii="Times New Roman" w:hAnsi="Times New Roman" w:cs="Times New Roman"/>
        </w:rPr>
        <w:t>Supplemental Figure S3. Pathology of nasopharyngeal and lymph node tissues.</w:t>
      </w:r>
      <w:bookmarkEnd w:id="58"/>
      <w:r>
        <w:rPr>
          <w:rFonts w:ascii="Times New Roman" w:hAnsi="Times New Roman" w:cs="Times New Roman"/>
          <w:b/>
          <w:bCs/>
        </w:rPr>
        <w:t xml:space="preserve"> </w:t>
      </w:r>
      <w:r>
        <w:rPr>
          <w:rFonts w:ascii="Times New Roman" w:hAnsi="Times New Roman" w:cs="Times New Roman"/>
        </w:rPr>
        <w:t>Panel A and E denote hematoxylin-eosin staining of nasopharyngeal tissue and lymph node tissue before treatment. Panel B and F denote immunohistochemistry staining of cell keratins (CK, positive) in nasopharyngeal tissue and lymph node tissue before treatment, respectively. Panel C and G denote situ hybridization of Epstein-Barr encoding region (EBER, positive) in nasopharyngeal tissue and lymph node tissue before treatment, respectively. Panel D and H denote hematoxylin-eosin staining of nasopharyngeal tissue and lymph node tissue after induction therapy showing pathological complete response, respectively.</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4662805" cy="6820535"/>
            <wp:effectExtent l="0" t="0" r="4445"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672969" cy="6835701"/>
                    </a:xfrm>
                    <a:prstGeom prst="rect">
                      <a:avLst/>
                    </a:prstGeom>
                    <a:noFill/>
                  </pic:spPr>
                </pic:pic>
              </a:graphicData>
            </a:graphic>
          </wp:inline>
        </w:drawing>
      </w:r>
    </w:p>
    <w:p>
      <w:pPr>
        <w:rPr>
          <w:rFonts w:ascii="Times New Roman" w:hAnsi="Times New Roman" w:cs="Times New Roman"/>
        </w:rPr>
      </w:pPr>
      <w:bookmarkStart w:id="59" w:name="_Toc118159981"/>
      <w:r>
        <w:rPr>
          <w:rStyle w:val="18"/>
          <w:rFonts w:ascii="Times New Roman" w:hAnsi="Times New Roman" w:cs="Times New Roman"/>
        </w:rPr>
        <w:t>Supplemental Figure S4. Trajectories of plasma EBV DNA levels.</w:t>
      </w:r>
      <w:bookmarkEnd w:id="59"/>
      <w:r>
        <w:rPr>
          <w:rFonts w:ascii="Times New Roman" w:hAnsi="Times New Roman" w:cs="Times New Roman"/>
        </w:rPr>
        <w:t xml:space="preserve"> The longitudinal monitoring trajectories of the change in plasma Epstein-Barr virus (EBV) DNA concentrations in the intention-to-treat population. Red and orange dotted line denote two patients had persistently detectable plasma EBV DNA, including one achieving regional partial response and another dead from subsequent liver and bone metastases, respectively. </w:t>
      </w:r>
    </w:p>
    <w:bookmarkEnd w:id="57"/>
    <w:p>
      <w:pPr>
        <w:rPr>
          <w:rFonts w:ascii="Times New Roman" w:hAnsi="Times New Roman" w:cs="Times New Roman"/>
          <w:b/>
          <w:bCs/>
        </w:rPr>
      </w:pPr>
    </w:p>
    <w:p>
      <w:pPr>
        <w:rPr>
          <w:rFonts w:ascii="Times New Roman" w:hAnsi="Times New Roman" w:cs="Times New Roman"/>
          <w:b/>
          <w:bCs/>
        </w:rPr>
      </w:pPr>
      <w:r>
        <w:rPr>
          <w:rFonts w:ascii="Times New Roman" w:hAnsi="Times New Roman" w:cs="Times New Roman"/>
          <w:b/>
          <w:bCs/>
        </w:rPr>
        <w:drawing>
          <wp:inline distT="0" distB="0" distL="0" distR="0">
            <wp:extent cx="5361940" cy="3018790"/>
            <wp:effectExtent l="0" t="0" r="0" b="0"/>
            <wp:docPr id="16980249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024944"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401152" cy="3041072"/>
                    </a:xfrm>
                    <a:prstGeom prst="rect">
                      <a:avLst/>
                    </a:prstGeom>
                    <a:noFill/>
                  </pic:spPr>
                </pic:pic>
              </a:graphicData>
            </a:graphic>
          </wp:inline>
        </w:drawing>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widowControl/>
        <w:jc w:val="left"/>
        <w:rPr>
          <w:rFonts w:ascii="Times New Roman" w:hAnsi="Times New Roman" w:cs="Times New Roman"/>
        </w:rPr>
      </w:pPr>
      <w:r>
        <w:rPr>
          <w:rFonts w:ascii="Times New Roman" w:hAnsi="Times New Roman" w:cs="Times New Roman"/>
        </w:rPr>
        <w:br w:type="page"/>
      </w:r>
    </w:p>
    <w:p>
      <w:pPr>
        <w:rPr>
          <w:rFonts w:hint="eastAsia" w:ascii="Times New Roman" w:hAnsi="Times New Roman" w:eastAsia="宋体" w:cs="Times New Roman"/>
          <w:color w:val="FF0000"/>
          <w:sz w:val="21"/>
          <w:szCs w:val="21"/>
          <w:lang w:val="en-US" w:eastAsia="zh-CN"/>
        </w:rPr>
      </w:pPr>
      <w:bookmarkStart w:id="60" w:name="_Toc118159982"/>
      <w:bookmarkStart w:id="61" w:name="OLE_LINK2"/>
      <w:r>
        <w:rPr>
          <w:rStyle w:val="18"/>
          <w:rFonts w:ascii="Times New Roman" w:hAnsi="Times New Roman" w:cs="Times New Roman"/>
        </w:rPr>
        <w:t>Supplemental Figure S5. Immune-related toxic epidermal necrolysis-like skin reaction.</w:t>
      </w:r>
      <w:bookmarkEnd w:id="60"/>
      <w:r>
        <w:rPr>
          <w:rFonts w:ascii="Times New Roman" w:hAnsi="Times New Roman" w:cs="Times New Roman"/>
        </w:rPr>
        <w:t xml:space="preserve"> One 38-year-old male patient presented with rashes 2 weeks later after receiving the first dose induction therapy (Panel A), and gradually developed toxic epidermal necrolysis (TEN)-like skin reaction with erythematous macules and pigmentation within 1 week (Panel B). This patient was hospitalized and received methylprednisolone 1 mg/kg/day and intravenous immune globulin for 7 days (Panel C and D). The skin rashes subsided after 10 days of hospitalization (Panel E). Panel F denote this patient 3 months after the end dose of camrelizumab. Panel G and H denote the histology of skin revealing intraepidermal edema and basal liquefaction with lymphocytic infiltration in epithelium and superficial dermis, respectively.</w:t>
      </w:r>
      <w:r>
        <w:rPr>
          <w:rFonts w:hint="eastAsia" w:ascii="Times New Roman" w:hAnsi="Times New Roman" w:cs="Times New Roman"/>
          <w:lang w:val="en-US" w:eastAsia="zh-CN"/>
        </w:rPr>
        <w:t>*</w:t>
      </w:r>
      <w:r>
        <w:rPr>
          <w:rFonts w:hint="eastAsia" w:ascii="Times New Roman" w:hAnsi="Times New Roman" w:eastAsia="宋体" w:cs="Times New Roman"/>
          <w:i w:val="0"/>
          <w:iCs w:val="0"/>
          <w:caps w:val="0"/>
          <w:color w:val="000000"/>
          <w:spacing w:val="0"/>
          <w:sz w:val="21"/>
          <w:szCs w:val="21"/>
          <w:shd w:val="clear" w:fill="FFFFFF"/>
          <w:lang w:val="en-US" w:eastAsia="zh-CN"/>
        </w:rPr>
        <w:t>A</w:t>
      </w:r>
      <w:r>
        <w:rPr>
          <w:rFonts w:hint="default" w:ascii="Times New Roman" w:hAnsi="Times New Roman" w:eastAsia="Helvetica" w:cs="Times New Roman"/>
          <w:i w:val="0"/>
          <w:iCs w:val="0"/>
          <w:caps w:val="0"/>
          <w:color w:val="000000"/>
          <w:spacing w:val="0"/>
          <w:sz w:val="21"/>
          <w:szCs w:val="21"/>
          <w:shd w:val="clear" w:fill="FFFFFF"/>
        </w:rPr>
        <w:t>uthors have obtained consent</w:t>
      </w:r>
      <w:r>
        <w:rPr>
          <w:rFonts w:hint="eastAsia" w:ascii="Times New Roman" w:hAnsi="Times New Roman" w:eastAsia="宋体" w:cs="Times New Roman"/>
          <w:i w:val="0"/>
          <w:iCs w:val="0"/>
          <w:caps w:val="0"/>
          <w:color w:val="000000"/>
          <w:spacing w:val="0"/>
          <w:sz w:val="21"/>
          <w:szCs w:val="21"/>
          <w:shd w:val="clear" w:fill="FFFFFF"/>
          <w:lang w:val="en-US" w:eastAsia="zh-CN"/>
        </w:rPr>
        <w:t xml:space="preserve"> from the patient</w:t>
      </w:r>
      <w:r>
        <w:rPr>
          <w:rFonts w:hint="default" w:ascii="Times New Roman" w:hAnsi="Times New Roman" w:eastAsia="Helvetica" w:cs="Times New Roman"/>
          <w:i w:val="0"/>
          <w:iCs w:val="0"/>
          <w:caps w:val="0"/>
          <w:color w:val="000000"/>
          <w:spacing w:val="0"/>
          <w:sz w:val="21"/>
          <w:szCs w:val="21"/>
          <w:shd w:val="clear" w:fill="FFFFFF"/>
        </w:rPr>
        <w:t xml:space="preserve"> to publication of the images</w:t>
      </w:r>
      <w:r>
        <w:rPr>
          <w:rFonts w:hint="eastAsia" w:ascii="Times New Roman" w:hAnsi="Times New Roman" w:eastAsia="宋体" w:cs="Times New Roman"/>
          <w:i w:val="0"/>
          <w:iCs w:val="0"/>
          <w:caps w:val="0"/>
          <w:color w:val="000000"/>
          <w:spacing w:val="0"/>
          <w:sz w:val="21"/>
          <w:szCs w:val="21"/>
          <w:shd w:val="clear" w:fill="FFFFFF"/>
          <w:lang w:val="en-US" w:eastAsia="zh-CN"/>
        </w:rPr>
        <w:t>.</w:t>
      </w:r>
      <w:bookmarkStart w:id="62" w:name="_GoBack"/>
      <w:bookmarkEnd w:id="62"/>
    </w:p>
    <w:bookmarkEnd w:id="61"/>
    <w:p>
      <w:pPr>
        <w:rPr>
          <w:rFonts w:ascii="Times New Roman" w:hAnsi="Times New Roman" w:cs="Times New Roman"/>
        </w:rPr>
      </w:pPr>
    </w:p>
    <w:p>
      <w:pPr>
        <w:rPr>
          <w:rFonts w:ascii="Times New Roman" w:hAnsi="Times New Roman" w:cs="Times New Roman"/>
        </w:rPr>
      </w:pPr>
      <w:r>
        <w:rPr>
          <w:rFonts w:ascii="Times New Roman" w:hAnsi="Times New Roman" w:cs="Times New Roman"/>
        </w:rPr>
        <w:drawing>
          <wp:inline distT="0" distB="0" distL="0" distR="0">
            <wp:extent cx="5248275" cy="3364865"/>
            <wp:effectExtent l="0" t="0" r="952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9277" cy="3378211"/>
                    </a:xfrm>
                    <a:prstGeom prst="rect">
                      <a:avLst/>
                    </a:prstGeom>
                    <a:noFill/>
                  </pic:spPr>
                </pic:pic>
              </a:graphicData>
            </a:graphic>
          </wp:inline>
        </w:drawing>
      </w:r>
    </w:p>
    <w:bookmarkEnd w:id="54"/>
    <w:p>
      <w:pPr>
        <w:widowControl/>
        <w:jc w:val="left"/>
        <w:rPr>
          <w:rFonts w:ascii="Arial" w:hAnsi="Arial" w:cs="Arial"/>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4925244"/>
      <w:docPartObj>
        <w:docPartGallery w:val="AutoText"/>
      </w:docPartObj>
    </w:sdtPr>
    <w:sdtEndPr>
      <w:rPr>
        <w:rFonts w:ascii="Times New Roman" w:hAnsi="Times New Roman" w:cs="Times New Roman"/>
      </w:rPr>
    </w:sdtEndPr>
    <w:sdtContent>
      <w:sdt>
        <w:sdtPr>
          <w:id w:val="1728636285"/>
          <w:docPartObj>
            <w:docPartGallery w:val="AutoText"/>
          </w:docPartObj>
        </w:sdtPr>
        <w:sdtEndPr>
          <w:rPr>
            <w:rFonts w:ascii="Times New Roman" w:hAnsi="Times New Roman" w:cs="Times New Roman"/>
          </w:rPr>
        </w:sdtEndPr>
        <w:sdtContent>
          <w:p>
            <w:pPr>
              <w:pStyle w:val="6"/>
              <w:jc w:val="center"/>
              <w:rPr>
                <w:rFonts w:ascii="Times New Roman" w:hAnsi="Times New Roman" w:cs="Times New Roman"/>
              </w:rPr>
            </w:pPr>
            <w:r>
              <w:rPr>
                <w:rFonts w:ascii="Times New Roman" w:hAnsi="Times New Roman" w:cs="Times New Roman"/>
                <w:lang w:val="zh-CN"/>
              </w:rPr>
              <w:t xml:space="preserve"> </w:t>
            </w:r>
            <w:r>
              <w:rPr>
                <w:rFonts w:ascii="Times New Roman" w:hAnsi="Times New Roman" w:cs="Times New Roman"/>
                <w:b/>
                <w:bCs/>
                <w:sz w:val="24"/>
                <w:szCs w:val="24"/>
              </w:rPr>
              <w:fldChar w:fldCharType="begin"/>
            </w:r>
            <w:r>
              <w:rPr>
                <w:rFonts w:ascii="Times New Roman" w:hAnsi="Times New Roman" w:cs="Times New Roman"/>
                <w:b/>
                <w:bCs/>
              </w:rPr>
              <w:instrText xml:space="preserve">PAGE</w:instrText>
            </w:r>
            <w:r>
              <w:rPr>
                <w:rFonts w:ascii="Times New Roman" w:hAnsi="Times New Roman" w:cs="Times New Roman"/>
                <w:b/>
                <w:bCs/>
                <w:sz w:val="24"/>
                <w:szCs w:val="24"/>
              </w:rPr>
              <w:fldChar w:fldCharType="separate"/>
            </w:r>
            <w:r>
              <w:rPr>
                <w:rFonts w:ascii="Times New Roman" w:hAnsi="Times New Roman" w:cs="Times New Roman"/>
                <w:b/>
                <w:bCs/>
                <w:lang w:val="zh-CN"/>
              </w:rPr>
              <w:t>2</w:t>
            </w:r>
            <w:r>
              <w:rPr>
                <w:rFonts w:ascii="Times New Roman" w:hAnsi="Times New Roman" w:cs="Times New Roman"/>
                <w:b/>
                <w:bCs/>
                <w:sz w:val="24"/>
                <w:szCs w:val="24"/>
              </w:rPr>
              <w:fldChar w:fldCharType="end"/>
            </w:r>
            <w:r>
              <w:rPr>
                <w:rFonts w:ascii="Times New Roman" w:hAnsi="Times New Roman" w:cs="Times New Roman"/>
                <w:lang w:val="zh-CN"/>
              </w:rPr>
              <w:t xml:space="preserve"> / </w:t>
            </w:r>
            <w:r>
              <w:rPr>
                <w:rFonts w:ascii="Times New Roman" w:hAnsi="Times New Roman" w:cs="Times New Roman"/>
                <w:b/>
                <w:bCs/>
                <w:sz w:val="24"/>
                <w:szCs w:val="24"/>
              </w:rPr>
              <w:fldChar w:fldCharType="begin"/>
            </w:r>
            <w:r>
              <w:rPr>
                <w:rFonts w:ascii="Times New Roman" w:hAnsi="Times New Roman" w:cs="Times New Roman"/>
                <w:b/>
                <w:bCs/>
              </w:rPr>
              <w:instrText xml:space="preserve">NUMPAGES</w:instrText>
            </w:r>
            <w:r>
              <w:rPr>
                <w:rFonts w:ascii="Times New Roman" w:hAnsi="Times New Roman" w:cs="Times New Roman"/>
                <w:b/>
                <w:bCs/>
                <w:sz w:val="24"/>
                <w:szCs w:val="24"/>
              </w:rPr>
              <w:fldChar w:fldCharType="separate"/>
            </w:r>
            <w:r>
              <w:rPr>
                <w:rFonts w:ascii="Times New Roman" w:hAnsi="Times New Roman" w:cs="Times New Roman"/>
                <w:b/>
                <w:bCs/>
                <w:lang w:val="zh-CN"/>
              </w:rPr>
              <w:t>2</w:t>
            </w:r>
            <w:r>
              <w:rPr>
                <w:rFonts w:ascii="Times New Roman" w:hAnsi="Times New Roman" w:cs="Times New Roman"/>
                <w:b/>
                <w:bCs/>
                <w:sz w:val="24"/>
                <w:szCs w:val="24"/>
              </w:rPr>
              <w:fldChar w:fldCharType="end"/>
            </w:r>
          </w:p>
        </w:sdtContent>
      </w:sdt>
    </w:sdtContent>
  </w:sdt>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5YjNlYWJjOGM1NGViODEzZTFjYzBlMjMyYjQxODEifQ=="/>
    <w:docVar w:name="EN.InstantFormat" w:val="&lt;ENInstantFormat&gt;&lt;Enabled&gt;1&lt;/Enabled&gt;&lt;ScanUnformatted&gt;1&lt;/ScanUnformatted&gt;&lt;ScanChanges&gt;1&lt;/ScanChanges&gt;&lt;Suspended&gt;0&lt;/Suspended&gt;&lt;/ENInstantFormat&gt;"/>
    <w:docVar w:name="EN.Layout" w:val="&lt;ENLayout&gt;&lt;Style&gt;J Clinical Oncolog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wrrrtdj52r2rewdx7vsdxjftrd55xvv29z&quot;&gt;My EndNote Library_TiGerAll&lt;record-ids&gt;&lt;item&gt;19774&lt;/item&gt;&lt;/record-ids&gt;&lt;/item&gt;&lt;/Libraries&gt;"/>
  </w:docVars>
  <w:rsids>
    <w:rsidRoot w:val="004D5DC8"/>
    <w:rsid w:val="00000E36"/>
    <w:rsid w:val="00001454"/>
    <w:rsid w:val="000043C3"/>
    <w:rsid w:val="00006508"/>
    <w:rsid w:val="00006C6F"/>
    <w:rsid w:val="00007283"/>
    <w:rsid w:val="000102C0"/>
    <w:rsid w:val="00012523"/>
    <w:rsid w:val="00017A9C"/>
    <w:rsid w:val="0002232B"/>
    <w:rsid w:val="00024067"/>
    <w:rsid w:val="000246B9"/>
    <w:rsid w:val="00024DBE"/>
    <w:rsid w:val="00030602"/>
    <w:rsid w:val="0003270B"/>
    <w:rsid w:val="000402A5"/>
    <w:rsid w:val="00040DF4"/>
    <w:rsid w:val="00042D39"/>
    <w:rsid w:val="000452A6"/>
    <w:rsid w:val="00045F74"/>
    <w:rsid w:val="000476FC"/>
    <w:rsid w:val="000477E4"/>
    <w:rsid w:val="00052786"/>
    <w:rsid w:val="000554EC"/>
    <w:rsid w:val="000616E4"/>
    <w:rsid w:val="000628CD"/>
    <w:rsid w:val="00063BAD"/>
    <w:rsid w:val="000654ED"/>
    <w:rsid w:val="00066903"/>
    <w:rsid w:val="0007023B"/>
    <w:rsid w:val="00073709"/>
    <w:rsid w:val="00073E95"/>
    <w:rsid w:val="000744D7"/>
    <w:rsid w:val="00077237"/>
    <w:rsid w:val="00080D16"/>
    <w:rsid w:val="000829CA"/>
    <w:rsid w:val="00083567"/>
    <w:rsid w:val="000878CA"/>
    <w:rsid w:val="000A3DC3"/>
    <w:rsid w:val="000A3F72"/>
    <w:rsid w:val="000A49CA"/>
    <w:rsid w:val="000A5926"/>
    <w:rsid w:val="000A5AC9"/>
    <w:rsid w:val="000A7A1E"/>
    <w:rsid w:val="000B2961"/>
    <w:rsid w:val="000B2D69"/>
    <w:rsid w:val="000C1041"/>
    <w:rsid w:val="000C2199"/>
    <w:rsid w:val="000C4D48"/>
    <w:rsid w:val="000C56BB"/>
    <w:rsid w:val="000D0BBF"/>
    <w:rsid w:val="000D17B6"/>
    <w:rsid w:val="000D1B4C"/>
    <w:rsid w:val="000D7711"/>
    <w:rsid w:val="000E2809"/>
    <w:rsid w:val="000E337E"/>
    <w:rsid w:val="000E74DF"/>
    <w:rsid w:val="000E7F51"/>
    <w:rsid w:val="000E7FB2"/>
    <w:rsid w:val="000F2000"/>
    <w:rsid w:val="000F420A"/>
    <w:rsid w:val="000F582A"/>
    <w:rsid w:val="0010025E"/>
    <w:rsid w:val="00101650"/>
    <w:rsid w:val="00101BD1"/>
    <w:rsid w:val="00102FF4"/>
    <w:rsid w:val="001032F5"/>
    <w:rsid w:val="001033D0"/>
    <w:rsid w:val="00104B35"/>
    <w:rsid w:val="00104E15"/>
    <w:rsid w:val="00106C6D"/>
    <w:rsid w:val="0011061B"/>
    <w:rsid w:val="00111F34"/>
    <w:rsid w:val="00117307"/>
    <w:rsid w:val="00121261"/>
    <w:rsid w:val="001214DF"/>
    <w:rsid w:val="00125E62"/>
    <w:rsid w:val="001341B4"/>
    <w:rsid w:val="00135C2D"/>
    <w:rsid w:val="00136302"/>
    <w:rsid w:val="00136616"/>
    <w:rsid w:val="00140CF0"/>
    <w:rsid w:val="00141261"/>
    <w:rsid w:val="00141A5C"/>
    <w:rsid w:val="001426A2"/>
    <w:rsid w:val="0014447A"/>
    <w:rsid w:val="00145E1C"/>
    <w:rsid w:val="00146F8E"/>
    <w:rsid w:val="00147027"/>
    <w:rsid w:val="00147B30"/>
    <w:rsid w:val="00147E5C"/>
    <w:rsid w:val="0015125B"/>
    <w:rsid w:val="00154A6D"/>
    <w:rsid w:val="0015596E"/>
    <w:rsid w:val="00161767"/>
    <w:rsid w:val="00162AF7"/>
    <w:rsid w:val="00163D32"/>
    <w:rsid w:val="001660BA"/>
    <w:rsid w:val="001674B4"/>
    <w:rsid w:val="00167C76"/>
    <w:rsid w:val="00167F41"/>
    <w:rsid w:val="00173694"/>
    <w:rsid w:val="00181FFC"/>
    <w:rsid w:val="001863A6"/>
    <w:rsid w:val="00186FE5"/>
    <w:rsid w:val="00187474"/>
    <w:rsid w:val="00187EA5"/>
    <w:rsid w:val="00194381"/>
    <w:rsid w:val="0019514E"/>
    <w:rsid w:val="00195AF8"/>
    <w:rsid w:val="001A19D5"/>
    <w:rsid w:val="001A242A"/>
    <w:rsid w:val="001A2ECC"/>
    <w:rsid w:val="001B0621"/>
    <w:rsid w:val="001B2EA4"/>
    <w:rsid w:val="001B656A"/>
    <w:rsid w:val="001B6C3C"/>
    <w:rsid w:val="001B7735"/>
    <w:rsid w:val="001C04FC"/>
    <w:rsid w:val="001C0C95"/>
    <w:rsid w:val="001C2662"/>
    <w:rsid w:val="001C26F5"/>
    <w:rsid w:val="001C709A"/>
    <w:rsid w:val="001D09C6"/>
    <w:rsid w:val="001D3DE1"/>
    <w:rsid w:val="001D3EF1"/>
    <w:rsid w:val="001D53BD"/>
    <w:rsid w:val="001E0BAE"/>
    <w:rsid w:val="001E2CF2"/>
    <w:rsid w:val="001E3AEB"/>
    <w:rsid w:val="001F1FD8"/>
    <w:rsid w:val="001F32CD"/>
    <w:rsid w:val="001F648C"/>
    <w:rsid w:val="00200B36"/>
    <w:rsid w:val="00201B10"/>
    <w:rsid w:val="00203FD7"/>
    <w:rsid w:val="00204276"/>
    <w:rsid w:val="00215E5D"/>
    <w:rsid w:val="00223411"/>
    <w:rsid w:val="002252C9"/>
    <w:rsid w:val="00235F8F"/>
    <w:rsid w:val="002363C8"/>
    <w:rsid w:val="002408C7"/>
    <w:rsid w:val="00254EE2"/>
    <w:rsid w:val="00255DB8"/>
    <w:rsid w:val="00256EB5"/>
    <w:rsid w:val="00260E67"/>
    <w:rsid w:val="0026277C"/>
    <w:rsid w:val="0026381B"/>
    <w:rsid w:val="00265F88"/>
    <w:rsid w:val="00270F00"/>
    <w:rsid w:val="00273DC5"/>
    <w:rsid w:val="00273DF0"/>
    <w:rsid w:val="00277357"/>
    <w:rsid w:val="002835DE"/>
    <w:rsid w:val="00284DC6"/>
    <w:rsid w:val="00284FA0"/>
    <w:rsid w:val="002868E9"/>
    <w:rsid w:val="00286FD9"/>
    <w:rsid w:val="002907CD"/>
    <w:rsid w:val="00295813"/>
    <w:rsid w:val="00296FC0"/>
    <w:rsid w:val="002A021B"/>
    <w:rsid w:val="002A5D95"/>
    <w:rsid w:val="002B18FC"/>
    <w:rsid w:val="002B397F"/>
    <w:rsid w:val="002B5039"/>
    <w:rsid w:val="002C2747"/>
    <w:rsid w:val="002C3D33"/>
    <w:rsid w:val="002C5081"/>
    <w:rsid w:val="002C50A7"/>
    <w:rsid w:val="002C5DAC"/>
    <w:rsid w:val="002C6045"/>
    <w:rsid w:val="002C6BF6"/>
    <w:rsid w:val="002C6E89"/>
    <w:rsid w:val="002D1393"/>
    <w:rsid w:val="002D14CB"/>
    <w:rsid w:val="002D5208"/>
    <w:rsid w:val="002E420A"/>
    <w:rsid w:val="002E51AC"/>
    <w:rsid w:val="002F1A5E"/>
    <w:rsid w:val="002F550F"/>
    <w:rsid w:val="002F75C4"/>
    <w:rsid w:val="00314429"/>
    <w:rsid w:val="00315221"/>
    <w:rsid w:val="003332E6"/>
    <w:rsid w:val="003363A0"/>
    <w:rsid w:val="00336A60"/>
    <w:rsid w:val="00336D62"/>
    <w:rsid w:val="00337E15"/>
    <w:rsid w:val="00343010"/>
    <w:rsid w:val="00343044"/>
    <w:rsid w:val="003454C2"/>
    <w:rsid w:val="00346915"/>
    <w:rsid w:val="0035423A"/>
    <w:rsid w:val="00354BA5"/>
    <w:rsid w:val="00355057"/>
    <w:rsid w:val="0035646C"/>
    <w:rsid w:val="00360507"/>
    <w:rsid w:val="003619F8"/>
    <w:rsid w:val="003638A2"/>
    <w:rsid w:val="00364B4F"/>
    <w:rsid w:val="00371939"/>
    <w:rsid w:val="00372086"/>
    <w:rsid w:val="003739BE"/>
    <w:rsid w:val="003744AD"/>
    <w:rsid w:val="00375875"/>
    <w:rsid w:val="00376731"/>
    <w:rsid w:val="00390D0A"/>
    <w:rsid w:val="00391D2D"/>
    <w:rsid w:val="00392788"/>
    <w:rsid w:val="003940C6"/>
    <w:rsid w:val="0039578A"/>
    <w:rsid w:val="00397401"/>
    <w:rsid w:val="00397484"/>
    <w:rsid w:val="003A1FC8"/>
    <w:rsid w:val="003A64A9"/>
    <w:rsid w:val="003A6C26"/>
    <w:rsid w:val="003B1A24"/>
    <w:rsid w:val="003B2347"/>
    <w:rsid w:val="003B29C9"/>
    <w:rsid w:val="003B30BE"/>
    <w:rsid w:val="003B3582"/>
    <w:rsid w:val="003C1CCD"/>
    <w:rsid w:val="003C3394"/>
    <w:rsid w:val="003C580B"/>
    <w:rsid w:val="003D0F4B"/>
    <w:rsid w:val="003D4D1A"/>
    <w:rsid w:val="003D51B1"/>
    <w:rsid w:val="003D7813"/>
    <w:rsid w:val="003D7F7D"/>
    <w:rsid w:val="003E19EA"/>
    <w:rsid w:val="003E351F"/>
    <w:rsid w:val="003E3C93"/>
    <w:rsid w:val="003E512D"/>
    <w:rsid w:val="003F33BF"/>
    <w:rsid w:val="004001AD"/>
    <w:rsid w:val="00401FE8"/>
    <w:rsid w:val="00402180"/>
    <w:rsid w:val="00406118"/>
    <w:rsid w:val="004129A3"/>
    <w:rsid w:val="00414068"/>
    <w:rsid w:val="004141F0"/>
    <w:rsid w:val="00414AEB"/>
    <w:rsid w:val="00420452"/>
    <w:rsid w:val="00420651"/>
    <w:rsid w:val="00421C1E"/>
    <w:rsid w:val="00425259"/>
    <w:rsid w:val="00425568"/>
    <w:rsid w:val="00426209"/>
    <w:rsid w:val="00426A17"/>
    <w:rsid w:val="00433EA3"/>
    <w:rsid w:val="00434BE1"/>
    <w:rsid w:val="00442252"/>
    <w:rsid w:val="004445B9"/>
    <w:rsid w:val="004470B4"/>
    <w:rsid w:val="0044759A"/>
    <w:rsid w:val="00451D2F"/>
    <w:rsid w:val="00460E7A"/>
    <w:rsid w:val="00461FFD"/>
    <w:rsid w:val="00464BB2"/>
    <w:rsid w:val="0046593F"/>
    <w:rsid w:val="004670B5"/>
    <w:rsid w:val="00471EA5"/>
    <w:rsid w:val="00474E48"/>
    <w:rsid w:val="00475FBA"/>
    <w:rsid w:val="004765BD"/>
    <w:rsid w:val="00477174"/>
    <w:rsid w:val="00484737"/>
    <w:rsid w:val="004900F1"/>
    <w:rsid w:val="004916C5"/>
    <w:rsid w:val="00492826"/>
    <w:rsid w:val="004940E0"/>
    <w:rsid w:val="00497DCF"/>
    <w:rsid w:val="004A0A9E"/>
    <w:rsid w:val="004A12D6"/>
    <w:rsid w:val="004A2EC9"/>
    <w:rsid w:val="004A54D9"/>
    <w:rsid w:val="004B1D6A"/>
    <w:rsid w:val="004B40B2"/>
    <w:rsid w:val="004B64F0"/>
    <w:rsid w:val="004C1C9C"/>
    <w:rsid w:val="004C2523"/>
    <w:rsid w:val="004D09F9"/>
    <w:rsid w:val="004D22FE"/>
    <w:rsid w:val="004D5DC8"/>
    <w:rsid w:val="004D6765"/>
    <w:rsid w:val="004D6A22"/>
    <w:rsid w:val="004E092A"/>
    <w:rsid w:val="004E0B32"/>
    <w:rsid w:val="004E20CF"/>
    <w:rsid w:val="004E3AA7"/>
    <w:rsid w:val="004E5F83"/>
    <w:rsid w:val="004F086D"/>
    <w:rsid w:val="004F13A6"/>
    <w:rsid w:val="004F292B"/>
    <w:rsid w:val="004F5361"/>
    <w:rsid w:val="004F5E7E"/>
    <w:rsid w:val="00500931"/>
    <w:rsid w:val="00502FEA"/>
    <w:rsid w:val="00503B0F"/>
    <w:rsid w:val="00505AD3"/>
    <w:rsid w:val="0050625A"/>
    <w:rsid w:val="0051068E"/>
    <w:rsid w:val="0051176D"/>
    <w:rsid w:val="00512597"/>
    <w:rsid w:val="005218CF"/>
    <w:rsid w:val="00521E41"/>
    <w:rsid w:val="00524B88"/>
    <w:rsid w:val="005258C7"/>
    <w:rsid w:val="00526FE3"/>
    <w:rsid w:val="00530951"/>
    <w:rsid w:val="0053118E"/>
    <w:rsid w:val="00534795"/>
    <w:rsid w:val="00536415"/>
    <w:rsid w:val="0053787E"/>
    <w:rsid w:val="0054082A"/>
    <w:rsid w:val="00547153"/>
    <w:rsid w:val="00553C30"/>
    <w:rsid w:val="0055617C"/>
    <w:rsid w:val="00557DF3"/>
    <w:rsid w:val="0056156D"/>
    <w:rsid w:val="00561B96"/>
    <w:rsid w:val="005655B7"/>
    <w:rsid w:val="00570554"/>
    <w:rsid w:val="0057167B"/>
    <w:rsid w:val="00574259"/>
    <w:rsid w:val="00574564"/>
    <w:rsid w:val="005748E5"/>
    <w:rsid w:val="00575C7C"/>
    <w:rsid w:val="0057742E"/>
    <w:rsid w:val="00577959"/>
    <w:rsid w:val="00586A01"/>
    <w:rsid w:val="0059189B"/>
    <w:rsid w:val="00596AF3"/>
    <w:rsid w:val="005A040B"/>
    <w:rsid w:val="005A0993"/>
    <w:rsid w:val="005A2778"/>
    <w:rsid w:val="005A5613"/>
    <w:rsid w:val="005A56A8"/>
    <w:rsid w:val="005A6B06"/>
    <w:rsid w:val="005A7799"/>
    <w:rsid w:val="005B5EAE"/>
    <w:rsid w:val="005C192F"/>
    <w:rsid w:val="005C2E9E"/>
    <w:rsid w:val="005C4A6B"/>
    <w:rsid w:val="005C7258"/>
    <w:rsid w:val="005D5791"/>
    <w:rsid w:val="005E0297"/>
    <w:rsid w:val="005E29FA"/>
    <w:rsid w:val="005E3DEB"/>
    <w:rsid w:val="005E41C3"/>
    <w:rsid w:val="005E7319"/>
    <w:rsid w:val="005F0170"/>
    <w:rsid w:val="005F1BAF"/>
    <w:rsid w:val="005F2C51"/>
    <w:rsid w:val="00600C4E"/>
    <w:rsid w:val="00602F0F"/>
    <w:rsid w:val="00603DE8"/>
    <w:rsid w:val="006049D5"/>
    <w:rsid w:val="006108C9"/>
    <w:rsid w:val="006126BE"/>
    <w:rsid w:val="0061416C"/>
    <w:rsid w:val="00615C15"/>
    <w:rsid w:val="0062220A"/>
    <w:rsid w:val="006315AC"/>
    <w:rsid w:val="00635500"/>
    <w:rsid w:val="00641707"/>
    <w:rsid w:val="006442C7"/>
    <w:rsid w:val="006449B8"/>
    <w:rsid w:val="0064623E"/>
    <w:rsid w:val="00646447"/>
    <w:rsid w:val="0064716E"/>
    <w:rsid w:val="00647DEC"/>
    <w:rsid w:val="006502B0"/>
    <w:rsid w:val="006521B1"/>
    <w:rsid w:val="00652D22"/>
    <w:rsid w:val="00660498"/>
    <w:rsid w:val="00663AB3"/>
    <w:rsid w:val="00665B2C"/>
    <w:rsid w:val="00666F48"/>
    <w:rsid w:val="006673A5"/>
    <w:rsid w:val="00671283"/>
    <w:rsid w:val="00673F90"/>
    <w:rsid w:val="00677489"/>
    <w:rsid w:val="006824A7"/>
    <w:rsid w:val="00683930"/>
    <w:rsid w:val="00683A67"/>
    <w:rsid w:val="00684DF4"/>
    <w:rsid w:val="00686576"/>
    <w:rsid w:val="006902C3"/>
    <w:rsid w:val="00694DFC"/>
    <w:rsid w:val="00695D63"/>
    <w:rsid w:val="006966C8"/>
    <w:rsid w:val="00696AFF"/>
    <w:rsid w:val="006A3316"/>
    <w:rsid w:val="006A58AF"/>
    <w:rsid w:val="006A6E53"/>
    <w:rsid w:val="006B2452"/>
    <w:rsid w:val="006B3F31"/>
    <w:rsid w:val="006B5A41"/>
    <w:rsid w:val="006B5A4B"/>
    <w:rsid w:val="006B5B58"/>
    <w:rsid w:val="006C03FB"/>
    <w:rsid w:val="006C09F0"/>
    <w:rsid w:val="006C1CD2"/>
    <w:rsid w:val="006C2732"/>
    <w:rsid w:val="006D1D2D"/>
    <w:rsid w:val="006D2DBE"/>
    <w:rsid w:val="006D35A5"/>
    <w:rsid w:val="006D3A59"/>
    <w:rsid w:val="006D51B1"/>
    <w:rsid w:val="006D64E1"/>
    <w:rsid w:val="006E01B0"/>
    <w:rsid w:val="006E24AB"/>
    <w:rsid w:val="006E61B1"/>
    <w:rsid w:val="006E6F78"/>
    <w:rsid w:val="006F25A0"/>
    <w:rsid w:val="006F6346"/>
    <w:rsid w:val="006F68E3"/>
    <w:rsid w:val="007007F8"/>
    <w:rsid w:val="00700A0C"/>
    <w:rsid w:val="00700E29"/>
    <w:rsid w:val="00702E50"/>
    <w:rsid w:val="00713ADA"/>
    <w:rsid w:val="007173CC"/>
    <w:rsid w:val="007219EE"/>
    <w:rsid w:val="00722A66"/>
    <w:rsid w:val="00724CF3"/>
    <w:rsid w:val="00724E34"/>
    <w:rsid w:val="00726360"/>
    <w:rsid w:val="00726802"/>
    <w:rsid w:val="007369F3"/>
    <w:rsid w:val="00737065"/>
    <w:rsid w:val="00737185"/>
    <w:rsid w:val="007474F7"/>
    <w:rsid w:val="007475E4"/>
    <w:rsid w:val="00747DAD"/>
    <w:rsid w:val="00750455"/>
    <w:rsid w:val="00752542"/>
    <w:rsid w:val="00761B28"/>
    <w:rsid w:val="00763D20"/>
    <w:rsid w:val="00763EF7"/>
    <w:rsid w:val="00767CB5"/>
    <w:rsid w:val="00773B7C"/>
    <w:rsid w:val="00775155"/>
    <w:rsid w:val="00775B85"/>
    <w:rsid w:val="00777F53"/>
    <w:rsid w:val="00781327"/>
    <w:rsid w:val="00785BD8"/>
    <w:rsid w:val="00790F9E"/>
    <w:rsid w:val="0079193B"/>
    <w:rsid w:val="007A058F"/>
    <w:rsid w:val="007A5784"/>
    <w:rsid w:val="007B310E"/>
    <w:rsid w:val="007B4779"/>
    <w:rsid w:val="007C03F9"/>
    <w:rsid w:val="007C174C"/>
    <w:rsid w:val="007C2549"/>
    <w:rsid w:val="007C66EE"/>
    <w:rsid w:val="007D1388"/>
    <w:rsid w:val="007D1BAB"/>
    <w:rsid w:val="007D27F4"/>
    <w:rsid w:val="007D2B59"/>
    <w:rsid w:val="007D7C75"/>
    <w:rsid w:val="007E1731"/>
    <w:rsid w:val="00801859"/>
    <w:rsid w:val="00804D17"/>
    <w:rsid w:val="00810746"/>
    <w:rsid w:val="008259CA"/>
    <w:rsid w:val="00825E6C"/>
    <w:rsid w:val="008277F4"/>
    <w:rsid w:val="00830574"/>
    <w:rsid w:val="00832A8F"/>
    <w:rsid w:val="008402AF"/>
    <w:rsid w:val="0084789B"/>
    <w:rsid w:val="0085087A"/>
    <w:rsid w:val="00851494"/>
    <w:rsid w:val="008558CA"/>
    <w:rsid w:val="00862005"/>
    <w:rsid w:val="00863D2F"/>
    <w:rsid w:val="00863E03"/>
    <w:rsid w:val="008641D9"/>
    <w:rsid w:val="00864259"/>
    <w:rsid w:val="00866308"/>
    <w:rsid w:val="008702D3"/>
    <w:rsid w:val="00876A46"/>
    <w:rsid w:val="0088082D"/>
    <w:rsid w:val="008826BF"/>
    <w:rsid w:val="00883A73"/>
    <w:rsid w:val="00884AAC"/>
    <w:rsid w:val="008919FF"/>
    <w:rsid w:val="00892F31"/>
    <w:rsid w:val="008A4DCD"/>
    <w:rsid w:val="008A5939"/>
    <w:rsid w:val="008A6275"/>
    <w:rsid w:val="008A7E8C"/>
    <w:rsid w:val="008B611A"/>
    <w:rsid w:val="008B64FA"/>
    <w:rsid w:val="008C1BEA"/>
    <w:rsid w:val="008C48D3"/>
    <w:rsid w:val="008C5810"/>
    <w:rsid w:val="008D14C9"/>
    <w:rsid w:val="008D153C"/>
    <w:rsid w:val="008D2B2D"/>
    <w:rsid w:val="008D32F9"/>
    <w:rsid w:val="008D6907"/>
    <w:rsid w:val="008D71B4"/>
    <w:rsid w:val="008D792E"/>
    <w:rsid w:val="008E08BC"/>
    <w:rsid w:val="008E09D8"/>
    <w:rsid w:val="008E2B48"/>
    <w:rsid w:val="008E42EB"/>
    <w:rsid w:val="008F021D"/>
    <w:rsid w:val="009129FF"/>
    <w:rsid w:val="00912C84"/>
    <w:rsid w:val="00914087"/>
    <w:rsid w:val="00917F2C"/>
    <w:rsid w:val="009226BA"/>
    <w:rsid w:val="00922B83"/>
    <w:rsid w:val="009243FF"/>
    <w:rsid w:val="0092557D"/>
    <w:rsid w:val="009323C7"/>
    <w:rsid w:val="00933213"/>
    <w:rsid w:val="00934C4D"/>
    <w:rsid w:val="00937A2D"/>
    <w:rsid w:val="00943B89"/>
    <w:rsid w:val="00944AF2"/>
    <w:rsid w:val="009509E4"/>
    <w:rsid w:val="00953811"/>
    <w:rsid w:val="009543CF"/>
    <w:rsid w:val="0096071D"/>
    <w:rsid w:val="00967B1A"/>
    <w:rsid w:val="009727F1"/>
    <w:rsid w:val="009739E6"/>
    <w:rsid w:val="009775EF"/>
    <w:rsid w:val="00980E0B"/>
    <w:rsid w:val="00980EB8"/>
    <w:rsid w:val="0098261F"/>
    <w:rsid w:val="00983E2E"/>
    <w:rsid w:val="009866AB"/>
    <w:rsid w:val="00986F5D"/>
    <w:rsid w:val="00995F26"/>
    <w:rsid w:val="009A01E7"/>
    <w:rsid w:val="009A0BB1"/>
    <w:rsid w:val="009A2E8D"/>
    <w:rsid w:val="009A79C4"/>
    <w:rsid w:val="009B0003"/>
    <w:rsid w:val="009B1814"/>
    <w:rsid w:val="009B5019"/>
    <w:rsid w:val="009B5AC3"/>
    <w:rsid w:val="009B6400"/>
    <w:rsid w:val="009B7AA5"/>
    <w:rsid w:val="009C1C4A"/>
    <w:rsid w:val="009C4047"/>
    <w:rsid w:val="009C54C2"/>
    <w:rsid w:val="009D1950"/>
    <w:rsid w:val="009D4057"/>
    <w:rsid w:val="009D7511"/>
    <w:rsid w:val="009E1C20"/>
    <w:rsid w:val="009E5DE6"/>
    <w:rsid w:val="009E7D47"/>
    <w:rsid w:val="009F5BF5"/>
    <w:rsid w:val="009F642C"/>
    <w:rsid w:val="009F6CC5"/>
    <w:rsid w:val="00A0661F"/>
    <w:rsid w:val="00A123BC"/>
    <w:rsid w:val="00A17E6E"/>
    <w:rsid w:val="00A24B72"/>
    <w:rsid w:val="00A25584"/>
    <w:rsid w:val="00A262A4"/>
    <w:rsid w:val="00A337EE"/>
    <w:rsid w:val="00A33FBD"/>
    <w:rsid w:val="00A41F90"/>
    <w:rsid w:val="00A428DA"/>
    <w:rsid w:val="00A4476B"/>
    <w:rsid w:val="00A45943"/>
    <w:rsid w:val="00A533A8"/>
    <w:rsid w:val="00A54191"/>
    <w:rsid w:val="00A57A37"/>
    <w:rsid w:val="00A57C44"/>
    <w:rsid w:val="00A60F78"/>
    <w:rsid w:val="00A61A84"/>
    <w:rsid w:val="00A61FE6"/>
    <w:rsid w:val="00A672B2"/>
    <w:rsid w:val="00A71933"/>
    <w:rsid w:val="00A72FCB"/>
    <w:rsid w:val="00A75F32"/>
    <w:rsid w:val="00A77165"/>
    <w:rsid w:val="00A82934"/>
    <w:rsid w:val="00A8326D"/>
    <w:rsid w:val="00A85899"/>
    <w:rsid w:val="00A85E17"/>
    <w:rsid w:val="00A90221"/>
    <w:rsid w:val="00A95FF4"/>
    <w:rsid w:val="00AA06A5"/>
    <w:rsid w:val="00AA3689"/>
    <w:rsid w:val="00AA63C1"/>
    <w:rsid w:val="00AA7C9D"/>
    <w:rsid w:val="00AC16F6"/>
    <w:rsid w:val="00AC7972"/>
    <w:rsid w:val="00AD0911"/>
    <w:rsid w:val="00AD09FF"/>
    <w:rsid w:val="00AD1FA8"/>
    <w:rsid w:val="00AD76CB"/>
    <w:rsid w:val="00AE3AD1"/>
    <w:rsid w:val="00AF1002"/>
    <w:rsid w:val="00AF17AE"/>
    <w:rsid w:val="00AF1F76"/>
    <w:rsid w:val="00B00149"/>
    <w:rsid w:val="00B0457E"/>
    <w:rsid w:val="00B066CD"/>
    <w:rsid w:val="00B06AF9"/>
    <w:rsid w:val="00B07A31"/>
    <w:rsid w:val="00B10511"/>
    <w:rsid w:val="00B1077D"/>
    <w:rsid w:val="00B206E4"/>
    <w:rsid w:val="00B23718"/>
    <w:rsid w:val="00B24FB1"/>
    <w:rsid w:val="00B25F8E"/>
    <w:rsid w:val="00B34E97"/>
    <w:rsid w:val="00B35F38"/>
    <w:rsid w:val="00B46299"/>
    <w:rsid w:val="00B50401"/>
    <w:rsid w:val="00B53FFD"/>
    <w:rsid w:val="00B5770E"/>
    <w:rsid w:val="00B603E1"/>
    <w:rsid w:val="00B61BEB"/>
    <w:rsid w:val="00B62FC9"/>
    <w:rsid w:val="00B644FF"/>
    <w:rsid w:val="00B666BC"/>
    <w:rsid w:val="00B72AC1"/>
    <w:rsid w:val="00B73C4D"/>
    <w:rsid w:val="00B744FC"/>
    <w:rsid w:val="00B748A0"/>
    <w:rsid w:val="00B766CB"/>
    <w:rsid w:val="00B77817"/>
    <w:rsid w:val="00B80613"/>
    <w:rsid w:val="00B8141E"/>
    <w:rsid w:val="00B91776"/>
    <w:rsid w:val="00B92195"/>
    <w:rsid w:val="00B935AA"/>
    <w:rsid w:val="00B93BFC"/>
    <w:rsid w:val="00B94E68"/>
    <w:rsid w:val="00B95424"/>
    <w:rsid w:val="00B9566E"/>
    <w:rsid w:val="00B9645A"/>
    <w:rsid w:val="00BB2923"/>
    <w:rsid w:val="00BB4922"/>
    <w:rsid w:val="00BB4EDB"/>
    <w:rsid w:val="00BB5458"/>
    <w:rsid w:val="00BC4AE7"/>
    <w:rsid w:val="00BC7B03"/>
    <w:rsid w:val="00BD552F"/>
    <w:rsid w:val="00BE0B52"/>
    <w:rsid w:val="00BE1792"/>
    <w:rsid w:val="00BE377A"/>
    <w:rsid w:val="00BE4E07"/>
    <w:rsid w:val="00BF2D12"/>
    <w:rsid w:val="00BF67AB"/>
    <w:rsid w:val="00C00EA9"/>
    <w:rsid w:val="00C03D65"/>
    <w:rsid w:val="00C058F8"/>
    <w:rsid w:val="00C07FC1"/>
    <w:rsid w:val="00C1053F"/>
    <w:rsid w:val="00C152F9"/>
    <w:rsid w:val="00C16F4C"/>
    <w:rsid w:val="00C217FF"/>
    <w:rsid w:val="00C22BC5"/>
    <w:rsid w:val="00C22C26"/>
    <w:rsid w:val="00C2418F"/>
    <w:rsid w:val="00C27C75"/>
    <w:rsid w:val="00C3532C"/>
    <w:rsid w:val="00C362EB"/>
    <w:rsid w:val="00C41173"/>
    <w:rsid w:val="00C42268"/>
    <w:rsid w:val="00C555BF"/>
    <w:rsid w:val="00C55754"/>
    <w:rsid w:val="00C5623F"/>
    <w:rsid w:val="00C56FAE"/>
    <w:rsid w:val="00C61FB9"/>
    <w:rsid w:val="00C705ED"/>
    <w:rsid w:val="00C7652A"/>
    <w:rsid w:val="00C90366"/>
    <w:rsid w:val="00C916E6"/>
    <w:rsid w:val="00C918D0"/>
    <w:rsid w:val="00C945E6"/>
    <w:rsid w:val="00C95FAD"/>
    <w:rsid w:val="00CA6162"/>
    <w:rsid w:val="00CB7035"/>
    <w:rsid w:val="00CB7236"/>
    <w:rsid w:val="00CC2B0C"/>
    <w:rsid w:val="00CC2CCD"/>
    <w:rsid w:val="00CC3D0A"/>
    <w:rsid w:val="00CC4E0A"/>
    <w:rsid w:val="00CD52F3"/>
    <w:rsid w:val="00CE4DA9"/>
    <w:rsid w:val="00CE7894"/>
    <w:rsid w:val="00CF14E5"/>
    <w:rsid w:val="00CF4AE1"/>
    <w:rsid w:val="00CF4CF3"/>
    <w:rsid w:val="00D002AE"/>
    <w:rsid w:val="00D007FB"/>
    <w:rsid w:val="00D040DC"/>
    <w:rsid w:val="00D04C0B"/>
    <w:rsid w:val="00D13F94"/>
    <w:rsid w:val="00D2221E"/>
    <w:rsid w:val="00D22698"/>
    <w:rsid w:val="00D23900"/>
    <w:rsid w:val="00D23918"/>
    <w:rsid w:val="00D30DCB"/>
    <w:rsid w:val="00D328E3"/>
    <w:rsid w:val="00D36CE4"/>
    <w:rsid w:val="00D419EF"/>
    <w:rsid w:val="00D447B3"/>
    <w:rsid w:val="00D46B1E"/>
    <w:rsid w:val="00D5713B"/>
    <w:rsid w:val="00D651BB"/>
    <w:rsid w:val="00D658F2"/>
    <w:rsid w:val="00D65C80"/>
    <w:rsid w:val="00D67014"/>
    <w:rsid w:val="00D67030"/>
    <w:rsid w:val="00D67C90"/>
    <w:rsid w:val="00D71400"/>
    <w:rsid w:val="00D7458C"/>
    <w:rsid w:val="00D776FD"/>
    <w:rsid w:val="00D8440C"/>
    <w:rsid w:val="00D86A36"/>
    <w:rsid w:val="00D96651"/>
    <w:rsid w:val="00DA079D"/>
    <w:rsid w:val="00DA0D27"/>
    <w:rsid w:val="00DB0340"/>
    <w:rsid w:val="00DB3124"/>
    <w:rsid w:val="00DB3A81"/>
    <w:rsid w:val="00DB56EF"/>
    <w:rsid w:val="00DC30E2"/>
    <w:rsid w:val="00DC367E"/>
    <w:rsid w:val="00DC36FD"/>
    <w:rsid w:val="00DC649B"/>
    <w:rsid w:val="00DD22C6"/>
    <w:rsid w:val="00DD271A"/>
    <w:rsid w:val="00DD54C0"/>
    <w:rsid w:val="00DD54C1"/>
    <w:rsid w:val="00DE32A0"/>
    <w:rsid w:val="00DE446E"/>
    <w:rsid w:val="00DE53A9"/>
    <w:rsid w:val="00DF6FCD"/>
    <w:rsid w:val="00E02C25"/>
    <w:rsid w:val="00E02C70"/>
    <w:rsid w:val="00E04F3E"/>
    <w:rsid w:val="00E064CF"/>
    <w:rsid w:val="00E13FB1"/>
    <w:rsid w:val="00E14D87"/>
    <w:rsid w:val="00E167A4"/>
    <w:rsid w:val="00E17488"/>
    <w:rsid w:val="00E17CD7"/>
    <w:rsid w:val="00E206EE"/>
    <w:rsid w:val="00E2073C"/>
    <w:rsid w:val="00E22EC3"/>
    <w:rsid w:val="00E3231A"/>
    <w:rsid w:val="00E34648"/>
    <w:rsid w:val="00E36231"/>
    <w:rsid w:val="00E369C6"/>
    <w:rsid w:val="00E414C0"/>
    <w:rsid w:val="00E42672"/>
    <w:rsid w:val="00E44B88"/>
    <w:rsid w:val="00E456C5"/>
    <w:rsid w:val="00E47003"/>
    <w:rsid w:val="00E52210"/>
    <w:rsid w:val="00E53C7D"/>
    <w:rsid w:val="00E56E5B"/>
    <w:rsid w:val="00E63253"/>
    <w:rsid w:val="00E660FE"/>
    <w:rsid w:val="00E66E7F"/>
    <w:rsid w:val="00E671B7"/>
    <w:rsid w:val="00E708FB"/>
    <w:rsid w:val="00E711F1"/>
    <w:rsid w:val="00E73731"/>
    <w:rsid w:val="00E73996"/>
    <w:rsid w:val="00E75596"/>
    <w:rsid w:val="00E77589"/>
    <w:rsid w:val="00E829B7"/>
    <w:rsid w:val="00E844E8"/>
    <w:rsid w:val="00E85383"/>
    <w:rsid w:val="00E9484A"/>
    <w:rsid w:val="00E951BB"/>
    <w:rsid w:val="00EA0370"/>
    <w:rsid w:val="00EA1160"/>
    <w:rsid w:val="00EA1A5D"/>
    <w:rsid w:val="00EA1AA8"/>
    <w:rsid w:val="00EA3B11"/>
    <w:rsid w:val="00EB1D96"/>
    <w:rsid w:val="00EB1E77"/>
    <w:rsid w:val="00EB30C3"/>
    <w:rsid w:val="00EB76BD"/>
    <w:rsid w:val="00EC0C69"/>
    <w:rsid w:val="00EC3E01"/>
    <w:rsid w:val="00EC6D58"/>
    <w:rsid w:val="00ED08C2"/>
    <w:rsid w:val="00ED2769"/>
    <w:rsid w:val="00EE0018"/>
    <w:rsid w:val="00EE4982"/>
    <w:rsid w:val="00F00280"/>
    <w:rsid w:val="00F00C18"/>
    <w:rsid w:val="00F0233C"/>
    <w:rsid w:val="00F131D7"/>
    <w:rsid w:val="00F20E3D"/>
    <w:rsid w:val="00F2486C"/>
    <w:rsid w:val="00F2515D"/>
    <w:rsid w:val="00F3415D"/>
    <w:rsid w:val="00F37767"/>
    <w:rsid w:val="00F412FC"/>
    <w:rsid w:val="00F4241D"/>
    <w:rsid w:val="00F4358F"/>
    <w:rsid w:val="00F44894"/>
    <w:rsid w:val="00F46969"/>
    <w:rsid w:val="00F47561"/>
    <w:rsid w:val="00F50FD2"/>
    <w:rsid w:val="00F5190B"/>
    <w:rsid w:val="00F538AF"/>
    <w:rsid w:val="00F538FF"/>
    <w:rsid w:val="00F54DED"/>
    <w:rsid w:val="00F62C37"/>
    <w:rsid w:val="00F65A6E"/>
    <w:rsid w:val="00F660A5"/>
    <w:rsid w:val="00F67D32"/>
    <w:rsid w:val="00F74A4F"/>
    <w:rsid w:val="00F82096"/>
    <w:rsid w:val="00F843EA"/>
    <w:rsid w:val="00F84C14"/>
    <w:rsid w:val="00F857F9"/>
    <w:rsid w:val="00F90E59"/>
    <w:rsid w:val="00F90FF1"/>
    <w:rsid w:val="00F91F92"/>
    <w:rsid w:val="00F93868"/>
    <w:rsid w:val="00FA20EA"/>
    <w:rsid w:val="00FA2BF8"/>
    <w:rsid w:val="00FA4817"/>
    <w:rsid w:val="00FA5495"/>
    <w:rsid w:val="00FA5592"/>
    <w:rsid w:val="00FA5AC7"/>
    <w:rsid w:val="00FA6D0B"/>
    <w:rsid w:val="00FA706B"/>
    <w:rsid w:val="00FA7239"/>
    <w:rsid w:val="00FB1A0E"/>
    <w:rsid w:val="00FB7845"/>
    <w:rsid w:val="00FB796E"/>
    <w:rsid w:val="00FC0A25"/>
    <w:rsid w:val="00FC3479"/>
    <w:rsid w:val="00FC728D"/>
    <w:rsid w:val="00FD140C"/>
    <w:rsid w:val="00FE475E"/>
    <w:rsid w:val="00FE6C63"/>
    <w:rsid w:val="00FF00E0"/>
    <w:rsid w:val="00FF1616"/>
    <w:rsid w:val="00FF5498"/>
    <w:rsid w:val="00FF62EA"/>
    <w:rsid w:val="00FF7AF4"/>
    <w:rsid w:val="655E2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line="415" w:lineRule="auto"/>
      <w:outlineLvl w:val="1"/>
    </w:pPr>
    <w:rPr>
      <w:rFonts w:ascii="Arial" w:hAnsi="Arial" w:cstheme="majorBidi"/>
      <w:b/>
      <w:bCs/>
      <w:szCs w:val="32"/>
    </w:rPr>
  </w:style>
  <w:style w:type="paragraph" w:styleId="4">
    <w:name w:val="heading 3"/>
    <w:basedOn w:val="1"/>
    <w:next w:val="1"/>
    <w:link w:val="25"/>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uiPriority w:val="39"/>
    <w:pPr>
      <w:widowControl/>
      <w:spacing w:after="100" w:line="259" w:lineRule="auto"/>
      <w:ind w:left="440"/>
      <w:jc w:val="left"/>
    </w:pPr>
    <w:rPr>
      <w:rFonts w:cs="Times New Roman"/>
      <w:kern w:val="0"/>
      <w:sz w:val="22"/>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widowControl/>
      <w:spacing w:after="100" w:line="259" w:lineRule="auto"/>
      <w:jc w:val="left"/>
    </w:pPr>
    <w:rPr>
      <w:rFonts w:cs="Times New Roman"/>
      <w:kern w:val="0"/>
      <w:sz w:val="22"/>
    </w:rPr>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table" w:styleId="11">
    <w:name w:val="Table Grid"/>
    <w:basedOn w:val="10"/>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页眉 字符"/>
    <w:basedOn w:val="12"/>
    <w:link w:val="7"/>
    <w:uiPriority w:val="99"/>
    <w:rPr>
      <w:sz w:val="18"/>
      <w:szCs w:val="18"/>
    </w:rPr>
  </w:style>
  <w:style w:type="character" w:customStyle="1" w:styleId="15">
    <w:name w:val="页脚 字符"/>
    <w:basedOn w:val="12"/>
    <w:link w:val="6"/>
    <w:qFormat/>
    <w:uiPriority w:val="99"/>
    <w:rPr>
      <w:sz w:val="18"/>
      <w:szCs w:val="18"/>
    </w:rPr>
  </w:style>
  <w:style w:type="paragraph" w:customStyle="1" w:styleId="16">
    <w:name w:val="Revision"/>
    <w:hidden/>
    <w:semiHidden/>
    <w:qFormat/>
    <w:uiPriority w:val="99"/>
    <w:rPr>
      <w:rFonts w:asciiTheme="minorHAnsi" w:hAnsiTheme="minorHAnsi" w:eastAsiaTheme="minorEastAsia" w:cstheme="minorBidi"/>
      <w:kern w:val="2"/>
      <w:sz w:val="21"/>
      <w:szCs w:val="22"/>
      <w:lang w:val="en-US" w:eastAsia="zh-CN" w:bidi="ar-SA"/>
    </w:rPr>
  </w:style>
  <w:style w:type="paragraph" w:styleId="17">
    <w:name w:val="List Paragraph"/>
    <w:basedOn w:val="1"/>
    <w:qFormat/>
    <w:uiPriority w:val="34"/>
    <w:pPr>
      <w:ind w:firstLine="420" w:firstLineChars="200"/>
    </w:pPr>
  </w:style>
  <w:style w:type="character" w:customStyle="1" w:styleId="18">
    <w:name w:val="标题 2 字符"/>
    <w:basedOn w:val="12"/>
    <w:link w:val="3"/>
    <w:uiPriority w:val="9"/>
    <w:rPr>
      <w:rFonts w:ascii="Arial" w:hAnsi="Arial" w:cstheme="majorBidi"/>
      <w:b/>
      <w:bCs/>
      <w:szCs w:val="32"/>
    </w:rPr>
  </w:style>
  <w:style w:type="paragraph" w:customStyle="1" w:styleId="19">
    <w:name w:val="EndNote Bibliography Title"/>
    <w:basedOn w:val="1"/>
    <w:link w:val="20"/>
    <w:qFormat/>
    <w:uiPriority w:val="0"/>
    <w:pPr>
      <w:jc w:val="center"/>
    </w:pPr>
    <w:rPr>
      <w:rFonts w:ascii="等线" w:hAnsi="等线" w:eastAsia="等线"/>
      <w:sz w:val="20"/>
    </w:rPr>
  </w:style>
  <w:style w:type="character" w:customStyle="1" w:styleId="20">
    <w:name w:val="EndNote Bibliography Title 字符"/>
    <w:basedOn w:val="12"/>
    <w:link w:val="19"/>
    <w:qFormat/>
    <w:uiPriority w:val="0"/>
    <w:rPr>
      <w:rFonts w:ascii="等线" w:hAnsi="等线" w:eastAsia="等线"/>
      <w:sz w:val="20"/>
    </w:rPr>
  </w:style>
  <w:style w:type="paragraph" w:customStyle="1" w:styleId="21">
    <w:name w:val="EndNote Bibliography"/>
    <w:basedOn w:val="1"/>
    <w:link w:val="22"/>
    <w:qFormat/>
    <w:uiPriority w:val="0"/>
    <w:pPr>
      <w:jc w:val="left"/>
    </w:pPr>
    <w:rPr>
      <w:rFonts w:ascii="等线" w:hAnsi="等线" w:eastAsia="等线"/>
      <w:sz w:val="20"/>
    </w:rPr>
  </w:style>
  <w:style w:type="character" w:customStyle="1" w:styleId="22">
    <w:name w:val="EndNote Bibliography 字符"/>
    <w:basedOn w:val="12"/>
    <w:link w:val="21"/>
    <w:qFormat/>
    <w:uiPriority w:val="0"/>
    <w:rPr>
      <w:rFonts w:ascii="等线" w:hAnsi="等线" w:eastAsia="等线"/>
      <w:sz w:val="20"/>
    </w:rPr>
  </w:style>
  <w:style w:type="character" w:customStyle="1" w:styleId="23">
    <w:name w:val="标题 1 字符"/>
    <w:basedOn w:val="12"/>
    <w:link w:val="2"/>
    <w:qFormat/>
    <w:uiPriority w:val="9"/>
    <w:rPr>
      <w:b/>
      <w:bCs/>
      <w:kern w:val="44"/>
      <w:sz w:val="44"/>
      <w:szCs w:val="44"/>
    </w:rPr>
  </w:style>
  <w:style w:type="paragraph" w:customStyle="1" w:styleId="24">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5">
    <w:name w:val="标题 3 字符"/>
    <w:basedOn w:val="12"/>
    <w:link w:val="4"/>
    <w:qFormat/>
    <w:uiPriority w:val="9"/>
    <w:rPr>
      <w:b/>
      <w:bCs/>
      <w:sz w:val="32"/>
      <w:szCs w:val="32"/>
    </w:rPr>
  </w:style>
  <w:style w:type="paragraph" w:styleId="2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5B9F7-F78A-442C-AD9F-CDC712E23D7C}">
  <ds:schemaRefs/>
</ds:datastoreItem>
</file>

<file path=docProps/app.xml><?xml version="1.0" encoding="utf-8"?>
<Properties xmlns="http://schemas.openxmlformats.org/officeDocument/2006/extended-properties" xmlns:vt="http://schemas.openxmlformats.org/officeDocument/2006/docPropsVTypes">
  <Template>Normal</Template>
  <Pages>23</Pages>
  <Words>4196</Words>
  <Characters>22354</Characters>
  <Lines>199</Lines>
  <Paragraphs>56</Paragraphs>
  <TotalTime>319</TotalTime>
  <ScaleCrop>false</ScaleCrop>
  <LinksUpToDate>false</LinksUpToDate>
  <CharactersWithSpaces>25769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2023-05-15T16:59:00Z</dcterms:created>
  <dc:creator>Liang Hu</dc:creator>
  <cp:lastModifiedBy>李卓</cp:lastModifiedBy>
  <dcterms:modified xsi:type="dcterms:W3CDTF">2023-09-03T12:46:12Z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5F47F03C5A0B42C9BDD0A46454B90D65_12</vt:lpwstr>
  </property>
</Properties>
</file>