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</w:pPr>
      <w:r>
        <w:t>Supplementary Material</w:t>
      </w:r>
      <w:bookmarkStart w:id="0" w:name="_GoBack"/>
      <w:bookmarkEnd w:id="0"/>
    </w:p>
    <w:p>
      <w:pPr>
        <w:keepNext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</w:rPr>
        <w:t xml:space="preserve">Supplementary Table 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cs="Times New Roman"/>
          <w:b/>
          <w:bCs/>
          <w:szCs w:val="24"/>
        </w:rPr>
        <w:t xml:space="preserve"> </w:t>
      </w:r>
    </w:p>
    <w:p>
      <w:pPr>
        <w:keepNext/>
        <w:rPr>
          <w:rFonts w:cs="Times New Roman"/>
          <w:b/>
          <w:bCs/>
          <w:szCs w:val="24"/>
        </w:rPr>
      </w:pPr>
      <w:r>
        <w:rPr>
          <w:rStyle w:val="28"/>
          <w:rFonts w:cs="Times New Roman"/>
          <w:b/>
          <w:bCs/>
          <w:color w:val="auto"/>
          <w:szCs w:val="24"/>
          <w:u w:val="none"/>
        </w:rPr>
        <w:t>The statistics of clinical parameters in patients with or without endometriosis</w:t>
      </w:r>
    </w:p>
    <w:tbl>
      <w:tblPr>
        <w:tblStyle w:val="20"/>
        <w:tblpPr w:leftFromText="180" w:rightFromText="180" w:vertAnchor="text" w:horzAnchor="page" w:tblpXSpec="center" w:tblpY="218"/>
        <w:tblOverlap w:val="never"/>
        <w:tblW w:w="4369" w:type="pct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6"/>
        <w:gridCol w:w="2316"/>
        <w:gridCol w:w="1953"/>
        <w:gridCol w:w="10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tblCellSpacing w:w="0" w:type="dxa"/>
          <w:jc w:val="center"/>
        </w:trPr>
        <w:tc>
          <w:tcPr>
            <w:tcW w:w="196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Mean±SEM</w:t>
            </w:r>
          </w:p>
        </w:tc>
        <w:tc>
          <w:tcPr>
            <w:tcW w:w="131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  <w:lang w:eastAsia="zh-Hans"/>
              </w:rPr>
              <w:t>Non-</w:t>
            </w:r>
            <w:r>
              <w:rPr>
                <w:rFonts w:cs="Times New Roman"/>
                <w:b/>
                <w:bCs/>
                <w:szCs w:val="24"/>
              </w:rPr>
              <w:t>EMs(n=30)</w:t>
            </w:r>
          </w:p>
        </w:tc>
        <w:tc>
          <w:tcPr>
            <w:tcW w:w="111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EMs(n=36)</w:t>
            </w:r>
          </w:p>
        </w:tc>
        <w:tc>
          <w:tcPr>
            <w:tcW w:w="60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keepNext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</w:rPr>
              <w:t>p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19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Age(y)</w:t>
            </w:r>
          </w:p>
        </w:tc>
        <w:tc>
          <w:tcPr>
            <w:tcW w:w="131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34.7±6.6</w:t>
            </w:r>
          </w:p>
        </w:tc>
        <w:tc>
          <w:tcPr>
            <w:tcW w:w="111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36.6±5.8</w:t>
            </w:r>
          </w:p>
        </w:tc>
        <w:tc>
          <w:tcPr>
            <w:tcW w:w="6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0.2600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  <w:tblCellSpacing w:w="0" w:type="dxa"/>
          <w:jc w:val="center"/>
        </w:trPr>
        <w:tc>
          <w:tcPr>
            <w:tcW w:w="19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Menstrual cycle</w:t>
            </w: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Follicula phase:</w:t>
            </w: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Luteal phase:</w:t>
            </w:r>
          </w:p>
        </w:tc>
        <w:tc>
          <w:tcPr>
            <w:tcW w:w="131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15(50)</w:t>
            </w: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15(50)</w:t>
            </w:r>
          </w:p>
        </w:tc>
        <w:tc>
          <w:tcPr>
            <w:tcW w:w="111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18(50)</w:t>
            </w: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18(50)</w:t>
            </w:r>
          </w:p>
        </w:tc>
        <w:tc>
          <w:tcPr>
            <w:tcW w:w="6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tblCellSpacing w:w="0" w:type="dxa"/>
          <w:jc w:val="center"/>
        </w:trPr>
        <w:tc>
          <w:tcPr>
            <w:tcW w:w="19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VAS scores</w:t>
            </w:r>
          </w:p>
        </w:tc>
        <w:tc>
          <w:tcPr>
            <w:tcW w:w="131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1.42±0.84</w:t>
            </w:r>
          </w:p>
        </w:tc>
        <w:tc>
          <w:tcPr>
            <w:tcW w:w="111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4.41±3.48</w:t>
            </w:r>
          </w:p>
        </w:tc>
        <w:tc>
          <w:tcPr>
            <w:tcW w:w="6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0.0020*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9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Succinate (ng/ml) in peritoneal fluid</w:t>
            </w:r>
          </w:p>
        </w:tc>
        <w:tc>
          <w:tcPr>
            <w:tcW w:w="131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244.27±43.76</w:t>
            </w:r>
          </w:p>
        </w:tc>
        <w:tc>
          <w:tcPr>
            <w:tcW w:w="111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328.65±105.4</w:t>
            </w:r>
          </w:p>
        </w:tc>
        <w:tc>
          <w:tcPr>
            <w:tcW w:w="6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0.0001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tblCellSpacing w:w="0" w:type="dxa"/>
          <w:jc w:val="center"/>
        </w:trPr>
        <w:tc>
          <w:tcPr>
            <w:tcW w:w="19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rAFS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stage</w:t>
            </w:r>
          </w:p>
          <w:p>
            <w:pPr>
              <w:keepNext/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I-II</w:t>
            </w:r>
          </w:p>
          <w:p>
            <w:pPr>
              <w:keepNext/>
              <w:spacing w:line="0" w:lineRule="atLeas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III-IV</w:t>
            </w:r>
          </w:p>
        </w:tc>
        <w:tc>
          <w:tcPr>
            <w:tcW w:w="131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/</w:t>
            </w: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111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6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196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rAFS scores:</w:t>
            </w:r>
          </w:p>
        </w:tc>
        <w:tc>
          <w:tcPr>
            <w:tcW w:w="131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1110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78.59±32.58</w:t>
            </w:r>
          </w:p>
        </w:tc>
        <w:tc>
          <w:tcPr>
            <w:tcW w:w="60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tblCellSpacing w:w="0" w:type="dxa"/>
          <w:jc w:val="center"/>
        </w:trPr>
        <w:tc>
          <w:tcPr>
            <w:tcW w:w="1964" w:type="pct"/>
            <w:tcBorders>
              <w:bottom w:val="single" w:color="auto" w:sz="4" w:space="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EFI</w:t>
            </w:r>
            <w:r>
              <w:rPr>
                <w:rFonts w:cs="Times New Roman" w:eastAsiaTheme="minorEastAsia"/>
                <w:sz w:val="20"/>
                <w:szCs w:val="20"/>
                <w:vertAlign w:val="superscript"/>
                <w:lang w:eastAsia="zh-CN"/>
              </w:rPr>
              <w:t>b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scores</w:t>
            </w:r>
          </w:p>
        </w:tc>
        <w:tc>
          <w:tcPr>
            <w:tcW w:w="1316" w:type="pct"/>
            <w:tcBorders>
              <w:bottom w:val="single" w:color="auto" w:sz="4" w:space="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/</w:t>
            </w:r>
          </w:p>
        </w:tc>
        <w:tc>
          <w:tcPr>
            <w:tcW w:w="1110" w:type="pct"/>
            <w:tcBorders>
              <w:bottom w:val="single" w:color="auto" w:sz="4" w:space="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6.22±1.85</w:t>
            </w:r>
          </w:p>
        </w:tc>
        <w:tc>
          <w:tcPr>
            <w:tcW w:w="608" w:type="pct"/>
            <w:tcBorders>
              <w:bottom w:val="single" w:color="auto" w:sz="4" w:space="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>
            <w:pPr>
              <w:keepNext/>
              <w:spacing w:line="0" w:lineRule="atLeast"/>
              <w:rPr>
                <w:rFonts w:cs="Times New Roman"/>
                <w:sz w:val="20"/>
                <w:szCs w:val="20"/>
              </w:rPr>
            </w:pPr>
          </w:p>
        </w:tc>
      </w:tr>
    </w:tbl>
    <w:p>
      <w:pPr>
        <w:keepNext/>
        <w:rPr>
          <w:rFonts w:cs="Times New Roman" w:eastAsiaTheme="minorEastAsia"/>
          <w:szCs w:val="24"/>
          <w:lang w:eastAsia="zh-CN"/>
        </w:rPr>
      </w:pPr>
      <w:r>
        <w:rPr>
          <w:rFonts w:cs="Times New Roman" w:eastAsiaTheme="minorEastAsia"/>
          <w:szCs w:val="24"/>
          <w:vertAlign w:val="superscript"/>
          <w:lang w:eastAsia="zh-CN"/>
        </w:rPr>
        <w:t>a</w:t>
      </w:r>
      <w:r>
        <w:rPr>
          <w:rFonts w:cs="Times New Roman" w:eastAsiaTheme="minorEastAsia"/>
          <w:szCs w:val="24"/>
          <w:lang w:eastAsia="zh-CN"/>
        </w:rPr>
        <w:t>-</w:t>
      </w:r>
      <w:r>
        <w:t xml:space="preserve"> </w:t>
      </w:r>
      <w:r>
        <w:rPr>
          <w:rFonts w:cs="Times New Roman" w:eastAsiaTheme="minorEastAsia"/>
          <w:szCs w:val="24"/>
          <w:lang w:eastAsia="zh-CN"/>
        </w:rPr>
        <w:t xml:space="preserve">revised American Fertility Society (rAFS, 1985); </w:t>
      </w:r>
      <w:r>
        <w:rPr>
          <w:rFonts w:cs="Times New Roman" w:eastAsiaTheme="minorEastAsia"/>
          <w:szCs w:val="24"/>
          <w:vertAlign w:val="superscript"/>
          <w:lang w:eastAsia="zh-CN"/>
        </w:rPr>
        <w:t>b</w:t>
      </w:r>
      <w:r>
        <w:rPr>
          <w:rFonts w:cs="Times New Roman" w:eastAsiaTheme="minorEastAsia"/>
          <w:szCs w:val="24"/>
          <w:lang w:eastAsia="zh-CN"/>
        </w:rPr>
        <w:t>-</w:t>
      </w:r>
      <w:r>
        <w:t xml:space="preserve"> </w:t>
      </w:r>
      <w:r>
        <w:rPr>
          <w:rFonts w:cs="Times New Roman" w:eastAsiaTheme="minorEastAsia"/>
          <w:szCs w:val="24"/>
          <w:lang w:eastAsia="zh-CN"/>
        </w:rPr>
        <w:t>endometriosis fertility index</w:t>
      </w:r>
      <w:r>
        <w:rPr>
          <w:rFonts w:hint="eastAsia" w:cs="Times New Roman" w:eastAsiaTheme="minorEastAsia"/>
          <w:szCs w:val="24"/>
          <w:lang w:eastAsia="zh-CN"/>
        </w:rPr>
        <w:t>，</w:t>
      </w:r>
      <w:r>
        <w:rPr>
          <w:rFonts w:cs="Times New Roman" w:eastAsiaTheme="minorEastAsia"/>
          <w:szCs w:val="24"/>
          <w:lang w:eastAsia="zh-CN"/>
        </w:rPr>
        <w:t>EFI</w:t>
      </w:r>
    </w:p>
    <w:p>
      <w:pPr>
        <w:spacing w:before="240"/>
      </w:pPr>
    </w:p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mY2Y4OTFiOWE0MWQzZWE5YTMwNjllNWVjNmExMDgifQ=="/>
  </w:docVars>
  <w:rsids>
    <w:rsidRoot w:val="00ED20B5"/>
    <w:rsid w:val="0001436A"/>
    <w:rsid w:val="000172B0"/>
    <w:rsid w:val="00022B13"/>
    <w:rsid w:val="00034304"/>
    <w:rsid w:val="00035434"/>
    <w:rsid w:val="00052A14"/>
    <w:rsid w:val="0005489A"/>
    <w:rsid w:val="00077D53"/>
    <w:rsid w:val="00105FD9"/>
    <w:rsid w:val="00117666"/>
    <w:rsid w:val="00132541"/>
    <w:rsid w:val="001549D3"/>
    <w:rsid w:val="00160065"/>
    <w:rsid w:val="00177D84"/>
    <w:rsid w:val="00267D18"/>
    <w:rsid w:val="00274347"/>
    <w:rsid w:val="00280AEA"/>
    <w:rsid w:val="002868E2"/>
    <w:rsid w:val="002869C3"/>
    <w:rsid w:val="002936E4"/>
    <w:rsid w:val="002B4A57"/>
    <w:rsid w:val="002B6D76"/>
    <w:rsid w:val="002C74CA"/>
    <w:rsid w:val="002D0507"/>
    <w:rsid w:val="002D3397"/>
    <w:rsid w:val="003123F4"/>
    <w:rsid w:val="00337D27"/>
    <w:rsid w:val="003544FB"/>
    <w:rsid w:val="003D2F2D"/>
    <w:rsid w:val="00401590"/>
    <w:rsid w:val="00447801"/>
    <w:rsid w:val="00452E9C"/>
    <w:rsid w:val="004735C8"/>
    <w:rsid w:val="004947A6"/>
    <w:rsid w:val="004961FF"/>
    <w:rsid w:val="004B4658"/>
    <w:rsid w:val="004C104A"/>
    <w:rsid w:val="004D3901"/>
    <w:rsid w:val="004E38E1"/>
    <w:rsid w:val="00517A89"/>
    <w:rsid w:val="005250F2"/>
    <w:rsid w:val="00534460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A4873"/>
    <w:rsid w:val="007C206C"/>
    <w:rsid w:val="00817DD6"/>
    <w:rsid w:val="0083759F"/>
    <w:rsid w:val="008436A8"/>
    <w:rsid w:val="00885156"/>
    <w:rsid w:val="009151AA"/>
    <w:rsid w:val="0091775D"/>
    <w:rsid w:val="0092233F"/>
    <w:rsid w:val="009236A2"/>
    <w:rsid w:val="0093429D"/>
    <w:rsid w:val="0093597F"/>
    <w:rsid w:val="00943573"/>
    <w:rsid w:val="00964134"/>
    <w:rsid w:val="00970F7D"/>
    <w:rsid w:val="00994A3D"/>
    <w:rsid w:val="00997DE7"/>
    <w:rsid w:val="009C2B12"/>
    <w:rsid w:val="009C5BC6"/>
    <w:rsid w:val="009E54B7"/>
    <w:rsid w:val="00A03D53"/>
    <w:rsid w:val="00A174D9"/>
    <w:rsid w:val="00A401E8"/>
    <w:rsid w:val="00A479B9"/>
    <w:rsid w:val="00A74934"/>
    <w:rsid w:val="00AA4D24"/>
    <w:rsid w:val="00AB6715"/>
    <w:rsid w:val="00AF6881"/>
    <w:rsid w:val="00B1671E"/>
    <w:rsid w:val="00B25EB8"/>
    <w:rsid w:val="00B37F4D"/>
    <w:rsid w:val="00B45C84"/>
    <w:rsid w:val="00B4794A"/>
    <w:rsid w:val="00BA408D"/>
    <w:rsid w:val="00BF34BD"/>
    <w:rsid w:val="00C52A7B"/>
    <w:rsid w:val="00C56BAF"/>
    <w:rsid w:val="00C679AA"/>
    <w:rsid w:val="00C75972"/>
    <w:rsid w:val="00CD066B"/>
    <w:rsid w:val="00CE4FEE"/>
    <w:rsid w:val="00D060CF"/>
    <w:rsid w:val="00D362EA"/>
    <w:rsid w:val="00DB59C3"/>
    <w:rsid w:val="00DC259A"/>
    <w:rsid w:val="00DE23E8"/>
    <w:rsid w:val="00E52377"/>
    <w:rsid w:val="00E537AD"/>
    <w:rsid w:val="00E54707"/>
    <w:rsid w:val="00E64E17"/>
    <w:rsid w:val="00E866C9"/>
    <w:rsid w:val="00EA3D3C"/>
    <w:rsid w:val="00EC090A"/>
    <w:rsid w:val="00ED20B5"/>
    <w:rsid w:val="00F211B8"/>
    <w:rsid w:val="00F46900"/>
    <w:rsid w:val="00F61D89"/>
    <w:rsid w:val="00FA42C3"/>
    <w:rsid w:val="00FE4EE5"/>
    <w:rsid w:val="16FF20EF"/>
    <w:rsid w:val="18BB43A7"/>
    <w:rsid w:val="3BEF16A7"/>
    <w:rsid w:val="58991F43"/>
    <w:rsid w:val="5FEBDB48"/>
    <w:rsid w:val="6DFF91E1"/>
    <w:rsid w:val="7B73BD85"/>
    <w:rsid w:val="7BFC9A3D"/>
    <w:rsid w:val="7CDF1BAE"/>
    <w:rsid w:val="7DFF22FD"/>
    <w:rsid w:val="7FFF800B"/>
    <w:rsid w:val="BF7BA49E"/>
    <w:rsid w:val="BFFAB613"/>
    <w:rsid w:val="D7D5C2AC"/>
    <w:rsid w:val="DC7D84AA"/>
    <w:rsid w:val="E7FF5B7E"/>
    <w:rsid w:val="EBFF911F"/>
    <w:rsid w:val="F5DBB56C"/>
    <w:rsid w:val="F9BD079D"/>
    <w:rsid w:val="FBBDB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qFormat="1" w:uiPriority="99" w:semiHidden="0" w:name="line number"/>
    <w:lsdException w:uiPriority="99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列表段落1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customStyle="1" w:styleId="9">
    <w:name w:val="无间隔1"/>
    <w:unhideWhenUsed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unhideWhenUsed/>
    <w:qFormat/>
    <w:uiPriority w:val="99"/>
    <w:rPr>
      <w:vertAlign w:val="superscript"/>
    </w:rPr>
  </w:style>
  <w:style w:type="character" w:styleId="25">
    <w:name w:val="FollowedHyperlink"/>
    <w:basedOn w:val="22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unhideWhenUsed/>
    <w:qFormat/>
    <w:uiPriority w:val="99"/>
    <w:rPr>
      <w:vertAlign w:val="superscript"/>
    </w:rPr>
  </w:style>
  <w:style w:type="character" w:customStyle="1" w:styleId="31">
    <w:name w:val="标题 1 字符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字符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字符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批注框文本 字符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书籍标题1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字符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字符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字符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字符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脚注文本 字符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字符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明显强调1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明显参考1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字符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字符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字符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customStyle="1" w:styleId="48">
    <w:name w:val="引用1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不明显强调1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字符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msolistparagraph"/>
    <w:basedOn w:val="1"/>
    <w:qFormat/>
    <w:uiPriority w:val="0"/>
    <w:pPr>
      <w:widowControl w:val="0"/>
      <w:spacing w:before="0" w:after="0"/>
      <w:ind w:firstLine="420" w:firstLineChars="200"/>
      <w:jc w:val="both"/>
    </w:pPr>
    <w:rPr>
      <w:rFonts w:eastAsia="宋体" w:cs="Times New Roman"/>
      <w:kern w:val="2"/>
      <w:sz w:val="21"/>
      <w:szCs w:val="21"/>
      <w:lang w:eastAsia="zh-CN"/>
    </w:rPr>
  </w:style>
  <w:style w:type="table" w:customStyle="1" w:styleId="54">
    <w:name w:val="网格型浅色1"/>
    <w:basedOn w:val="20"/>
    <w:qFormat/>
    <w:uiPriority w:val="0"/>
    <w:rPr>
      <w:rFonts w:hint="eastAsia" w:ascii="等线" w:hAnsi="等线" w:eastAsia="等线" w:cs="等线"/>
      <w:kern w:val="2"/>
      <w:sz w:val="21"/>
      <w:szCs w:val="24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cPr>
      <w:tc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190</Words>
  <Characters>1892</Characters>
  <Lines>15</Lines>
  <Paragraphs>4</Paragraphs>
  <TotalTime>125</TotalTime>
  <ScaleCrop>false</ScaleCrop>
  <LinksUpToDate>false</LinksUpToDate>
  <CharactersWithSpaces>1988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2022-11-26T07:55:00Z</dcterms:created>
  <dc:creator>Frontiers Media SA</dc:creator>
  <cp:lastModifiedBy>changkaikai</cp:lastModifiedBy>
  <cp:lastPrinted>2013-10-04T12:51:00Z</cp:lastPrinted>
  <dcterms:modified xsi:type="dcterms:W3CDTF">2023-03-22T02:34:37Z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D5FF437671F7496196696B8EB6A9D7E5</vt:lpwstr>
  </property>
</Properties>
</file>