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BFC0E" w14:textId="77777777" w:rsidR="005F17CC" w:rsidRPr="00BD393C" w:rsidRDefault="005F17CC" w:rsidP="005F17CC">
      <w:pPr>
        <w:spacing w:after="0" w:line="257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D393C">
        <w:rPr>
          <w:rFonts w:ascii="Times New Roman" w:hAnsi="Times New Roman" w:cs="Times New Roman"/>
          <w:b/>
          <w:bCs/>
          <w:sz w:val="20"/>
          <w:szCs w:val="20"/>
        </w:rPr>
        <w:t>Table S1: C</w:t>
      </w:r>
      <w:r w:rsidRPr="00BD393C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q</w:t>
      </w:r>
      <w:r w:rsidRPr="00BD393C">
        <w:rPr>
          <w:rFonts w:ascii="Times New Roman" w:hAnsi="Times New Roman" w:cs="Times New Roman"/>
          <w:b/>
          <w:bCs/>
          <w:sz w:val="20"/>
          <w:szCs w:val="20"/>
        </w:rPr>
        <w:t xml:space="preserve"> thresholds derived with receiver operating characteristics curve analysis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and based on </w:t>
      </w:r>
      <w:r w:rsidRPr="00BD393C">
        <w:rPr>
          <w:rFonts w:ascii="Times New Roman" w:hAnsi="Times New Roman" w:cs="Times New Roman"/>
          <w:b/>
          <w:bCs/>
          <w:sz w:val="20"/>
          <w:szCs w:val="20"/>
        </w:rPr>
        <w:t>amplifying slopes as criterion.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"/>
        <w:gridCol w:w="550"/>
        <w:gridCol w:w="1359"/>
        <w:gridCol w:w="1546"/>
        <w:gridCol w:w="1119"/>
        <w:gridCol w:w="861"/>
        <w:gridCol w:w="861"/>
        <w:gridCol w:w="1555"/>
        <w:gridCol w:w="1119"/>
        <w:gridCol w:w="861"/>
        <w:gridCol w:w="861"/>
        <w:gridCol w:w="879"/>
      </w:tblGrid>
      <w:tr w:rsidR="005F17CC" w:rsidRPr="003A2D2B" w14:paraId="1BF20019" w14:textId="77777777" w:rsidTr="00092800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417E66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9B13AD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4EC12A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Criterion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556910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Optimal threshold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  <w:t xml:space="preserve"> 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piaB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FAC4795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Youden index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piaB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42DE85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Sensitivity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piaB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5F616B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Specificity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piaB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291C30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Optimal threshold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 xml:space="preserve">lytA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2B40DE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Youden index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lytA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645FFC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Sensitivity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lytA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C3307F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 xml:space="preserve">Specificity 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br/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lytA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284BD4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Reference</w:t>
            </w:r>
          </w:p>
        </w:tc>
      </w:tr>
      <w:tr w:rsidR="005F17CC" w:rsidRPr="003A2D2B" w14:paraId="06560A4F" w14:textId="77777777" w:rsidTr="0009280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9121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9E74DC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F5D58A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‘amplifying slope’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031F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35.84 (29.65-36.61)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A874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756E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F094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1BBC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32.3 (29.29-36.22)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B718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C53F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DE33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F81BF9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This study</w:t>
            </w:r>
          </w:p>
        </w:tc>
      </w:tr>
      <w:tr w:rsidR="005F17CC" w:rsidRPr="003A2D2B" w14:paraId="6A6DB7D5" w14:textId="77777777" w:rsidTr="00092800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2CED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NP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C864ABB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ENG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6ED981E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6282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hAnsi="Arial" w:cs="Arial"/>
                <w:sz w:val="16"/>
                <w:szCs w:val="16"/>
              </w:rPr>
              <w:t>34.19 (27.29-35.71)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E420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83BA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6A2F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7153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hAnsi="Arial" w:cs="Arial"/>
                <w:sz w:val="16"/>
                <w:szCs w:val="16"/>
              </w:rPr>
              <w:t>33.74 (27-95-37.55)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87EB4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9B7B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67A39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62BD3EB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This study</w:t>
            </w:r>
          </w:p>
        </w:tc>
      </w:tr>
      <w:tr w:rsidR="005F17CC" w:rsidRPr="003A2D2B" w14:paraId="290E2B1E" w14:textId="77777777" w:rsidTr="00092800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61F0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OP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nl-NL" w:eastAsia="nl-NL"/>
              </w:rPr>
              <w:t>*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DE3FBD2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NL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E4073A3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37F1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37.53 (35.28-37.77)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D89C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E47E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6727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118C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34.15 (32.22-37.63)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DB30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842B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6D9D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ED413F2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This study</w:t>
            </w:r>
          </w:p>
        </w:tc>
      </w:tr>
      <w:tr w:rsidR="005F17CC" w:rsidRPr="003A2D2B" w14:paraId="54C068DC" w14:textId="77777777" w:rsidTr="0009280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8EFA6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saliva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2E6D4D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NL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23ED14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AE465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38.03 (36.79-39.49)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8BF26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9E115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B905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2DF38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36.85 (35.78-37.52)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A1820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C409E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7C1B2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E8A67" w14:textId="77777777" w:rsidR="005F17CC" w:rsidRPr="00BD393C" w:rsidRDefault="005F17CC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instrText xml:space="preserve"> ADDIN EN.CITE &lt;EndNote&gt;&lt;Cite&gt;&lt;Author&gt;Miellet&lt;/Author&gt;&lt;Year&gt;2023&lt;/Year&gt;&lt;RecNum&gt;501&lt;/RecNum&gt;&lt;DisplayText&gt;(10)&lt;/DisplayText&gt;&lt;record&gt;&lt;rec-number&gt;501&lt;/rec-number&gt;&lt;foreign-keys&gt;&lt;key app="EN" db-id="a09fv5d5eswxd8ewdpx5fa0es0tsfzadvavw" timestamp="1681809817"&gt;501&lt;/key&gt;&lt;/foreign-keys&gt;&lt;ref-type name="Journal Article"&gt;17&lt;/ref-type&gt;&lt;contributors&gt;&lt;authors&gt;&lt;author&gt;Miellet,Willem R.&lt;/author&gt;&lt;author&gt;van Veldhuizen,Janieke&lt;/author&gt;&lt;author&gt;Litt,David&lt;/author&gt;&lt;author&gt;Mariman,Rob&lt;/author&gt;&lt;author&gt;Wijmenga-Monsuur,Alienke J.&lt;/author&gt;&lt;author&gt;Nieuwenhuijsen,Tessa&lt;/author&gt;&lt;author&gt;Christopher,Jennifer&lt;/author&gt;&lt;author&gt;Thombre,Rebecca&lt;/author&gt;&lt;author&gt;Eletu,Seyi&lt;/author&gt;&lt;author&gt;Bosch,Thijs&lt;/author&gt;&lt;author&gt;Rots,Nynke Y.&lt;/author&gt;&lt;author&gt;van Houten,Marianne Alice&lt;/author&gt;&lt;author&gt;Miller,Elizabeth&lt;/author&gt;&lt;author&gt;Fry,Norman K.&lt;/author&gt;&lt;author&gt;Sanders,Elisabeth A. M.&lt;/author&gt;&lt;author&gt;Trzciński,Krzysztof&lt;/author&gt;&lt;/authors&gt;&lt;/contributors&gt;&lt;titles&gt;&lt;title&gt;A spitting image: molecular diagnostics applied to saliva enhance detection of Streptococcus pneumoniae and pneumococcal serotype carriage&lt;/title&gt;&lt;secondary-title&gt;Frontiers in Microbiology&lt;/secondary-title&gt;&lt;short-title&gt;Testing saliva for pneumococcal carriage&lt;/short-title&gt;&lt;/titles&gt;&lt;periodical&gt;&lt;full-title&gt;Frontiers in Microbiology&lt;/full-title&gt;&lt;/periodical&gt;&lt;volume&gt;14&lt;/volume&gt;&lt;keywords&gt;&lt;keyword&gt;Streptococcus pneumoniae (pneumococcus),Pneumococcal serotypes,Pneumococcal carriage,Saliva,Quantitative PCR (qPCR)&lt;/keyword&gt;&lt;/keywords&gt;&lt;dates&gt;&lt;year&gt;2023&lt;/year&gt;&lt;pub-dates&gt;&lt;date&gt;2023-April-17&lt;/date&gt;&lt;/pub-dates&gt;&lt;/dates&gt;&lt;isbn&gt;1664-302X&lt;/isbn&gt;&lt;work-type&gt;Original Research&lt;/work-type&gt;&lt;urls&gt;&lt;related-urls&gt;&lt;url&gt;https://www.frontiersin.org/articles/10.3389/fmicb.2023.1156695&lt;/url&gt;&lt;/related-urls&gt;&lt;/urls&gt;&lt;electronic-resource-num&gt;10.3389/fmicb.2023.1156695&lt;/electronic-resource-num&gt;&lt;language&gt;English&lt;/language&gt;&lt;/record&gt;&lt;/Cite&gt;&lt;/EndNote&gt;</w:instrTex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nl-NL" w:eastAsia="nl-NL"/>
              </w:rPr>
              <w:t>(10)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fldChar w:fldCharType="end"/>
            </w:r>
          </w:p>
        </w:tc>
      </w:tr>
    </w:tbl>
    <w:p w14:paraId="1CF2FF31" w14:textId="4E7A1E6B" w:rsidR="001B2D7C" w:rsidRPr="00EE5B7A" w:rsidRDefault="005F17C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393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nl-NL"/>
        </w:rPr>
        <w:t>*</w:t>
      </w:r>
      <w:r w:rsidRPr="00BD393C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: OP samples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were only collected from adults and not from children. NP: nasopharyngeal, OP: oropharyngeal, NL: cohort from the Netherlands, ENG: cohort from England.</w:t>
      </w:r>
    </w:p>
    <w:sectPr w:rsidR="001B2D7C" w:rsidRPr="00EE5B7A" w:rsidSect="00EE5B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7A"/>
    <w:rsid w:val="001554B2"/>
    <w:rsid w:val="005F17CC"/>
    <w:rsid w:val="00BB2CA0"/>
    <w:rsid w:val="00C37FF9"/>
    <w:rsid w:val="00E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FB907"/>
  <w15:chartTrackingRefBased/>
  <w15:docId w15:val="{07D39FBC-865F-46BC-8CFA-54DB9F0D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B7A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3</cp:revision>
  <dcterms:created xsi:type="dcterms:W3CDTF">2023-08-10T17:56:00Z</dcterms:created>
  <dcterms:modified xsi:type="dcterms:W3CDTF">2023-08-10T17:57:00Z</dcterms:modified>
</cp:coreProperties>
</file>