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23D3" w14:textId="77777777" w:rsidR="00106169" w:rsidRDefault="00106169" w:rsidP="00106169">
      <w:pPr>
        <w:spacing w:after="0"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methods</w:t>
      </w:r>
    </w:p>
    <w:p w14:paraId="65644931" w14:textId="77777777" w:rsidR="00106169" w:rsidRPr="001B52D7" w:rsidRDefault="00106169" w:rsidP="00106169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B52D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Nasopharyngeal and oropharyngeal swab collection</w:t>
      </w:r>
    </w:p>
    <w:p w14:paraId="06DC38CA" w14:textId="7A399091" w:rsidR="001B2D7C" w:rsidRPr="00106169" w:rsidRDefault="00106169" w:rsidP="0010616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52D7">
        <w:rPr>
          <w:rFonts w:ascii="Times New Roman" w:hAnsi="Times New Roman" w:cs="Times New Roman"/>
          <w:sz w:val="24"/>
          <w:szCs w:val="24"/>
        </w:rPr>
        <w:t>Immediately after the sampling procedure,</w:t>
      </w:r>
      <w:r>
        <w:rPr>
          <w:rFonts w:ascii="Times New Roman" w:hAnsi="Times New Roman" w:cs="Times New Roman"/>
          <w:sz w:val="24"/>
          <w:szCs w:val="24"/>
        </w:rPr>
        <w:t xml:space="preserve"> nasopharyngeal or oropharyngeal</w:t>
      </w:r>
      <w:r w:rsidRPr="001B52D7">
        <w:rPr>
          <w:rFonts w:ascii="Times New Roman" w:hAnsi="Times New Roman" w:cs="Times New Roman"/>
          <w:sz w:val="24"/>
          <w:szCs w:val="24"/>
        </w:rPr>
        <w:t xml:space="preserve"> swabs in the Netherlands were placed in liquid Amies transport medium (ESwab 482C, Copan, Brescia, Italy) and within 8 h transported to the diagnostic laboratory. In England</w:t>
      </w:r>
      <w:r>
        <w:rPr>
          <w:rFonts w:ascii="Times New Roman" w:hAnsi="Times New Roman" w:cs="Times New Roman"/>
          <w:sz w:val="24"/>
          <w:szCs w:val="24"/>
        </w:rPr>
        <w:t xml:space="preserve"> nasopharyngeal</w:t>
      </w:r>
      <w:r w:rsidRPr="001B52D7">
        <w:rPr>
          <w:rFonts w:ascii="Times New Roman" w:hAnsi="Times New Roman" w:cs="Times New Roman"/>
          <w:sz w:val="24"/>
          <w:szCs w:val="24"/>
        </w:rPr>
        <w:t xml:space="preserve"> swabs were placed in skim-milk, tryptone, glucose and glycerol (STGG) broth and delivered to a diagnostic laboratory within 48 h.</w:t>
      </w:r>
    </w:p>
    <w:sectPr w:rsidR="001B2D7C" w:rsidRPr="00106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69"/>
    <w:rsid w:val="00106169"/>
    <w:rsid w:val="001554B2"/>
    <w:rsid w:val="00C3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FCF40"/>
  <w15:chartTrackingRefBased/>
  <w15:docId w15:val="{5F5EC9AA-47CA-4F67-A3CC-A2E28A9A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1</cp:revision>
  <dcterms:created xsi:type="dcterms:W3CDTF">2023-08-10T20:21:00Z</dcterms:created>
  <dcterms:modified xsi:type="dcterms:W3CDTF">2023-08-10T20:21:00Z</dcterms:modified>
</cp:coreProperties>
</file>