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A26D" w14:textId="77777777" w:rsidR="00B32FD9" w:rsidRPr="00AF7503" w:rsidRDefault="00B32FD9" w:rsidP="00B32FD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750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Methods:</w:t>
      </w:r>
    </w:p>
    <w:p w14:paraId="6071ED72" w14:textId="04D54147" w:rsidR="00C71D4D" w:rsidRPr="003768B7" w:rsidRDefault="00C71D4D" w:rsidP="00B32FD9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Study design</w:t>
      </w:r>
      <w:r w:rsidR="00AD746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type 1 diabetes study</w:t>
      </w:r>
    </w:p>
    <w:p w14:paraId="30EBE1BC" w14:textId="10C41B07" w:rsidR="00EE0466" w:rsidRPr="003768B7" w:rsidRDefault="00B32FD9" w:rsidP="00B32F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Cross-sectional study investigating platelet aggregation before and after short-term intervention using low-dose aspirin in individuals with type 1 diabetes and diabetic kidney disease. Recruitment was performed at Steno Diabetes Center Copenhagen, Herlev, Denmark between June 2020 and September 2022.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Full i</w:t>
      </w:r>
      <w:r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nclusion and exclusion criteria can be found in Supplementary Table 1. 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768B7">
        <w:rPr>
          <w:rFonts w:ascii="Times New Roman" w:hAnsi="Times New Roman" w:cs="Times New Roman"/>
          <w:sz w:val="24"/>
          <w:szCs w:val="24"/>
          <w:lang w:val="en-US"/>
        </w:rPr>
        <w:t>articipants were excluded if treated with any antithrombotic treatment,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or treatment which could impact platelet function </w:t>
      </w:r>
      <w:r w:rsidR="00132685">
        <w:rPr>
          <w:rFonts w:ascii="Times New Roman" w:hAnsi="Times New Roman" w:cs="Times New Roman"/>
          <w:sz w:val="24"/>
          <w:szCs w:val="24"/>
          <w:lang w:val="en-US"/>
        </w:rPr>
        <w:t>except for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low-dose aspirin treatment. If treated with aspirin, participants were subjected to a 14-day washout period prior to the baseline visit. </w:t>
      </w:r>
      <w:r w:rsidR="0013268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articipants at high risk of thrombosis (stroke, </w:t>
      </w:r>
      <w:r w:rsidR="00804921" w:rsidRPr="003768B7">
        <w:rPr>
          <w:rFonts w:ascii="Times New Roman" w:hAnsi="Times New Roman" w:cs="Times New Roman"/>
          <w:sz w:val="24"/>
          <w:szCs w:val="24"/>
          <w:lang w:val="en-US"/>
        </w:rPr>
        <w:t>transient ischemic attack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>, or drug eluting stent within the last 6 months</w:t>
      </w:r>
      <w:r w:rsidR="00804921" w:rsidRPr="003768B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or acute coronary syndrome within the last 6 weeks or within 12 months from complications to acute coronary syndrome</w:t>
      </w:r>
      <w:r w:rsidR="00804921" w:rsidRPr="003768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were </w:t>
      </w:r>
      <w:r w:rsidR="00132685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EE0466" w:rsidRPr="003768B7">
        <w:rPr>
          <w:rFonts w:ascii="Times New Roman" w:hAnsi="Times New Roman" w:cs="Times New Roman"/>
          <w:sz w:val="24"/>
          <w:szCs w:val="24"/>
          <w:lang w:val="en-US"/>
        </w:rPr>
        <w:t>excluded from the study.</w:t>
      </w:r>
      <w:r w:rsidR="00C71D4D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268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04921" w:rsidRPr="003768B7">
        <w:rPr>
          <w:rFonts w:ascii="Times New Roman" w:hAnsi="Times New Roman" w:cs="Times New Roman"/>
          <w:sz w:val="24"/>
          <w:szCs w:val="24"/>
          <w:lang w:val="en-US"/>
        </w:rPr>
        <w:t>articipants attended two visits</w:t>
      </w:r>
      <w:r w:rsidR="00C71D4D" w:rsidRPr="003768B7">
        <w:rPr>
          <w:rFonts w:ascii="Times New Roman" w:hAnsi="Times New Roman" w:cs="Times New Roman"/>
          <w:sz w:val="24"/>
          <w:szCs w:val="24"/>
          <w:lang w:val="en-US"/>
        </w:rPr>
        <w:t>; the baseline visit and a visit after treatment with aspirin.</w:t>
      </w:r>
      <w:r w:rsidR="003210EE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Demographics, concomitant medication, and medical history was recorded at the baseline visit. All biochemical and clinical measurements were performed during both visits.</w:t>
      </w:r>
      <w:r w:rsidR="00C43D84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 The study was approved by the local scientific ethics committee and the Danish Medical Agency (H-20003640) and registered at </w:t>
      </w:r>
      <w:r w:rsidR="00A508B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43D84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EudraCT (2019-004772-19). All participants provided written informed consent and the study was conducted according to the Declaration of Helsinki and Good Clinical Practice.  </w:t>
      </w:r>
    </w:p>
    <w:p w14:paraId="135D6367" w14:textId="532D2275" w:rsidR="00C71D4D" w:rsidRPr="003768B7" w:rsidRDefault="00C71D4D" w:rsidP="00B32FD9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Primary outcome</w:t>
      </w:r>
      <w:r w:rsidRPr="003768B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>measure</w:t>
      </w:r>
      <w:r w:rsidR="00AD746E"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type 1 diabetes study</w:t>
      </w:r>
    </w:p>
    <w:p w14:paraId="604AC93C" w14:textId="7A562A8F" w:rsidR="00C71D4D" w:rsidRPr="003768B7" w:rsidRDefault="004E41B2" w:rsidP="00B32F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68B7">
        <w:rPr>
          <w:rFonts w:ascii="Times New Roman" w:hAnsi="Times New Roman" w:cs="Times New Roman"/>
          <w:sz w:val="24"/>
          <w:szCs w:val="24"/>
          <w:lang w:val="en-US"/>
        </w:rPr>
        <w:t>Whole blood electrical impedance platelet aggregation levels, before and after treatment with aspirin, measured using the following agonists: arachidonic acid (ASPI), adenosine diphosphate (ADP), and thrombin receptor activating peptide-6 (TRAP).</w:t>
      </w:r>
    </w:p>
    <w:p w14:paraId="623338E7" w14:textId="77777777" w:rsidR="003210EE" w:rsidRPr="003768B7" w:rsidRDefault="003210EE" w:rsidP="00B32F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9D7593" w14:textId="30E78C1F" w:rsidR="001C6A36" w:rsidRDefault="001C6A36" w:rsidP="001C6A3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Study design – type </w:t>
      </w:r>
      <w:r w:rsidR="004A5BB6"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>2</w:t>
      </w: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diabetes study</w:t>
      </w:r>
    </w:p>
    <w:p w14:paraId="3DF7418D" w14:textId="4E4D9EAE" w:rsidR="0092474B" w:rsidRPr="0092474B" w:rsidRDefault="0092474B" w:rsidP="001C6A3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Cross-sectional study investigating the size, and prevalence, of carotid plaques in individuals with type 2 diabetes, but without clinical cardiovascular disease.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 Recruitment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486E" w:rsidRPr="003768B7">
        <w:rPr>
          <w:rFonts w:ascii="Times New Roman" w:hAnsi="Times New Roman" w:cs="Times New Roman"/>
          <w:sz w:val="24"/>
          <w:szCs w:val="24"/>
          <w:lang w:val="en-US"/>
        </w:rPr>
        <w:t>was performed at Steno Diabetes Center Copenhagen, Herlev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, Denmark from 2019 to 2022. Full i</w:t>
      </w:r>
      <w:r w:rsidR="00B2486E" w:rsidRPr="003768B7">
        <w:rPr>
          <w:rFonts w:ascii="Times New Roman" w:hAnsi="Times New Roman" w:cs="Times New Roman"/>
          <w:sz w:val="24"/>
          <w:szCs w:val="24"/>
          <w:lang w:val="en-US"/>
        </w:rPr>
        <w:t xml:space="preserve">nclusion and exclusion criteria can be found in Supplementary Table 1. 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We included individuals with type 2 diabetes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aged 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 years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 history of clinical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cardiovascular disease;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 defined as history of stroke, myocardial infarction,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percutaneous coronary intervention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coronary a</w:t>
      </w:r>
      <w:r w:rsidR="0013268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tertial bypass graft, 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>or history of peripheral arterial disease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Individuals were stratified by history of normal albuminuria (&lt;30 mg/24h or mg/g); moderately increased albuminuria (30-299 mg/24h or mg/g); and severely increased albuminuria (&gt;300 mg/24h or mg/g) in two out of three consecutively measurements. 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Participants were seen for one visit, in which demographics, concomitant medication, and medical history study was recorde</w:t>
      </w:r>
      <w:r w:rsidR="0013268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, and at which clinical and biochemical analyses were performed. A follow-up visit after two years from the first visit is planned for all participants. 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>The study was approved by the local ethics committee in the Capital Region of Denmark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2486E" w:rsidRPr="00365AA1">
        <w:rPr>
          <w:rFonts w:ascii="Times New Roman" w:hAnsi="Times New Roman" w:cs="Times New Roman"/>
          <w:sz w:val="24"/>
          <w:szCs w:val="24"/>
          <w:lang w:val="en-US"/>
        </w:rPr>
        <w:t>H-19025281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2486E" w:rsidRPr="00B248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2486E" w:rsidRPr="003768B7">
        <w:rPr>
          <w:rFonts w:ascii="Times New Roman" w:hAnsi="Times New Roman" w:cs="Times New Roman"/>
          <w:sz w:val="24"/>
          <w:szCs w:val="24"/>
          <w:lang w:val="en-US"/>
        </w:rPr>
        <w:t>All participants provided written informed consent and the study was conducted according to the Declaration of Helsinki</w:t>
      </w:r>
      <w:r w:rsidR="00B248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34BE28" w14:textId="12787F71" w:rsidR="001C6A36" w:rsidRPr="003768B7" w:rsidRDefault="001C6A36" w:rsidP="001C6A36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>Primary outcome</w:t>
      </w:r>
      <w:r w:rsidRPr="003768B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measure – type </w:t>
      </w:r>
      <w:r w:rsidR="004A5BB6"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>2</w:t>
      </w:r>
      <w:r w:rsidRPr="003768B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diabetes study</w:t>
      </w:r>
    </w:p>
    <w:p w14:paraId="33BDC381" w14:textId="707CE054" w:rsidR="003768B7" w:rsidRPr="003768B7" w:rsidRDefault="003768B7" w:rsidP="003768B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32685">
        <w:rPr>
          <w:rFonts w:ascii="Times New Roman" w:hAnsi="Times New Roman" w:cs="Times New Roman"/>
          <w:sz w:val="24"/>
          <w:szCs w:val="24"/>
          <w:lang w:val="en-US"/>
        </w:rPr>
        <w:t>Maximal carotid plaque thickness and volume</w:t>
      </w:r>
      <w:r w:rsidR="00CC6146" w:rsidRPr="001326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 in individuals with type 2 diabetes but without clinical cardiovascular disease</w:t>
      </w:r>
      <w:r w:rsidR="00CC6146"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, measured </w:t>
      </w:r>
      <w:r w:rsidR="008A54A0" w:rsidRPr="00132685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C6146"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 ultrasound.</w:t>
      </w:r>
    </w:p>
    <w:p w14:paraId="5A44D196" w14:textId="1D2167F2" w:rsidR="00B32FD9" w:rsidRPr="00B32FD9" w:rsidRDefault="00B32FD9" w:rsidP="00B32F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2FD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784A" w:rsidRPr="00132685" w14:paraId="73AC34DC" w14:textId="77777777" w:rsidTr="0040784A">
        <w:tc>
          <w:tcPr>
            <w:tcW w:w="9628" w:type="dxa"/>
          </w:tcPr>
          <w:p w14:paraId="3E202EB2" w14:textId="18289043" w:rsidR="0040784A" w:rsidRPr="00132685" w:rsidRDefault="0040784A" w:rsidP="004078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2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Inclusion criteria (type 1 diabetes</w:t>
            </w:r>
            <w:r w:rsidR="00C8238C" w:rsidRPr="00132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study</w:t>
            </w:r>
            <w:r w:rsidRPr="00132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40784A" w:rsidRPr="0040784A" w14:paraId="09EC1A51" w14:textId="77777777" w:rsidTr="0040784A">
        <w:tc>
          <w:tcPr>
            <w:tcW w:w="9628" w:type="dxa"/>
          </w:tcPr>
          <w:p w14:paraId="3074BFBA" w14:textId="77777777" w:rsidR="0040784A" w:rsidRPr="0040784A" w:rsidRDefault="0040784A" w:rsidP="0040784A">
            <w:pPr>
              <w:pStyle w:val="Listeafsnit"/>
              <w:numPr>
                <w:ilvl w:val="0"/>
                <w:numId w:val="2"/>
              </w:numPr>
              <w:spacing w:after="0"/>
            </w:pPr>
            <w:r w:rsidRPr="0040784A">
              <w:t>Type 1 diabetes</w:t>
            </w:r>
          </w:p>
        </w:tc>
      </w:tr>
      <w:tr w:rsidR="0040784A" w:rsidRPr="00132685" w14:paraId="20D3CB61" w14:textId="77777777" w:rsidTr="0040784A">
        <w:tc>
          <w:tcPr>
            <w:tcW w:w="9628" w:type="dxa"/>
          </w:tcPr>
          <w:p w14:paraId="41BA3D70" w14:textId="77777777" w:rsidR="0040784A" w:rsidRPr="0040784A" w:rsidRDefault="0040784A" w:rsidP="0040784A">
            <w:pPr>
              <w:pStyle w:val="Listeafsnit"/>
              <w:numPr>
                <w:ilvl w:val="0"/>
                <w:numId w:val="2"/>
              </w:numPr>
              <w:spacing w:after="0"/>
            </w:pPr>
            <w:r w:rsidRPr="0040784A">
              <w:t>Male and female participants, &gt;18 years of age</w:t>
            </w:r>
          </w:p>
        </w:tc>
      </w:tr>
      <w:tr w:rsidR="0040784A" w:rsidRPr="00132685" w14:paraId="198E3117" w14:textId="77777777" w:rsidTr="0040784A">
        <w:tc>
          <w:tcPr>
            <w:tcW w:w="9628" w:type="dxa"/>
          </w:tcPr>
          <w:p w14:paraId="782E0BF8" w14:textId="77777777" w:rsidR="0040784A" w:rsidRPr="0040784A" w:rsidRDefault="0040784A" w:rsidP="0040784A">
            <w:pPr>
              <w:pStyle w:val="Listeafsnit"/>
              <w:numPr>
                <w:ilvl w:val="0"/>
                <w:numId w:val="2"/>
              </w:numPr>
              <w:spacing w:after="0"/>
            </w:pPr>
            <w:r w:rsidRPr="0040784A">
              <w:t>Capable of giving informed consent</w:t>
            </w:r>
          </w:p>
        </w:tc>
      </w:tr>
      <w:tr w:rsidR="0040784A" w:rsidRPr="00132685" w14:paraId="542B2823" w14:textId="77777777" w:rsidTr="0040784A">
        <w:tc>
          <w:tcPr>
            <w:tcW w:w="9628" w:type="dxa"/>
          </w:tcPr>
          <w:p w14:paraId="45226936" w14:textId="1CCA6FCB" w:rsidR="0040784A" w:rsidRPr="00132685" w:rsidRDefault="0040784A" w:rsidP="0040784A">
            <w:pPr>
              <w:keepNext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2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Exclusion criteria (type 1 diabetes</w:t>
            </w:r>
            <w:r w:rsidR="00C8238C" w:rsidRPr="00132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study</w:t>
            </w:r>
            <w:r w:rsidRPr="001326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40784A" w:rsidRPr="00132685" w14:paraId="6E722DEE" w14:textId="77777777" w:rsidTr="0040784A">
        <w:tc>
          <w:tcPr>
            <w:tcW w:w="9628" w:type="dxa"/>
          </w:tcPr>
          <w:p w14:paraId="16AFB9A8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40784A">
              <w:t>Pregnancy or breastfeeding (urine HCG is performed on all fertile women)</w:t>
            </w:r>
          </w:p>
        </w:tc>
      </w:tr>
      <w:tr w:rsidR="0040784A" w:rsidRPr="0040784A" w14:paraId="4AF1424D" w14:textId="77777777" w:rsidTr="0040784A">
        <w:tc>
          <w:tcPr>
            <w:tcW w:w="9628" w:type="dxa"/>
          </w:tcPr>
          <w:p w14:paraId="2D5903BD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40784A">
              <w:t xml:space="preserve">Non-diabetic kidney disease </w:t>
            </w:r>
          </w:p>
        </w:tc>
      </w:tr>
      <w:tr w:rsidR="0040784A" w:rsidRPr="00132685" w14:paraId="44316E20" w14:textId="77777777" w:rsidTr="0040784A">
        <w:tc>
          <w:tcPr>
            <w:tcW w:w="9628" w:type="dxa"/>
          </w:tcPr>
          <w:p w14:paraId="2489593E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40784A">
              <w:t>Treatment with adenosine diphosphate (ADP)-receptor inhibitors, NSAID within the past 14 days, fish oil or other antithrombotic treatment (vitamin K antagonists and NOAKs)</w:t>
            </w:r>
          </w:p>
        </w:tc>
      </w:tr>
      <w:tr w:rsidR="0040784A" w:rsidRPr="00132685" w14:paraId="2767744C" w14:textId="77777777" w:rsidTr="0040784A">
        <w:tc>
          <w:tcPr>
            <w:tcW w:w="9628" w:type="dxa"/>
          </w:tcPr>
          <w:p w14:paraId="375A89DB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 xml:space="preserve">Liver disease (liver cirrhosis with current impaired liver function defined as </w:t>
            </w:r>
            <w:r w:rsidRPr="0040784A">
              <w:rPr>
                <w:shd w:val="clear" w:color="auto" w:fill="FFFFFF"/>
              </w:rPr>
              <w:t>alanine-aminotransferase (ALAT) more than two times the upper limit at last control</w:t>
            </w:r>
            <w:r w:rsidRPr="0040784A">
              <w:rPr>
                <w:lang w:val="en-GB"/>
              </w:rPr>
              <w:t>)</w:t>
            </w:r>
          </w:p>
        </w:tc>
      </w:tr>
      <w:tr w:rsidR="0040784A" w:rsidRPr="0040784A" w14:paraId="646E9D46" w14:textId="77777777" w:rsidTr="0040784A">
        <w:tc>
          <w:tcPr>
            <w:tcW w:w="9628" w:type="dxa"/>
          </w:tcPr>
          <w:p w14:paraId="46E54400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 xml:space="preserve">High risk of thrombosis: </w:t>
            </w:r>
          </w:p>
        </w:tc>
      </w:tr>
      <w:tr w:rsidR="0040784A" w:rsidRPr="00132685" w14:paraId="126BDB2A" w14:textId="77777777" w:rsidTr="0040784A">
        <w:tc>
          <w:tcPr>
            <w:tcW w:w="9628" w:type="dxa"/>
          </w:tcPr>
          <w:p w14:paraId="02946824" w14:textId="77777777" w:rsidR="0040784A" w:rsidRPr="0040784A" w:rsidRDefault="0040784A" w:rsidP="0040784A">
            <w:pPr>
              <w:pStyle w:val="Listeafsnit"/>
              <w:numPr>
                <w:ilvl w:val="1"/>
                <w:numId w:val="1"/>
              </w:numPr>
              <w:spacing w:after="0"/>
              <w:rPr>
                <w:lang w:val="en-GB"/>
              </w:rPr>
            </w:pPr>
            <w:r w:rsidRPr="0040784A">
              <w:rPr>
                <w:color w:val="000000"/>
                <w:lang w:val="en-GB"/>
              </w:rPr>
              <w:t>Stroke, TIA or drug eluting stent within the last 6 months</w:t>
            </w:r>
          </w:p>
        </w:tc>
      </w:tr>
      <w:tr w:rsidR="0040784A" w:rsidRPr="00132685" w14:paraId="3D75013E" w14:textId="77777777" w:rsidTr="0040784A">
        <w:tc>
          <w:tcPr>
            <w:tcW w:w="9628" w:type="dxa"/>
          </w:tcPr>
          <w:p w14:paraId="4EC38292" w14:textId="77777777" w:rsidR="0040784A" w:rsidRPr="0040784A" w:rsidRDefault="0040784A" w:rsidP="0040784A">
            <w:pPr>
              <w:pStyle w:val="Listeafsnit"/>
              <w:numPr>
                <w:ilvl w:val="1"/>
                <w:numId w:val="1"/>
              </w:numPr>
              <w:spacing w:after="0"/>
              <w:rPr>
                <w:lang w:val="en-GB"/>
              </w:rPr>
            </w:pPr>
            <w:r w:rsidRPr="0040784A">
              <w:rPr>
                <w:color w:val="000000"/>
                <w:lang w:val="en-GB"/>
              </w:rPr>
              <w:t>Acute coronary syndrome within the last 6 weeks or within 12 months from complications to acute coronary syndrome</w:t>
            </w:r>
          </w:p>
        </w:tc>
      </w:tr>
      <w:tr w:rsidR="0040784A" w:rsidRPr="00132685" w14:paraId="1BB42E7F" w14:textId="77777777" w:rsidTr="0040784A">
        <w:tc>
          <w:tcPr>
            <w:tcW w:w="9628" w:type="dxa"/>
          </w:tcPr>
          <w:p w14:paraId="4CBD7812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40784A">
              <w:t>Known hypersensitivity or intolerance to aspirin</w:t>
            </w:r>
          </w:p>
        </w:tc>
      </w:tr>
      <w:tr w:rsidR="0040784A" w:rsidRPr="00132685" w14:paraId="45A19146" w14:textId="77777777" w:rsidTr="0040784A">
        <w:tc>
          <w:tcPr>
            <w:tcW w:w="9628" w:type="dxa"/>
          </w:tcPr>
          <w:p w14:paraId="6A687D73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40784A">
              <w:t>Persons who, in the judgement of the investigator, are incapable of participating.</w:t>
            </w:r>
          </w:p>
        </w:tc>
      </w:tr>
      <w:tr w:rsidR="0040784A" w:rsidRPr="00132685" w14:paraId="0C7A9BB5" w14:textId="77777777" w:rsidTr="0040784A">
        <w:tc>
          <w:tcPr>
            <w:tcW w:w="9628" w:type="dxa"/>
          </w:tcPr>
          <w:p w14:paraId="624F04DE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spacing w:after="0"/>
            </w:pPr>
            <w:r w:rsidRPr="0040784A">
              <w:t>Participation in another intervention study</w:t>
            </w:r>
          </w:p>
        </w:tc>
      </w:tr>
      <w:tr w:rsidR="0040784A" w:rsidRPr="00132685" w14:paraId="584FBA92" w14:textId="77777777" w:rsidTr="0040784A">
        <w:tc>
          <w:tcPr>
            <w:tcW w:w="9628" w:type="dxa"/>
          </w:tcPr>
          <w:p w14:paraId="56B4272D" w14:textId="2B5EF203" w:rsidR="0040784A" w:rsidRPr="0040784A" w:rsidRDefault="0040784A" w:rsidP="004078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07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Inclusion criteria (type 2 diabetes</w:t>
            </w:r>
            <w:r w:rsidR="00C823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study</w:t>
            </w:r>
            <w:r w:rsidRPr="00407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40784A" w:rsidRPr="0040784A" w14:paraId="16BDAC23" w14:textId="77777777" w:rsidTr="0040784A">
        <w:tc>
          <w:tcPr>
            <w:tcW w:w="9628" w:type="dxa"/>
          </w:tcPr>
          <w:p w14:paraId="05B548FC" w14:textId="77777777" w:rsidR="0040784A" w:rsidRPr="0040784A" w:rsidRDefault="0040784A" w:rsidP="0040784A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>Type 2 diabetes</w:t>
            </w:r>
          </w:p>
        </w:tc>
      </w:tr>
      <w:tr w:rsidR="0040784A" w:rsidRPr="00132685" w14:paraId="54BA3973" w14:textId="77777777" w:rsidTr="0040784A">
        <w:tc>
          <w:tcPr>
            <w:tcW w:w="9628" w:type="dxa"/>
          </w:tcPr>
          <w:p w14:paraId="05818439" w14:textId="77777777" w:rsidR="0040784A" w:rsidRPr="0040784A" w:rsidRDefault="0040784A" w:rsidP="0040784A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>Male and female participants aged 40-80 years</w:t>
            </w:r>
          </w:p>
        </w:tc>
      </w:tr>
      <w:tr w:rsidR="0040784A" w:rsidRPr="00132685" w14:paraId="77D1C62B" w14:textId="77777777" w:rsidTr="0040784A">
        <w:tc>
          <w:tcPr>
            <w:tcW w:w="9628" w:type="dxa"/>
          </w:tcPr>
          <w:p w14:paraId="073ADA35" w14:textId="77777777" w:rsidR="0040784A" w:rsidRPr="0040784A" w:rsidRDefault="0040784A" w:rsidP="0040784A">
            <w:pPr>
              <w:pStyle w:val="Listeafsni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>Capable of giving informed consent</w:t>
            </w:r>
          </w:p>
        </w:tc>
      </w:tr>
      <w:tr w:rsidR="0040784A" w:rsidRPr="00132685" w14:paraId="525657B5" w14:textId="77777777" w:rsidTr="0040784A">
        <w:tc>
          <w:tcPr>
            <w:tcW w:w="9628" w:type="dxa"/>
          </w:tcPr>
          <w:p w14:paraId="044B2851" w14:textId="11BDCFA9" w:rsidR="0040784A" w:rsidRPr="0040784A" w:rsidRDefault="0040784A" w:rsidP="004078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07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Exclusion criteria (type 2 diabetes</w:t>
            </w:r>
            <w:r w:rsidR="00C823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study</w:t>
            </w:r>
            <w:r w:rsidRPr="004078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</w:tr>
      <w:tr w:rsidR="0040784A" w:rsidRPr="00132685" w14:paraId="36A6E5BE" w14:textId="77777777" w:rsidTr="0040784A">
        <w:tc>
          <w:tcPr>
            <w:tcW w:w="9628" w:type="dxa"/>
          </w:tcPr>
          <w:p w14:paraId="556FA201" w14:textId="77777777" w:rsidR="0040784A" w:rsidRPr="0040784A" w:rsidRDefault="0040784A" w:rsidP="0040784A">
            <w:pPr>
              <w:pStyle w:val="Listeafsni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>History of stroke, myocardial infarction, PCI, CABG</w:t>
            </w:r>
          </w:p>
        </w:tc>
      </w:tr>
      <w:tr w:rsidR="0040784A" w:rsidRPr="00132685" w14:paraId="1515F6DE" w14:textId="77777777" w:rsidTr="0040784A">
        <w:tc>
          <w:tcPr>
            <w:tcW w:w="9628" w:type="dxa"/>
          </w:tcPr>
          <w:p w14:paraId="3BC87AA6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40784A">
              <w:rPr>
                <w:rFonts w:eastAsia="Times New Roman"/>
                <w:color w:val="212121"/>
                <w:lang w:val="en-GB"/>
              </w:rPr>
              <w:t>History of symptomatic peripheral arterial disease (</w:t>
            </w:r>
            <w:r w:rsidRPr="0040784A">
              <w:rPr>
                <w:rFonts w:eastAsia="Times New Roman"/>
                <w:lang w:val="en-GB"/>
              </w:rPr>
              <w:t>claudication, limb pain at rest, non-healing wounds/gangrene), reduced ankle-brachial index / toe-brachial index or previous revascularisation of peripheral arteries</w:t>
            </w:r>
          </w:p>
        </w:tc>
      </w:tr>
      <w:tr w:rsidR="0040784A" w:rsidRPr="00132685" w14:paraId="1D98EDFB" w14:textId="77777777" w:rsidTr="0040784A">
        <w:tc>
          <w:tcPr>
            <w:tcW w:w="9628" w:type="dxa"/>
          </w:tcPr>
          <w:p w14:paraId="06AC5DD8" w14:textId="77777777" w:rsidR="0040784A" w:rsidRPr="0040784A" w:rsidRDefault="0040784A" w:rsidP="0040784A">
            <w:pPr>
              <w:pStyle w:val="Listeafsni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40784A">
              <w:rPr>
                <w:lang w:val="en-GB"/>
              </w:rPr>
              <w:t>Persons who, in the judgement of the investigator, are incapable to participate</w:t>
            </w:r>
          </w:p>
        </w:tc>
      </w:tr>
    </w:tbl>
    <w:p w14:paraId="1AAAC83F" w14:textId="4A111751" w:rsidR="0040784A" w:rsidRPr="00132685" w:rsidRDefault="0040784A" w:rsidP="0040784A">
      <w:pPr>
        <w:rPr>
          <w:rFonts w:ascii="Times New Roman" w:hAnsi="Times New Roman" w:cs="Times New Roman"/>
          <w:lang w:val="en-US"/>
        </w:rPr>
      </w:pPr>
      <w:r w:rsidRPr="0013268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1:</w:t>
      </w:r>
      <w:r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 Full list of inclusion and exclusion criteria for the type 1 diabetes</w:t>
      </w:r>
      <w:r w:rsidR="00C8238C"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 type 2 diabetes</w:t>
      </w:r>
      <w:r w:rsidR="00C8238C" w:rsidRPr="00132685">
        <w:rPr>
          <w:rFonts w:ascii="Times New Roman" w:hAnsi="Times New Roman" w:cs="Times New Roman"/>
          <w:sz w:val="24"/>
          <w:szCs w:val="24"/>
          <w:lang w:val="en-US"/>
        </w:rPr>
        <w:t xml:space="preserve"> studies</w:t>
      </w:r>
      <w:r w:rsidRPr="001326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32685">
        <w:rPr>
          <w:rFonts w:ascii="Times New Roman" w:hAnsi="Times New Roman" w:cs="Times New Roman"/>
          <w:lang w:val="en-US"/>
        </w:rPr>
        <w:br w:type="page"/>
      </w:r>
    </w:p>
    <w:p w14:paraId="07E9521C" w14:textId="77777777" w:rsidR="0040784A" w:rsidRPr="0040784A" w:rsidRDefault="0040784A" w:rsidP="0040784A">
      <w:pPr>
        <w:rPr>
          <w:rFonts w:ascii="Times New Roman" w:hAnsi="Times New Roman" w:cs="Times New Roman"/>
          <w:sz w:val="24"/>
          <w:szCs w:val="24"/>
          <w:lang w:val="en-US"/>
        </w:rPr>
        <w:sectPr w:rsidR="0040784A" w:rsidRPr="0040784A" w:rsidSect="0040784A">
          <w:pgSz w:w="11906" w:h="16838"/>
          <w:pgMar w:top="1701" w:right="1134" w:bottom="1701" w:left="1134" w:header="709" w:footer="709" w:gutter="0"/>
          <w:cols w:space="708"/>
          <w:docGrid w:linePitch="360"/>
        </w:sectPr>
      </w:pPr>
    </w:p>
    <w:p w14:paraId="674ECE4F" w14:textId="69E817E3" w:rsidR="000A5C6F" w:rsidRPr="0040784A" w:rsidRDefault="0040784A" w:rsidP="004078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F750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B5C2503" wp14:editId="1904D83B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8172450" cy="4086225"/>
            <wp:effectExtent l="0" t="0" r="0" b="9525"/>
            <wp:wrapTopAndBottom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750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</w:t>
      </w:r>
      <w:r w:rsidRPr="0040784A">
        <w:rPr>
          <w:rFonts w:ascii="Times New Roman" w:hAnsi="Times New Roman" w:cs="Times New Roman"/>
          <w:sz w:val="24"/>
          <w:szCs w:val="24"/>
          <w:lang w:val="en-US"/>
        </w:rPr>
        <w:t>: Correlation plots adenosine diphosphate platelet aggregation (ADP) and maximal carotid plaque thickness, for type 1 and type 2 diabetes participants, respectively. Maximal carotid plaque thickness cardiovascular disease risk categories are marked as: no plaque (0 mm), low risk (&gt;0 and &lt;1.5 mm), intermediate risk (1.5 to &lt;2.5 mm), and high risk (≥2.5 mm).</w:t>
      </w:r>
    </w:p>
    <w:sectPr w:rsidR="000A5C6F" w:rsidRPr="0040784A" w:rsidSect="00A471B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A4A94"/>
    <w:multiLevelType w:val="hybridMultilevel"/>
    <w:tmpl w:val="8EF24B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40716"/>
    <w:multiLevelType w:val="hybridMultilevel"/>
    <w:tmpl w:val="B394A98E"/>
    <w:lvl w:ilvl="0" w:tplc="21A2A0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E1AE9"/>
    <w:multiLevelType w:val="hybridMultilevel"/>
    <w:tmpl w:val="478A0F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27608"/>
    <w:multiLevelType w:val="hybridMultilevel"/>
    <w:tmpl w:val="EF2857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3146D"/>
    <w:multiLevelType w:val="hybridMultilevel"/>
    <w:tmpl w:val="A900D0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2247B"/>
    <w:multiLevelType w:val="hybridMultilevel"/>
    <w:tmpl w:val="23365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B9"/>
    <w:rsid w:val="000A5C6F"/>
    <w:rsid w:val="00132685"/>
    <w:rsid w:val="001C6A36"/>
    <w:rsid w:val="001F1F49"/>
    <w:rsid w:val="00263DB1"/>
    <w:rsid w:val="00267F57"/>
    <w:rsid w:val="003210EE"/>
    <w:rsid w:val="003768B7"/>
    <w:rsid w:val="0040784A"/>
    <w:rsid w:val="0048017E"/>
    <w:rsid w:val="004A5BB6"/>
    <w:rsid w:val="004E41B2"/>
    <w:rsid w:val="005572FA"/>
    <w:rsid w:val="00804921"/>
    <w:rsid w:val="00816B06"/>
    <w:rsid w:val="008A54A0"/>
    <w:rsid w:val="0092474B"/>
    <w:rsid w:val="00A471B9"/>
    <w:rsid w:val="00A508BC"/>
    <w:rsid w:val="00AD746E"/>
    <w:rsid w:val="00AF7503"/>
    <w:rsid w:val="00B1069E"/>
    <w:rsid w:val="00B2486E"/>
    <w:rsid w:val="00B32FD9"/>
    <w:rsid w:val="00C43D84"/>
    <w:rsid w:val="00C71D4D"/>
    <w:rsid w:val="00C8238C"/>
    <w:rsid w:val="00CC6146"/>
    <w:rsid w:val="00D93381"/>
    <w:rsid w:val="00E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494F"/>
  <w15:chartTrackingRefBased/>
  <w15:docId w15:val="{E4A1B350-82DD-4A89-8336-4286764D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A36"/>
  </w:style>
  <w:style w:type="paragraph" w:styleId="Overskrift1">
    <w:name w:val="heading 1"/>
    <w:basedOn w:val="Normal"/>
    <w:next w:val="Normal"/>
    <w:link w:val="Overskrift1Tegn"/>
    <w:uiPriority w:val="9"/>
    <w:qFormat/>
    <w:rsid w:val="004078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40784A"/>
    <w:pPr>
      <w:spacing w:before="0" w:after="240" w:line="360" w:lineRule="auto"/>
      <w:jc w:val="both"/>
      <w:outlineLvl w:val="1"/>
    </w:pPr>
    <w:rPr>
      <w:rFonts w:ascii="Times New Roman" w:hAnsi="Times New Roman" w:cs="Times New Roman"/>
      <w:b/>
      <w:color w:val="auto"/>
      <w:sz w:val="24"/>
      <w:szCs w:val="24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40784A"/>
    <w:rPr>
      <w:rFonts w:ascii="Times New Roman" w:eastAsiaTheme="majorEastAsia" w:hAnsi="Times New Roman" w:cs="Times New Roman"/>
      <w:b/>
      <w:sz w:val="24"/>
      <w:szCs w:val="24"/>
      <w:lang w:val="en-US"/>
    </w:rPr>
  </w:style>
  <w:style w:type="paragraph" w:styleId="Listeafsnit">
    <w:name w:val="List Paragraph"/>
    <w:basedOn w:val="Normal"/>
    <w:uiPriority w:val="34"/>
    <w:qFormat/>
    <w:rsid w:val="0040784A"/>
    <w:pPr>
      <w:spacing w:after="240" w:line="360" w:lineRule="auto"/>
      <w:ind w:left="720"/>
      <w:contextualSpacing/>
      <w:jc w:val="both"/>
    </w:pPr>
    <w:rPr>
      <w:rFonts w:ascii="Times New Roman" w:hAnsi="Times New Roman" w:cs="Times New Roman"/>
      <w:bCs/>
      <w:sz w:val="24"/>
      <w:szCs w:val="24"/>
      <w:lang w:val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07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40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777</Words>
  <Characters>4740</Characters>
  <Application>Microsoft Office Word</Application>
  <DocSecurity>4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Rotbain Curovic</dc:creator>
  <cp:keywords/>
  <dc:description/>
  <cp:lastModifiedBy>Viktor Rotbain Curovic</cp:lastModifiedBy>
  <cp:revision>2</cp:revision>
  <dcterms:created xsi:type="dcterms:W3CDTF">2023-05-30T09:14:00Z</dcterms:created>
  <dcterms:modified xsi:type="dcterms:W3CDTF">2023-05-30T09:14:00Z</dcterms:modified>
</cp:coreProperties>
</file>