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6A9FF" w14:textId="7341F30D" w:rsidR="009A7E18" w:rsidRDefault="00311385" w:rsidP="00EF465F">
      <w:pPr>
        <w:jc w:val="center"/>
        <w:rPr>
          <w:rFonts w:eastAsiaTheme="minorEastAsia" w:cs="Times New Roman"/>
          <w:b/>
          <w:bCs/>
          <w:sz w:val="20"/>
          <w:szCs w:val="18"/>
          <w:lang w:val="en-US"/>
        </w:rPr>
      </w:pPr>
      <w:r>
        <w:rPr>
          <w:noProof/>
          <w14:ligatures w14:val="standardContextual"/>
        </w:rPr>
        <w:drawing>
          <wp:inline distT="0" distB="0" distL="0" distR="0" wp14:anchorId="7A44807A" wp14:editId="177F9603">
            <wp:extent cx="3384000" cy="7250231"/>
            <wp:effectExtent l="0" t="0" r="6985" b="8255"/>
            <wp:docPr id="16564860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4000" cy="725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C578" w14:textId="78D10D1F" w:rsidR="008453E0" w:rsidRDefault="009A7E18" w:rsidP="005F3030">
      <w:pPr>
        <w:spacing w:line="240" w:lineRule="auto"/>
      </w:pPr>
      <w:r w:rsidRPr="00607D1A">
        <w:rPr>
          <w:rFonts w:eastAsiaTheme="minorEastAsia" w:cs="Times New Roman"/>
          <w:b/>
          <w:bCs/>
          <w:sz w:val="20"/>
          <w:szCs w:val="20"/>
        </w:rPr>
        <w:t>Supplementary Fig</w:t>
      </w:r>
      <w:r w:rsidR="006C657C">
        <w:rPr>
          <w:rFonts w:eastAsiaTheme="minorEastAsia" w:cs="Times New Roman"/>
          <w:b/>
          <w:bCs/>
          <w:sz w:val="20"/>
          <w:szCs w:val="20"/>
        </w:rPr>
        <w:t>ure</w:t>
      </w:r>
      <w:r w:rsidRPr="00607D1A">
        <w:rPr>
          <w:rFonts w:eastAsiaTheme="minorEastAsia" w:cs="Times New Roman"/>
          <w:b/>
          <w:bCs/>
          <w:sz w:val="20"/>
          <w:szCs w:val="20"/>
        </w:rPr>
        <w:t xml:space="preserve"> </w:t>
      </w:r>
      <w:r w:rsidR="00607D1A" w:rsidRPr="00607D1A">
        <w:rPr>
          <w:rFonts w:eastAsiaTheme="minorEastAsia" w:cs="Times New Roman"/>
          <w:b/>
          <w:bCs/>
          <w:sz w:val="20"/>
          <w:szCs w:val="20"/>
        </w:rPr>
        <w:t>1</w:t>
      </w:r>
      <w:r w:rsidRPr="00607D1A">
        <w:rPr>
          <w:rFonts w:eastAsiaTheme="minorEastAsia" w:cs="Times New Roman"/>
          <w:b/>
          <w:bCs/>
          <w:sz w:val="20"/>
          <w:szCs w:val="20"/>
        </w:rPr>
        <w:t>. Bland</w:t>
      </w:r>
      <w:r w:rsidR="00234A54">
        <w:rPr>
          <w:rFonts w:eastAsiaTheme="minorEastAsia" w:cs="Times New Roman"/>
          <w:b/>
          <w:bCs/>
          <w:sz w:val="20"/>
          <w:szCs w:val="20"/>
        </w:rPr>
        <w:t>–</w:t>
      </w:r>
      <w:r w:rsidRPr="00607D1A">
        <w:rPr>
          <w:rFonts w:eastAsiaTheme="minorEastAsia" w:cs="Times New Roman"/>
          <w:b/>
          <w:bCs/>
          <w:sz w:val="20"/>
          <w:szCs w:val="20"/>
        </w:rPr>
        <w:t xml:space="preserve">Altman plots illustrating the agreement between visual assessment and </w:t>
      </w:r>
      <w:r w:rsidR="001D12DB">
        <w:rPr>
          <w:rFonts w:eastAsiaTheme="minorEastAsia" w:cs="Times New Roman"/>
          <w:b/>
          <w:bCs/>
          <w:sz w:val="20"/>
          <w:szCs w:val="20"/>
        </w:rPr>
        <w:t>DIA</w:t>
      </w:r>
      <w:r w:rsidRPr="00607D1A">
        <w:rPr>
          <w:rFonts w:eastAsiaTheme="minorEastAsia" w:cs="Times New Roman"/>
          <w:b/>
          <w:bCs/>
          <w:sz w:val="20"/>
          <w:szCs w:val="20"/>
        </w:rPr>
        <w:t xml:space="preserve"> for:</w:t>
      </w:r>
      <w:r w:rsidRPr="00607D1A">
        <w:rPr>
          <w:sz w:val="20"/>
          <w:szCs w:val="20"/>
        </w:rPr>
        <w:t xml:space="preserve"> </w:t>
      </w:r>
      <w:r w:rsidR="001D12DB" w:rsidRPr="001D12DB">
        <w:rPr>
          <w:b/>
          <w:bCs/>
          <w:sz w:val="20"/>
          <w:szCs w:val="20"/>
        </w:rPr>
        <w:t>(a</w:t>
      </w:r>
      <w:r w:rsidRPr="001D12DB">
        <w:rPr>
          <w:b/>
          <w:bCs/>
          <w:sz w:val="20"/>
          <w:szCs w:val="20"/>
        </w:rPr>
        <w:t>)</w:t>
      </w:r>
      <w:r w:rsidRPr="00607D1A">
        <w:rPr>
          <w:sz w:val="20"/>
          <w:szCs w:val="20"/>
        </w:rPr>
        <w:t xml:space="preserve"> ER%</w:t>
      </w:r>
      <w:r w:rsidR="001D12DB">
        <w:rPr>
          <w:sz w:val="20"/>
          <w:szCs w:val="20"/>
        </w:rPr>
        <w:t>;</w:t>
      </w:r>
      <w:r w:rsidRPr="00607D1A">
        <w:rPr>
          <w:sz w:val="20"/>
          <w:szCs w:val="20"/>
        </w:rPr>
        <w:t xml:space="preserve"> </w:t>
      </w:r>
      <w:r w:rsidR="001D12DB" w:rsidRPr="001D12DB">
        <w:rPr>
          <w:b/>
          <w:bCs/>
          <w:sz w:val="20"/>
          <w:szCs w:val="20"/>
        </w:rPr>
        <w:t>(b)</w:t>
      </w:r>
      <w:r w:rsidRPr="00607D1A">
        <w:rPr>
          <w:sz w:val="20"/>
          <w:szCs w:val="20"/>
        </w:rPr>
        <w:t xml:space="preserve"> PR%, and </w:t>
      </w:r>
      <w:r w:rsidR="001D12DB" w:rsidRPr="001D12DB">
        <w:rPr>
          <w:b/>
          <w:bCs/>
          <w:sz w:val="20"/>
          <w:szCs w:val="20"/>
        </w:rPr>
        <w:t>(c)</w:t>
      </w:r>
      <w:r w:rsidRPr="00607D1A">
        <w:rPr>
          <w:sz w:val="20"/>
          <w:szCs w:val="20"/>
        </w:rPr>
        <w:t xml:space="preserve"> Ki67%. The limits of agreement are represented by dashed blue lines, the bias is shown as a solid black line, and the regression fit, along with its 95% confidence interval, is illustrated as a grey area around the differences on the means, displayed as a dashed red line.</w:t>
      </w:r>
      <w:r w:rsidR="001D12DB">
        <w:rPr>
          <w:sz w:val="20"/>
          <w:szCs w:val="20"/>
        </w:rPr>
        <w:t xml:space="preserve"> DIA</w:t>
      </w:r>
      <w:r w:rsidR="00DD015A">
        <w:rPr>
          <w:sz w:val="20"/>
          <w:szCs w:val="20"/>
        </w:rPr>
        <w:t>:</w:t>
      </w:r>
      <w:r w:rsidR="001D12DB">
        <w:rPr>
          <w:sz w:val="20"/>
          <w:szCs w:val="20"/>
        </w:rPr>
        <w:t xml:space="preserve"> digital image analysis</w:t>
      </w:r>
      <w:r w:rsidR="00311385">
        <w:rPr>
          <w:sz w:val="20"/>
          <w:szCs w:val="20"/>
        </w:rPr>
        <w:t xml:space="preserve">; </w:t>
      </w:r>
      <w:r w:rsidR="00311385" w:rsidRPr="003137D8">
        <w:rPr>
          <w:rFonts w:cs="Times New Roman"/>
          <w:color w:val="000000" w:themeColor="text1"/>
          <w:szCs w:val="20"/>
        </w:rPr>
        <w:t>ER</w:t>
      </w:r>
      <w:r w:rsidR="00DD015A">
        <w:rPr>
          <w:rFonts w:cs="Times New Roman"/>
          <w:color w:val="000000" w:themeColor="text1"/>
          <w:szCs w:val="20"/>
        </w:rPr>
        <w:t>:</w:t>
      </w:r>
      <w:r w:rsidR="00311385" w:rsidRPr="003137D8">
        <w:rPr>
          <w:rFonts w:cs="Times New Roman"/>
          <w:color w:val="000000" w:themeColor="text1"/>
          <w:szCs w:val="20"/>
        </w:rPr>
        <w:t xml:space="preserve"> estrogen receptor</w:t>
      </w:r>
      <w:r w:rsidR="00311385">
        <w:rPr>
          <w:rFonts w:cs="Times New Roman"/>
          <w:color w:val="000000" w:themeColor="text1"/>
          <w:szCs w:val="20"/>
        </w:rPr>
        <w:t xml:space="preserve">; </w:t>
      </w:r>
      <w:r w:rsidR="00311385" w:rsidRPr="003137D8">
        <w:rPr>
          <w:rFonts w:cs="Times New Roman"/>
          <w:color w:val="000000" w:themeColor="text1"/>
          <w:szCs w:val="20"/>
        </w:rPr>
        <w:t>HER2</w:t>
      </w:r>
      <w:r w:rsidR="00DD015A">
        <w:rPr>
          <w:rFonts w:cs="Times New Roman"/>
          <w:color w:val="000000" w:themeColor="text1"/>
          <w:szCs w:val="20"/>
        </w:rPr>
        <w:t>:</w:t>
      </w:r>
      <w:r w:rsidR="00311385" w:rsidRPr="003137D8">
        <w:rPr>
          <w:rFonts w:cs="Times New Roman"/>
          <w:color w:val="000000" w:themeColor="text1"/>
          <w:szCs w:val="20"/>
        </w:rPr>
        <w:t xml:space="preserve"> human epidermal growth factor receptor 2</w:t>
      </w:r>
      <w:r w:rsidR="00311385">
        <w:rPr>
          <w:rFonts w:cs="Times New Roman"/>
          <w:color w:val="000000" w:themeColor="text1"/>
          <w:szCs w:val="20"/>
        </w:rPr>
        <w:t xml:space="preserve">; </w:t>
      </w:r>
      <w:r w:rsidR="00311385" w:rsidRPr="003137D8">
        <w:rPr>
          <w:rFonts w:cs="Times New Roman"/>
          <w:color w:val="000000" w:themeColor="text1"/>
          <w:szCs w:val="20"/>
        </w:rPr>
        <w:t>PR</w:t>
      </w:r>
      <w:r w:rsidR="00DD015A">
        <w:rPr>
          <w:rFonts w:cs="Times New Roman"/>
          <w:color w:val="000000" w:themeColor="text1"/>
          <w:szCs w:val="20"/>
        </w:rPr>
        <w:t>:</w:t>
      </w:r>
      <w:r w:rsidR="00311385" w:rsidRPr="003137D8">
        <w:rPr>
          <w:rFonts w:cs="Times New Roman"/>
          <w:color w:val="000000" w:themeColor="text1"/>
          <w:szCs w:val="20"/>
        </w:rPr>
        <w:t xml:space="preserve"> progesterone receptor</w:t>
      </w:r>
      <w:r w:rsidR="00311385">
        <w:rPr>
          <w:rFonts w:cs="Times New Roman"/>
          <w:color w:val="000000" w:themeColor="text1"/>
          <w:szCs w:val="20"/>
        </w:rPr>
        <w:t>.</w:t>
      </w:r>
    </w:p>
    <w:sectPr w:rsidR="008453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AYCA2MzUzMzUxNDQyNDSyUdpeDU4uLM/DyQAuNaADBCrTAsAAAA"/>
  </w:docVars>
  <w:rsids>
    <w:rsidRoot w:val="009A7E18"/>
    <w:rsid w:val="001C0D4B"/>
    <w:rsid w:val="001D12DB"/>
    <w:rsid w:val="00234A54"/>
    <w:rsid w:val="00311385"/>
    <w:rsid w:val="005F3030"/>
    <w:rsid w:val="00607D1A"/>
    <w:rsid w:val="006C657C"/>
    <w:rsid w:val="008453E0"/>
    <w:rsid w:val="009A7E18"/>
    <w:rsid w:val="00D5741B"/>
    <w:rsid w:val="00DA079C"/>
    <w:rsid w:val="00DD015A"/>
    <w:rsid w:val="00EF465F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54F57"/>
  <w15:chartTrackingRefBased/>
  <w15:docId w15:val="{42A168C2-EB90-4088-9FA5-33581D94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E18"/>
    <w:pPr>
      <w:spacing w:after="0" w:line="480" w:lineRule="auto"/>
      <w:jc w:val="both"/>
    </w:pPr>
    <w:rPr>
      <w:rFonts w:ascii="Times New Roman" w:hAnsi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E50CB79AF0B4EB1271D9187E0EF2F" ma:contentTypeVersion="2" ma:contentTypeDescription="Create a new document." ma:contentTypeScope="" ma:versionID="563c1744809c37ef47e18b51fb3fec3e">
  <xsd:schema xmlns:xsd="http://www.w3.org/2001/XMLSchema" xmlns:xs="http://www.w3.org/2001/XMLSchema" xmlns:p="http://schemas.microsoft.com/office/2006/metadata/properties" xmlns:ns3="914fe237-9a60-44ec-99c5-41d3180a87b8" targetNamespace="http://schemas.microsoft.com/office/2006/metadata/properties" ma:root="true" ma:fieldsID="23c0ed1d19427134275d5649abcc5dff" ns3:_="">
    <xsd:import namespace="914fe237-9a60-44ec-99c5-41d3180a87b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fe237-9a60-44ec-99c5-41d3180a87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2B7D87-0F2F-4749-99FD-6FBD1AC00C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CEDD58F-8C1B-49DE-979B-F8F67EBD88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6CFD03-20C5-4EC3-9E01-1E38171302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4fe237-9a60-44ec-99c5-41d3180a87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465</Characters>
  <Application>Microsoft Office Word</Application>
  <DocSecurity>0</DocSecurity>
  <Lines>10</Lines>
  <Paragraphs>3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dovile.zilenaite</dc:creator>
  <cp:keywords/>
  <dc:description/>
  <cp:lastModifiedBy>dovile.zilenaite</cp:lastModifiedBy>
  <cp:revision>16</cp:revision>
  <dcterms:created xsi:type="dcterms:W3CDTF">2023-07-05T13:16:00Z</dcterms:created>
  <dcterms:modified xsi:type="dcterms:W3CDTF">2023-08-17T06:17:00Z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b9625711-8873-4bd8-835e-a664c4e13be3</vt:lpwstr>
  </property>
  <property fmtid="{D5CDD505-2E9C-101B-9397-08002B2CF9AE}" pid="3" name="ContentTypeId">
    <vt:lpwstr>0x010100AF9E50CB79AF0B4EB1271D9187E0EF2F</vt:lpwstr>
  </property>
</Properties>
</file>