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AF73" w14:textId="38390698" w:rsidR="00374056" w:rsidRPr="00374056" w:rsidRDefault="00374056" w:rsidP="00374056">
      <w:pPr>
        <w:spacing w:before="0" w:after="0"/>
      </w:pPr>
      <w:bookmarkStart w:id="0" w:name="_Ref139488644"/>
      <w:r w:rsidRPr="00374056">
        <w:rPr>
          <w:rFonts w:cs="Times New Roman"/>
          <w:b/>
          <w:bCs/>
          <w:szCs w:val="20"/>
        </w:rPr>
        <w:t xml:space="preserve">Supplementary Table </w:t>
      </w:r>
      <w:bookmarkEnd w:id="0"/>
      <w:r w:rsidRPr="00374056">
        <w:rPr>
          <w:rFonts w:cs="Times New Roman"/>
          <w:b/>
          <w:bCs/>
          <w:szCs w:val="20"/>
        </w:rPr>
        <w:t>1</w:t>
      </w:r>
      <w:r w:rsidRPr="00374056">
        <w:rPr>
          <w:rFonts w:cs="Times New Roman"/>
          <w:szCs w:val="20"/>
        </w:rPr>
        <w:t xml:space="preserve">: Summary statistics of </w:t>
      </w:r>
      <w:bookmarkStart w:id="1" w:name="_Hlk26638073"/>
      <w:r w:rsidRPr="00374056">
        <w:rPr>
          <w:rFonts w:cs="Times New Roman"/>
          <w:szCs w:val="20"/>
        </w:rPr>
        <w:t>IHC and ITH indicators</w:t>
      </w:r>
      <w:bookmarkEnd w:id="1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6"/>
        <w:gridCol w:w="1216"/>
        <w:gridCol w:w="1956"/>
        <w:gridCol w:w="873"/>
        <w:gridCol w:w="19"/>
      </w:tblGrid>
      <w:tr w:rsidR="00E40EDF" w:rsidRPr="00374056" w14:paraId="3924FB6A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C7C250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Indicator</w:t>
            </w:r>
          </w:p>
        </w:tc>
        <w:tc>
          <w:tcPr>
            <w:tcW w:w="12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60CC8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5432D" w14:textId="14D5D11F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Standard deviation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EC1E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Median</w:t>
            </w:r>
          </w:p>
        </w:tc>
      </w:tr>
      <w:tr w:rsidR="00E40EDF" w:rsidRPr="00374056" w14:paraId="254C8F3A" w14:textId="77777777" w:rsidTr="00374056">
        <w:trPr>
          <w:trHeight w:val="251"/>
          <w:jc w:val="center"/>
        </w:trPr>
        <w:tc>
          <w:tcPr>
            <w:tcW w:w="81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DD40B" w14:textId="3C63546F" w:rsidR="00E40EDF" w:rsidRPr="00374056" w:rsidRDefault="00C9777D" w:rsidP="00E40EDF">
            <w:pPr>
              <w:pStyle w:val="NoSpacing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A731A">
              <w:rPr>
                <w:rFonts w:cs="Times New Roman"/>
                <w:b/>
                <w:sz w:val="20"/>
                <w:szCs w:val="20"/>
              </w:rPr>
              <w:t>Conventional IHC indicators by pathology report</w:t>
            </w:r>
          </w:p>
        </w:tc>
      </w:tr>
      <w:tr w:rsidR="00E40EDF" w:rsidRPr="00374056" w14:paraId="042EE3FB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51F66C3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ER%</w:t>
            </w:r>
          </w:p>
        </w:tc>
        <w:tc>
          <w:tcPr>
            <w:tcW w:w="1216" w:type="dxa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20B5ED48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93.32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7E5C9D99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16.42</w:t>
            </w:r>
          </w:p>
        </w:tc>
        <w:tc>
          <w:tcPr>
            <w:tcW w:w="873" w:type="dxa"/>
            <w:vAlign w:val="center"/>
          </w:tcPr>
          <w:p w14:paraId="4216EA7F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100.0</w:t>
            </w:r>
          </w:p>
        </w:tc>
      </w:tr>
      <w:tr w:rsidR="00E40EDF" w:rsidRPr="00374056" w14:paraId="1A1C9B74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5ECBF7F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PR%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367B1E2A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69.01</w:t>
            </w:r>
          </w:p>
        </w:tc>
        <w:tc>
          <w:tcPr>
            <w:tcW w:w="1956" w:type="dxa"/>
            <w:vAlign w:val="center"/>
          </w:tcPr>
          <w:p w14:paraId="2C40FF7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36.89</w:t>
            </w:r>
          </w:p>
        </w:tc>
        <w:tc>
          <w:tcPr>
            <w:tcW w:w="873" w:type="dxa"/>
            <w:vAlign w:val="center"/>
          </w:tcPr>
          <w:p w14:paraId="549603C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90.00</w:t>
            </w:r>
          </w:p>
        </w:tc>
      </w:tr>
      <w:tr w:rsidR="00E40EDF" w:rsidRPr="00374056" w14:paraId="28B51A61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6846BA9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Ki67%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312306EA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23.75</w:t>
            </w:r>
          </w:p>
        </w:tc>
        <w:tc>
          <w:tcPr>
            <w:tcW w:w="1956" w:type="dxa"/>
            <w:vAlign w:val="center"/>
          </w:tcPr>
          <w:p w14:paraId="27CD14A7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16.35</w:t>
            </w:r>
          </w:p>
        </w:tc>
        <w:tc>
          <w:tcPr>
            <w:tcW w:w="873" w:type="dxa"/>
            <w:vAlign w:val="center"/>
          </w:tcPr>
          <w:p w14:paraId="019E15C0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20.00</w:t>
            </w:r>
          </w:p>
        </w:tc>
      </w:tr>
      <w:tr w:rsidR="00E40EDF" w:rsidRPr="00374056" w14:paraId="1BE5A6A9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6C1B47C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HER2 status, number of positive cases (%) *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</w:tcPr>
          <w:p w14:paraId="1035D5B3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sz w:val="20"/>
                <w:szCs w:val="20"/>
              </w:rPr>
              <w:t>0 (0%)</w:t>
            </w:r>
          </w:p>
        </w:tc>
        <w:tc>
          <w:tcPr>
            <w:tcW w:w="1956" w:type="dxa"/>
          </w:tcPr>
          <w:p w14:paraId="7C53EB52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873" w:type="dxa"/>
          </w:tcPr>
          <w:p w14:paraId="3A77AAF1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sz w:val="20"/>
                <w:szCs w:val="20"/>
              </w:rPr>
              <w:t>–</w:t>
            </w:r>
          </w:p>
        </w:tc>
      </w:tr>
      <w:tr w:rsidR="00E40EDF" w:rsidRPr="00374056" w14:paraId="174E6FB7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4376355" w14:textId="77777777" w:rsidR="00E40EDF" w:rsidRPr="00374056" w:rsidRDefault="00E40EDF" w:rsidP="00E40EDF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</w:tcPr>
          <w:p w14:paraId="6BEA87B9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43 (24.1%)</w:t>
            </w:r>
          </w:p>
        </w:tc>
        <w:tc>
          <w:tcPr>
            <w:tcW w:w="1956" w:type="dxa"/>
          </w:tcPr>
          <w:p w14:paraId="1F65A7DD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873" w:type="dxa"/>
          </w:tcPr>
          <w:p w14:paraId="19E5933E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–</w:t>
            </w:r>
          </w:p>
        </w:tc>
      </w:tr>
      <w:tr w:rsidR="00E40EDF" w:rsidRPr="00374056" w14:paraId="1A3DB580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720902E" w14:textId="77777777" w:rsidR="00E40EDF" w:rsidRPr="00374056" w:rsidRDefault="00E40EDF" w:rsidP="00E40EDF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1+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</w:tcPr>
          <w:p w14:paraId="7748003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118 (66.3%)</w:t>
            </w:r>
          </w:p>
        </w:tc>
        <w:tc>
          <w:tcPr>
            <w:tcW w:w="1956" w:type="dxa"/>
          </w:tcPr>
          <w:p w14:paraId="203E0199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873" w:type="dxa"/>
          </w:tcPr>
          <w:p w14:paraId="05D0118B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–</w:t>
            </w:r>
          </w:p>
        </w:tc>
      </w:tr>
      <w:tr w:rsidR="00E40EDF" w:rsidRPr="00374056" w14:paraId="2E6D3005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68A539" w14:textId="77777777" w:rsidR="00E40EDF" w:rsidRPr="00374056" w:rsidRDefault="00E40EDF" w:rsidP="00E40EDF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2+</w:t>
            </w:r>
          </w:p>
        </w:tc>
        <w:tc>
          <w:tcPr>
            <w:tcW w:w="1216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</w:tcPr>
          <w:p w14:paraId="65975E9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17 (9.6%)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B157DE1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028B2092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–</w:t>
            </w:r>
          </w:p>
        </w:tc>
      </w:tr>
      <w:tr w:rsidR="00E40EDF" w:rsidRPr="00374056" w14:paraId="53538214" w14:textId="77777777" w:rsidTr="00E40EDF">
        <w:trPr>
          <w:gridAfter w:val="1"/>
          <w:wAfter w:w="19" w:type="dxa"/>
          <w:trHeight w:val="267"/>
          <w:jc w:val="center"/>
        </w:trPr>
        <w:tc>
          <w:tcPr>
            <w:tcW w:w="81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80563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Conventional IHC indicators by DIA assessment</w:t>
            </w:r>
          </w:p>
        </w:tc>
      </w:tr>
      <w:tr w:rsidR="00E40EDF" w:rsidRPr="00374056" w14:paraId="7D0FED1F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5B20E4F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ER%</w:t>
            </w:r>
          </w:p>
        </w:tc>
        <w:tc>
          <w:tcPr>
            <w:tcW w:w="1216" w:type="dxa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5ADBCCC2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94.57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4B0312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15.61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1A628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99.43</w:t>
            </w:r>
          </w:p>
        </w:tc>
      </w:tr>
      <w:tr w:rsidR="00E40EDF" w:rsidRPr="00374056" w14:paraId="1BB010E3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708BEFD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PR%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5593E313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69.37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57B30B6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37.70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20883A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92.71</w:t>
            </w:r>
          </w:p>
        </w:tc>
      </w:tr>
      <w:tr w:rsidR="00E40EDF" w:rsidRPr="00374056" w14:paraId="75223C29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C849F2C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Ki67%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6DB2923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21.76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0C5E87F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15.70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3754698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17.03</w:t>
            </w:r>
          </w:p>
        </w:tc>
      </w:tr>
      <w:tr w:rsidR="00E40EDF" w:rsidRPr="00374056" w14:paraId="268B6724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D6AF658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HER2%</w:t>
            </w:r>
          </w:p>
        </w:tc>
        <w:tc>
          <w:tcPr>
            <w:tcW w:w="1216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954C7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14.24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B622B9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18.06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5ED12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6.84</w:t>
            </w:r>
          </w:p>
        </w:tc>
      </w:tr>
      <w:tr w:rsidR="00E40EDF" w:rsidRPr="00374056" w14:paraId="2D38B168" w14:textId="77777777" w:rsidTr="00E40EDF">
        <w:trPr>
          <w:gridAfter w:val="1"/>
          <w:wAfter w:w="19" w:type="dxa"/>
          <w:trHeight w:val="267"/>
          <w:jc w:val="center"/>
        </w:trPr>
        <w:tc>
          <w:tcPr>
            <w:tcW w:w="81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0A7F8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Intratumoral heterogeneity indicators</w:t>
            </w:r>
          </w:p>
        </w:tc>
      </w:tr>
      <w:tr w:rsidR="00E40EDF" w:rsidRPr="00374056" w14:paraId="227ADFF6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2FAB43A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ER_energy</w:t>
            </w:r>
          </w:p>
        </w:tc>
        <w:tc>
          <w:tcPr>
            <w:tcW w:w="1216" w:type="dxa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16E0FFE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0.87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50C6B51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0.27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1ECBB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0.99</w:t>
            </w:r>
          </w:p>
        </w:tc>
      </w:tr>
      <w:tr w:rsidR="00E40EDF" w:rsidRPr="00374056" w14:paraId="18369249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EEEB329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ER_homogeneity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065C2116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0.95</w:t>
            </w:r>
          </w:p>
        </w:tc>
        <w:tc>
          <w:tcPr>
            <w:tcW w:w="1956" w:type="dxa"/>
            <w:vAlign w:val="center"/>
          </w:tcPr>
          <w:p w14:paraId="176DFFC4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0.11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1F9D393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1.00</w:t>
            </w:r>
          </w:p>
        </w:tc>
      </w:tr>
      <w:tr w:rsidR="00E40EDF" w:rsidRPr="00374056" w14:paraId="19EAB759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096B2F2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ER_contrast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305B98C6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0.27</w:t>
            </w:r>
          </w:p>
        </w:tc>
        <w:tc>
          <w:tcPr>
            <w:tcW w:w="1956" w:type="dxa"/>
            <w:vAlign w:val="center"/>
          </w:tcPr>
          <w:p w14:paraId="4500B9E0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0.69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7E79277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0.01</w:t>
            </w:r>
          </w:p>
        </w:tc>
      </w:tr>
      <w:tr w:rsidR="00E40EDF" w:rsidRPr="00374056" w14:paraId="16A15FB2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C889C2F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ER_dissimilarity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FDCA285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0.12</w:t>
            </w:r>
          </w:p>
        </w:tc>
        <w:tc>
          <w:tcPr>
            <w:tcW w:w="1956" w:type="dxa"/>
            <w:vAlign w:val="center"/>
          </w:tcPr>
          <w:p w14:paraId="4E53B44A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0.30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C384AFA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0.01</w:t>
            </w:r>
          </w:p>
        </w:tc>
      </w:tr>
      <w:tr w:rsidR="00E40EDF" w:rsidRPr="00374056" w14:paraId="01BD0A3D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7E0E157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ER_entropy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931B0DB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0.61</w:t>
            </w:r>
          </w:p>
        </w:tc>
        <w:tc>
          <w:tcPr>
            <w:tcW w:w="1956" w:type="dxa"/>
            <w:vAlign w:val="center"/>
          </w:tcPr>
          <w:p w14:paraId="225A8AC4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1.36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68A4671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0.06</w:t>
            </w:r>
          </w:p>
        </w:tc>
      </w:tr>
      <w:tr w:rsidR="00E40EDF" w:rsidRPr="00374056" w14:paraId="512C6E6D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3E6794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ER_AshD</w:t>
            </w:r>
          </w:p>
        </w:tc>
        <w:tc>
          <w:tcPr>
            <w:tcW w:w="1216" w:type="dxa"/>
            <w:tcBorders>
              <w:left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18730F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52.92</w:t>
            </w:r>
          </w:p>
        </w:tc>
        <w:tc>
          <w:tcPr>
            <w:tcW w:w="1956" w:type="dxa"/>
            <w:tcBorders>
              <w:bottom w:val="dashSmallGap" w:sz="4" w:space="0" w:color="auto"/>
            </w:tcBorders>
            <w:vAlign w:val="center"/>
          </w:tcPr>
          <w:p w14:paraId="7202CC34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81.11</w:t>
            </w:r>
          </w:p>
        </w:tc>
        <w:tc>
          <w:tcPr>
            <w:tcW w:w="873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60EB36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28.72</w:t>
            </w:r>
          </w:p>
        </w:tc>
      </w:tr>
      <w:tr w:rsidR="00E40EDF" w:rsidRPr="00374056" w14:paraId="1967BF45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0953686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PR_energy</w:t>
            </w:r>
          </w:p>
        </w:tc>
        <w:tc>
          <w:tcPr>
            <w:tcW w:w="1216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67596DDF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0.64</w:t>
            </w:r>
          </w:p>
        </w:tc>
        <w:tc>
          <w:tcPr>
            <w:tcW w:w="1956" w:type="dxa"/>
            <w:tcBorders>
              <w:top w:val="dashSmallGap" w:sz="4" w:space="0" w:color="auto"/>
            </w:tcBorders>
            <w:vAlign w:val="center"/>
          </w:tcPr>
          <w:p w14:paraId="6CD8F0E1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0.39</w:t>
            </w:r>
          </w:p>
        </w:tc>
        <w:tc>
          <w:tcPr>
            <w:tcW w:w="87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9DE504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0.86</w:t>
            </w:r>
          </w:p>
        </w:tc>
      </w:tr>
      <w:tr w:rsidR="00E40EDF" w:rsidRPr="00374056" w14:paraId="04BE38C3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C21745C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PR_homogeneity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A79D366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0.87</w:t>
            </w:r>
          </w:p>
        </w:tc>
        <w:tc>
          <w:tcPr>
            <w:tcW w:w="1956" w:type="dxa"/>
            <w:vAlign w:val="center"/>
          </w:tcPr>
          <w:p w14:paraId="5EAFD20F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0.17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1A1A79C5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0.96</w:t>
            </w:r>
          </w:p>
        </w:tc>
      </w:tr>
      <w:tr w:rsidR="00E40EDF" w:rsidRPr="00374056" w14:paraId="72D608CE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0943B2D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PR_contrast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1AEF8E1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0.85</w:t>
            </w:r>
          </w:p>
        </w:tc>
        <w:tc>
          <w:tcPr>
            <w:tcW w:w="1956" w:type="dxa"/>
            <w:vAlign w:val="center"/>
          </w:tcPr>
          <w:p w14:paraId="508E86CF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1.23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6D6A073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0.18</w:t>
            </w:r>
          </w:p>
        </w:tc>
      </w:tr>
      <w:tr w:rsidR="00E40EDF" w:rsidRPr="00374056" w14:paraId="6D8F5639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81CCD69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PR_dissimilarity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400F150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1956" w:type="dxa"/>
            <w:vAlign w:val="center"/>
          </w:tcPr>
          <w:p w14:paraId="53365E6E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0.45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7D19007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0.09</w:t>
            </w:r>
          </w:p>
        </w:tc>
      </w:tr>
      <w:tr w:rsidR="00E40EDF" w:rsidRPr="00374056" w14:paraId="048EA92D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EEBC850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PR_entropy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670656E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1.70</w:t>
            </w:r>
          </w:p>
        </w:tc>
        <w:tc>
          <w:tcPr>
            <w:tcW w:w="1956" w:type="dxa"/>
            <w:vAlign w:val="center"/>
          </w:tcPr>
          <w:p w14:paraId="40EFE190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2.01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DAD186B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0.55</w:t>
            </w:r>
          </w:p>
        </w:tc>
      </w:tr>
      <w:tr w:rsidR="00E40EDF" w:rsidRPr="00374056" w14:paraId="1E581C39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FFCD0D4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PR_AshD</w:t>
            </w:r>
          </w:p>
        </w:tc>
        <w:tc>
          <w:tcPr>
            <w:tcW w:w="1216" w:type="dxa"/>
            <w:tcBorders>
              <w:left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E438AB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50.32</w:t>
            </w:r>
          </w:p>
        </w:tc>
        <w:tc>
          <w:tcPr>
            <w:tcW w:w="1956" w:type="dxa"/>
            <w:tcBorders>
              <w:bottom w:val="dashSmallGap" w:sz="4" w:space="0" w:color="auto"/>
            </w:tcBorders>
            <w:vAlign w:val="center"/>
          </w:tcPr>
          <w:p w14:paraId="5E5EE870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108.37</w:t>
            </w:r>
          </w:p>
        </w:tc>
        <w:tc>
          <w:tcPr>
            <w:tcW w:w="873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07F53D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2.72</w:t>
            </w:r>
          </w:p>
        </w:tc>
      </w:tr>
      <w:tr w:rsidR="00E40EDF" w:rsidRPr="00374056" w14:paraId="3881CCE3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53F8250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Ki67_energy</w:t>
            </w:r>
          </w:p>
        </w:tc>
        <w:tc>
          <w:tcPr>
            <w:tcW w:w="1216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6076F51A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0.25</w:t>
            </w:r>
          </w:p>
        </w:tc>
        <w:tc>
          <w:tcPr>
            <w:tcW w:w="1956" w:type="dxa"/>
            <w:tcBorders>
              <w:top w:val="dashSmallGap" w:sz="4" w:space="0" w:color="auto"/>
            </w:tcBorders>
            <w:vAlign w:val="center"/>
          </w:tcPr>
          <w:p w14:paraId="4EA5CF92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0.22</w:t>
            </w:r>
          </w:p>
        </w:tc>
        <w:tc>
          <w:tcPr>
            <w:tcW w:w="87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18E7CF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0.17</w:t>
            </w:r>
          </w:p>
        </w:tc>
      </w:tr>
      <w:tr w:rsidR="00E40EDF" w:rsidRPr="00374056" w14:paraId="19DD46B6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69DEE63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Ki67_homogeneity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53CF4892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0.75</w:t>
            </w:r>
          </w:p>
        </w:tc>
        <w:tc>
          <w:tcPr>
            <w:tcW w:w="1956" w:type="dxa"/>
            <w:vAlign w:val="center"/>
          </w:tcPr>
          <w:p w14:paraId="521FE580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0.10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CB43EE3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0.75</w:t>
            </w:r>
          </w:p>
        </w:tc>
      </w:tr>
      <w:tr w:rsidR="00E40EDF" w:rsidRPr="00374056" w14:paraId="2A35DD2C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8EE6917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Ki67_contrast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4D42814E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0.76</w:t>
            </w:r>
          </w:p>
        </w:tc>
        <w:tc>
          <w:tcPr>
            <w:tcW w:w="1956" w:type="dxa"/>
            <w:vAlign w:val="center"/>
          </w:tcPr>
          <w:p w14:paraId="0B676109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0.50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180245A1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0.65</w:t>
            </w:r>
          </w:p>
        </w:tc>
      </w:tr>
      <w:tr w:rsidR="00E40EDF" w:rsidRPr="00374056" w14:paraId="61038D4B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F72B6DA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Ki67_dissimilarity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EDDA92E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0.53</w:t>
            </w:r>
          </w:p>
        </w:tc>
        <w:tc>
          <w:tcPr>
            <w:tcW w:w="1956" w:type="dxa"/>
            <w:vAlign w:val="center"/>
          </w:tcPr>
          <w:p w14:paraId="38B0176A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0.25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567EFED8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0.53</w:t>
            </w:r>
          </w:p>
        </w:tc>
      </w:tr>
      <w:tr w:rsidR="00E40EDF" w:rsidRPr="00374056" w14:paraId="36F02D6E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0505481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Ki67_entropy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04C6C60A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2.91</w:t>
            </w:r>
          </w:p>
        </w:tc>
        <w:tc>
          <w:tcPr>
            <w:tcW w:w="1956" w:type="dxa"/>
            <w:vAlign w:val="center"/>
          </w:tcPr>
          <w:p w14:paraId="58A813B2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1.15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30877FE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3.02</w:t>
            </w:r>
          </w:p>
        </w:tc>
      </w:tr>
      <w:tr w:rsidR="00E40EDF" w:rsidRPr="00374056" w14:paraId="0FFC9F78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70BACDA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Ki67_AshD</w:t>
            </w:r>
          </w:p>
        </w:tc>
        <w:tc>
          <w:tcPr>
            <w:tcW w:w="1216" w:type="dxa"/>
            <w:tcBorders>
              <w:left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F30382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8.64</w:t>
            </w:r>
          </w:p>
        </w:tc>
        <w:tc>
          <w:tcPr>
            <w:tcW w:w="1956" w:type="dxa"/>
            <w:tcBorders>
              <w:bottom w:val="dashSmallGap" w:sz="4" w:space="0" w:color="auto"/>
            </w:tcBorders>
            <w:vAlign w:val="center"/>
          </w:tcPr>
          <w:p w14:paraId="66DA63A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23.33</w:t>
            </w:r>
          </w:p>
        </w:tc>
        <w:tc>
          <w:tcPr>
            <w:tcW w:w="873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2EA855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1.78</w:t>
            </w:r>
          </w:p>
        </w:tc>
      </w:tr>
      <w:tr w:rsidR="00E40EDF" w:rsidRPr="00374056" w14:paraId="1BD8A26A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97E8938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HER2_energy</w:t>
            </w:r>
          </w:p>
        </w:tc>
        <w:tc>
          <w:tcPr>
            <w:tcW w:w="1216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36632640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0.52</w:t>
            </w:r>
          </w:p>
        </w:tc>
        <w:tc>
          <w:tcPr>
            <w:tcW w:w="1956" w:type="dxa"/>
            <w:tcBorders>
              <w:top w:val="dashSmallGap" w:sz="4" w:space="0" w:color="auto"/>
            </w:tcBorders>
            <w:vAlign w:val="center"/>
          </w:tcPr>
          <w:p w14:paraId="14BF3739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0.36</w:t>
            </w:r>
          </w:p>
        </w:tc>
        <w:tc>
          <w:tcPr>
            <w:tcW w:w="87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B6549C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0.52</w:t>
            </w:r>
          </w:p>
        </w:tc>
      </w:tr>
      <w:tr w:rsidR="00E40EDF" w:rsidRPr="00374056" w14:paraId="032A865F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0DB89C2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HER2_homogeneity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140BBBB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0.83</w:t>
            </w:r>
          </w:p>
        </w:tc>
        <w:tc>
          <w:tcPr>
            <w:tcW w:w="1956" w:type="dxa"/>
            <w:vAlign w:val="center"/>
          </w:tcPr>
          <w:p w14:paraId="0B6ED020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0.16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5331146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0.87</w:t>
            </w:r>
          </w:p>
        </w:tc>
      </w:tr>
      <w:tr w:rsidR="00E40EDF" w:rsidRPr="00374056" w14:paraId="1A6162B3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171991F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HER2_contrast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4E0BECFD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0.81</w:t>
            </w:r>
          </w:p>
        </w:tc>
        <w:tc>
          <w:tcPr>
            <w:tcW w:w="1956" w:type="dxa"/>
            <w:vAlign w:val="center"/>
          </w:tcPr>
          <w:p w14:paraId="3A8F95A1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0.92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16C14A9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0.47</w:t>
            </w:r>
          </w:p>
        </w:tc>
      </w:tr>
      <w:tr w:rsidR="00E40EDF" w:rsidRPr="00374056" w14:paraId="2E0325B4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514358F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HER2_dissimilarity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3578233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0.41</w:t>
            </w:r>
          </w:p>
        </w:tc>
        <w:tc>
          <w:tcPr>
            <w:tcW w:w="1956" w:type="dxa"/>
            <w:vAlign w:val="center"/>
          </w:tcPr>
          <w:p w14:paraId="1F2A8A70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0.40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E0DAF19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0.29</w:t>
            </w:r>
          </w:p>
        </w:tc>
      </w:tr>
      <w:tr w:rsidR="00E40EDF" w:rsidRPr="00374056" w14:paraId="17D01D21" w14:textId="77777777" w:rsidTr="00374056">
        <w:trPr>
          <w:gridAfter w:val="1"/>
          <w:wAfter w:w="19" w:type="dxa"/>
          <w:trHeight w:val="251"/>
          <w:jc w:val="center"/>
        </w:trPr>
        <w:tc>
          <w:tcPr>
            <w:tcW w:w="411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9CA3924" w14:textId="77777777" w:rsidR="00E40EDF" w:rsidRPr="00374056" w:rsidRDefault="00E40EDF" w:rsidP="00E40EDF">
            <w:pPr>
              <w:pStyle w:val="NoSpacing"/>
              <w:ind w:firstLine="0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HER2_entropy</w:t>
            </w:r>
          </w:p>
        </w:tc>
        <w:tc>
          <w:tcPr>
            <w:tcW w:w="12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DFEF03E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2.17</w:t>
            </w:r>
          </w:p>
        </w:tc>
        <w:tc>
          <w:tcPr>
            <w:tcW w:w="1956" w:type="dxa"/>
            <w:vAlign w:val="center"/>
          </w:tcPr>
          <w:p w14:paraId="68537661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1.82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4F14AD1" w14:textId="77777777" w:rsidR="00E40EDF" w:rsidRPr="00374056" w:rsidRDefault="00E40EDF" w:rsidP="00E40EDF">
            <w:pPr>
              <w:pStyle w:val="NoSpacing"/>
              <w:ind w:firstLine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1.79</w:t>
            </w:r>
          </w:p>
        </w:tc>
      </w:tr>
      <w:tr w:rsidR="00E40EDF" w:rsidRPr="00374056" w14:paraId="4C303747" w14:textId="77777777" w:rsidTr="00374056">
        <w:trPr>
          <w:gridAfter w:val="1"/>
          <w:wAfter w:w="19" w:type="dxa"/>
          <w:trHeight w:val="267"/>
          <w:jc w:val="center"/>
        </w:trPr>
        <w:tc>
          <w:tcPr>
            <w:tcW w:w="4116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5FA2F5D" w14:textId="77777777" w:rsidR="00E40EDF" w:rsidRPr="00374056" w:rsidRDefault="00E40EDF" w:rsidP="00E40EDF">
            <w:pPr>
              <w:pStyle w:val="NoSpacing"/>
              <w:ind w:firstLine="0"/>
              <w:contextualSpacing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374056">
              <w:rPr>
                <w:rFonts w:cs="Times New Roman"/>
                <w:b/>
                <w:sz w:val="20"/>
                <w:szCs w:val="20"/>
              </w:rPr>
              <w:t>HER2_AshD</w:t>
            </w:r>
          </w:p>
        </w:tc>
        <w:tc>
          <w:tcPr>
            <w:tcW w:w="1216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7DB5B" w14:textId="77777777" w:rsidR="00E40EDF" w:rsidRPr="00374056" w:rsidRDefault="00E40EDF" w:rsidP="00E40EDF">
            <w:pPr>
              <w:pStyle w:val="NoSpacing"/>
              <w:ind w:firstLine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2.50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04A6DA00" w14:textId="77777777" w:rsidR="00E40EDF" w:rsidRPr="00374056" w:rsidRDefault="00E40EDF" w:rsidP="00E40EDF">
            <w:pPr>
              <w:pStyle w:val="NoSpacing"/>
              <w:ind w:firstLine="0"/>
              <w:contextualSpacing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cs="Times New Roman"/>
                <w:sz w:val="20"/>
                <w:szCs w:val="20"/>
              </w:rPr>
              <w:t>6.20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5DE5C" w14:textId="77777777" w:rsidR="00E40EDF" w:rsidRPr="00374056" w:rsidRDefault="00E40EDF" w:rsidP="00E40EDF">
            <w:pPr>
              <w:pStyle w:val="NoSpacing"/>
              <w:ind w:firstLine="0"/>
              <w:contextualSpacing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374056">
              <w:rPr>
                <w:rFonts w:eastAsiaTheme="minorEastAsia" w:cs="Times New Roman"/>
                <w:sz w:val="20"/>
                <w:szCs w:val="20"/>
              </w:rPr>
              <w:t>1.58</w:t>
            </w:r>
          </w:p>
        </w:tc>
      </w:tr>
    </w:tbl>
    <w:p w14:paraId="63CE43B8" w14:textId="3B6E843C" w:rsidR="00E40EDF" w:rsidRPr="00374056" w:rsidRDefault="00374056" w:rsidP="00741240">
      <w:pPr>
        <w:spacing w:line="240" w:lineRule="auto"/>
      </w:pPr>
      <w:bookmarkStart w:id="2" w:name="_Hlk142987032"/>
      <w:r w:rsidRPr="00374056">
        <w:rPr>
          <w:rFonts w:cs="Times New Roman"/>
          <w:szCs w:val="20"/>
        </w:rPr>
        <w:t>*</w:t>
      </w:r>
      <w:r w:rsidR="00C9777D" w:rsidRPr="00C9777D">
        <w:rPr>
          <w:rFonts w:cs="Times New Roman"/>
          <w:szCs w:val="20"/>
        </w:rPr>
        <w:t xml:space="preserve">HER2 status was determined by IHC and verified by a HER2 fluorescence </w:t>
      </w:r>
      <w:r w:rsidR="00C9777D" w:rsidRPr="00C9777D">
        <w:rPr>
          <w:rFonts w:cs="Times New Roman"/>
          <w:i/>
          <w:iCs/>
          <w:szCs w:val="20"/>
        </w:rPr>
        <w:t>in situ</w:t>
      </w:r>
      <w:r w:rsidR="00C9777D" w:rsidRPr="00C9777D">
        <w:rPr>
          <w:rFonts w:cs="Times New Roman"/>
          <w:szCs w:val="20"/>
        </w:rPr>
        <w:t xml:space="preserve"> hybridization test in IHC 2+ cases</w:t>
      </w:r>
      <w:r w:rsidR="004E27CF">
        <w:rPr>
          <w:rFonts w:cs="Times New Roman"/>
          <w:szCs w:val="20"/>
        </w:rPr>
        <w:t>; all cases were categorized as negative</w:t>
      </w:r>
      <w:r w:rsidRPr="00374056">
        <w:rPr>
          <w:rFonts w:cs="Times New Roman"/>
          <w:szCs w:val="20"/>
        </w:rPr>
        <w:t>.</w:t>
      </w:r>
      <w:r>
        <w:rPr>
          <w:rFonts w:cs="Times New Roman"/>
          <w:szCs w:val="20"/>
        </w:rPr>
        <w:t xml:space="preserve"> </w:t>
      </w:r>
      <w:bookmarkEnd w:id="2"/>
      <w:r w:rsidR="00E40EDF" w:rsidRPr="00741240">
        <w:rPr>
          <w:rFonts w:cs="Times New Roman"/>
          <w:szCs w:val="20"/>
        </w:rPr>
        <w:t>SD</w:t>
      </w:r>
      <w:r w:rsidR="00741240" w:rsidRPr="00741240">
        <w:rPr>
          <w:rFonts w:cs="Times New Roman"/>
          <w:szCs w:val="20"/>
        </w:rPr>
        <w:t>:</w:t>
      </w:r>
      <w:r w:rsidR="00E40EDF" w:rsidRPr="00741240">
        <w:rPr>
          <w:rFonts w:cs="Times New Roman"/>
          <w:szCs w:val="20"/>
        </w:rPr>
        <w:t xml:space="preserve"> standard deviation; AshD</w:t>
      </w:r>
      <w:r w:rsidR="00741240" w:rsidRPr="00741240">
        <w:rPr>
          <w:rFonts w:cs="Times New Roman"/>
          <w:szCs w:val="20"/>
        </w:rPr>
        <w:t>:</w:t>
      </w:r>
      <w:r w:rsidRPr="00741240">
        <w:rPr>
          <w:rFonts w:cs="Times New Roman"/>
          <w:szCs w:val="20"/>
        </w:rPr>
        <w:t xml:space="preserve"> </w:t>
      </w:r>
      <w:r w:rsidR="00E40EDF" w:rsidRPr="00741240">
        <w:rPr>
          <w:rFonts w:cs="Times New Roman"/>
          <w:szCs w:val="20"/>
        </w:rPr>
        <w:t>Ashman’s D; DIA</w:t>
      </w:r>
      <w:r w:rsidR="00741240" w:rsidRPr="00741240">
        <w:rPr>
          <w:rFonts w:cs="Times New Roman"/>
          <w:szCs w:val="20"/>
        </w:rPr>
        <w:t>:</w:t>
      </w:r>
      <w:r w:rsidRPr="00741240">
        <w:rPr>
          <w:rFonts w:cs="Times New Roman"/>
          <w:szCs w:val="20"/>
        </w:rPr>
        <w:t xml:space="preserve"> </w:t>
      </w:r>
      <w:r w:rsidR="00E40EDF" w:rsidRPr="00741240">
        <w:rPr>
          <w:rFonts w:cs="Times New Roman"/>
          <w:szCs w:val="20"/>
        </w:rPr>
        <w:t>digital image analysis</w:t>
      </w:r>
      <w:r w:rsidRPr="00741240">
        <w:rPr>
          <w:rFonts w:cs="Times New Roman"/>
          <w:szCs w:val="20"/>
        </w:rPr>
        <w:t>;</w:t>
      </w:r>
      <w:r w:rsidRPr="00741240">
        <w:rPr>
          <w:sz w:val="20"/>
          <w:szCs w:val="20"/>
        </w:rPr>
        <w:t xml:space="preserve"> </w:t>
      </w:r>
      <w:r w:rsidRPr="00741240">
        <w:rPr>
          <w:rFonts w:cs="Times New Roman"/>
          <w:color w:val="000000" w:themeColor="text1"/>
          <w:szCs w:val="20"/>
        </w:rPr>
        <w:t>ER</w:t>
      </w:r>
      <w:r w:rsidR="00741240" w:rsidRPr="00741240">
        <w:rPr>
          <w:rFonts w:cs="Times New Roman"/>
          <w:color w:val="000000" w:themeColor="text1"/>
          <w:szCs w:val="20"/>
        </w:rPr>
        <w:t>:</w:t>
      </w:r>
      <w:r w:rsidRPr="00741240">
        <w:rPr>
          <w:rFonts w:cs="Times New Roman"/>
          <w:color w:val="000000" w:themeColor="text1"/>
          <w:szCs w:val="20"/>
        </w:rPr>
        <w:t xml:space="preserve"> estrogen receptor; HER2</w:t>
      </w:r>
      <w:r w:rsidR="00741240" w:rsidRPr="00741240">
        <w:rPr>
          <w:rFonts w:cs="Times New Roman"/>
          <w:color w:val="000000" w:themeColor="text1"/>
          <w:szCs w:val="20"/>
        </w:rPr>
        <w:t>:</w:t>
      </w:r>
      <w:r w:rsidRPr="00741240">
        <w:rPr>
          <w:rFonts w:cs="Times New Roman"/>
          <w:color w:val="000000" w:themeColor="text1"/>
          <w:szCs w:val="20"/>
        </w:rPr>
        <w:t xml:space="preserve"> human epidermal growth factor receptor 2; PR</w:t>
      </w:r>
      <w:r w:rsidR="00741240" w:rsidRPr="00741240">
        <w:rPr>
          <w:rFonts w:cs="Times New Roman"/>
          <w:color w:val="000000" w:themeColor="text1"/>
          <w:szCs w:val="20"/>
        </w:rPr>
        <w:t>:</w:t>
      </w:r>
      <w:r w:rsidRPr="00741240">
        <w:rPr>
          <w:rFonts w:cs="Times New Roman"/>
          <w:color w:val="000000" w:themeColor="text1"/>
          <w:szCs w:val="20"/>
        </w:rPr>
        <w:t xml:space="preserve"> progesterone receptor; IHC</w:t>
      </w:r>
      <w:r w:rsidR="00741240" w:rsidRPr="00741240">
        <w:rPr>
          <w:rFonts w:cs="Times New Roman"/>
          <w:color w:val="000000" w:themeColor="text1"/>
          <w:szCs w:val="20"/>
        </w:rPr>
        <w:t>:</w:t>
      </w:r>
      <w:r w:rsidRPr="00741240">
        <w:rPr>
          <w:rFonts w:cs="Times New Roman"/>
          <w:color w:val="000000" w:themeColor="text1"/>
          <w:szCs w:val="20"/>
        </w:rPr>
        <w:t xml:space="preserve"> immunohistochemistry; ITH</w:t>
      </w:r>
      <w:r w:rsidR="00741240" w:rsidRPr="00741240">
        <w:rPr>
          <w:rFonts w:cs="Times New Roman"/>
          <w:color w:val="000000" w:themeColor="text1"/>
          <w:szCs w:val="20"/>
        </w:rPr>
        <w:t>:</w:t>
      </w:r>
      <w:r w:rsidRPr="00741240">
        <w:rPr>
          <w:rFonts w:cs="Times New Roman"/>
          <w:color w:val="000000" w:themeColor="text1"/>
          <w:szCs w:val="20"/>
        </w:rPr>
        <w:t xml:space="preserve"> intratumoural heterogeneity.</w:t>
      </w:r>
    </w:p>
    <w:p w14:paraId="22162B88" w14:textId="77777777" w:rsidR="008453E0" w:rsidRPr="00374056" w:rsidRDefault="008453E0" w:rsidP="00E40EDF"/>
    <w:sectPr w:rsidR="008453E0" w:rsidRPr="00374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xNDIxsTA1N7c0MbVU0lEKTi0uzszPAykwqgUA8qOwACwAAAA="/>
  </w:docVars>
  <w:rsids>
    <w:rsidRoot w:val="00E40EDF"/>
    <w:rsid w:val="000758C3"/>
    <w:rsid w:val="00374056"/>
    <w:rsid w:val="004E27CF"/>
    <w:rsid w:val="00741240"/>
    <w:rsid w:val="008453E0"/>
    <w:rsid w:val="00C9777D"/>
    <w:rsid w:val="00E40EDF"/>
    <w:rsid w:val="00EE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1C73"/>
  <w15:chartTrackingRefBased/>
  <w15:docId w15:val="{7C79A004-D209-4AF7-84F9-A1402EE5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EDF"/>
    <w:pPr>
      <w:spacing w:before="240" w:after="120" w:line="480" w:lineRule="auto"/>
      <w:jc w:val="both"/>
    </w:pPr>
    <w:rPr>
      <w:rFonts w:ascii="Times New Roman" w:hAnsi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40EDF"/>
    <w:pPr>
      <w:spacing w:after="200" w:line="240" w:lineRule="auto"/>
    </w:pPr>
    <w:rPr>
      <w:rFonts w:eastAsiaTheme="minorEastAsia"/>
      <w:b/>
      <w:bCs/>
      <w:color w:val="4472C4" w:themeColor="accent1"/>
      <w:sz w:val="20"/>
      <w:szCs w:val="18"/>
    </w:rPr>
  </w:style>
  <w:style w:type="table" w:styleId="TableGrid">
    <w:name w:val="Table Grid"/>
    <w:basedOn w:val="TableNormal"/>
    <w:uiPriority w:val="39"/>
    <w:rsid w:val="00E40EDF"/>
    <w:pPr>
      <w:spacing w:after="0" w:line="240" w:lineRule="auto"/>
      <w:ind w:firstLine="567"/>
      <w:jc w:val="both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0EDF"/>
    <w:pPr>
      <w:spacing w:after="0" w:line="240" w:lineRule="auto"/>
    </w:pPr>
    <w:rPr>
      <w:rFonts w:ascii="Times New Roman" w:hAnsi="Times New Roman"/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C9777D"/>
    <w:pPr>
      <w:spacing w:after="0" w:line="240" w:lineRule="auto"/>
    </w:pPr>
    <w:rPr>
      <w:rFonts w:ascii="Times New Roman" w:hAnsi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dovile.zilenaite</dc:creator>
  <cp:keywords/>
  <dc:description/>
  <cp:lastModifiedBy>dovile.zilenaite</cp:lastModifiedBy>
  <cp:revision>8</cp:revision>
  <dcterms:created xsi:type="dcterms:W3CDTF">2023-08-07T08:00:00Z</dcterms:created>
  <dcterms:modified xsi:type="dcterms:W3CDTF">2023-08-20T12:55:00Z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bdd0dad2-84b1-4f49-b845-4d9c99202e4d</vt:lpwstr>
  </property>
</Properties>
</file>