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3D020" w14:textId="77777777" w:rsidR="00833841" w:rsidRDefault="00833841" w:rsidP="00833841">
      <w:pPr>
        <w:widowControl w:val="0"/>
        <w:autoSpaceDE w:val="0"/>
        <w:autoSpaceDN w:val="0"/>
        <w:adjustRightInd w:val="0"/>
        <w:spacing w:line="240" w:lineRule="auto"/>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 xml:space="preserve">Attachment A: </w:t>
      </w:r>
    </w:p>
    <w:p w14:paraId="28044C52" w14:textId="77777777" w:rsidR="00833841" w:rsidRDefault="00833841" w:rsidP="00833841">
      <w:pPr>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br w:type="page"/>
      </w:r>
    </w:p>
    <w:p w14:paraId="47F0A075" w14:textId="77777777" w:rsidR="00833841" w:rsidRPr="00BE35AA" w:rsidRDefault="00833841" w:rsidP="00833841">
      <w:pPr>
        <w:widowControl w:val="0"/>
        <w:autoSpaceDE w:val="0"/>
        <w:autoSpaceDN w:val="0"/>
        <w:adjustRightInd w:val="0"/>
        <w:spacing w:line="240" w:lineRule="auto"/>
        <w:rPr>
          <w:rStyle w:val="Hyperlink"/>
          <w:rFonts w:ascii="Times New Roman" w:hAnsi="Times New Roman" w:cs="Times New Roman"/>
          <w:color w:val="auto"/>
          <w:sz w:val="20"/>
          <w:szCs w:val="20"/>
          <w:u w:val="none"/>
          <w:lang w:val="en-US"/>
        </w:rPr>
        <w:sectPr w:rsidR="00833841" w:rsidRPr="00BE35AA" w:rsidSect="000D02C3">
          <w:pgSz w:w="11906" w:h="16838" w:code="9"/>
          <w:pgMar w:top="1418" w:right="1418" w:bottom="1134" w:left="1418" w:header="709" w:footer="709" w:gutter="0"/>
          <w:cols w:space="708"/>
          <w:docGrid w:linePitch="360"/>
        </w:sectPr>
      </w:pPr>
    </w:p>
    <w:p w14:paraId="75488AF5" w14:textId="77777777" w:rsidR="00833841" w:rsidRPr="00BE35AA" w:rsidRDefault="00833841" w:rsidP="00833841">
      <w:pPr>
        <w:widowControl w:val="0"/>
        <w:autoSpaceDE w:val="0"/>
        <w:autoSpaceDN w:val="0"/>
        <w:adjustRightInd w:val="0"/>
        <w:spacing w:line="240" w:lineRule="auto"/>
        <w:rPr>
          <w:rStyle w:val="Hyperlink"/>
          <w:rFonts w:ascii="Times New Roman" w:hAnsi="Times New Roman" w:cs="Times New Roman"/>
          <w:color w:val="auto"/>
          <w:sz w:val="20"/>
          <w:szCs w:val="20"/>
          <w:u w:val="none"/>
          <w:lang w:val="en-US"/>
        </w:rPr>
      </w:pPr>
      <w:r>
        <w:rPr>
          <w:noProof/>
          <w:lang w:val="de-DE" w:eastAsia="de-DE"/>
        </w:rPr>
        <w:lastRenderedPageBreak/>
        <w:drawing>
          <wp:inline distT="0" distB="0" distL="0" distR="0" wp14:anchorId="39028039" wp14:editId="2FFDD004">
            <wp:extent cx="9071610" cy="428942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071610" cy="4289425"/>
                    </a:xfrm>
                    <a:prstGeom prst="rect">
                      <a:avLst/>
                    </a:prstGeom>
                  </pic:spPr>
                </pic:pic>
              </a:graphicData>
            </a:graphic>
          </wp:inline>
        </w:drawing>
      </w:r>
    </w:p>
    <w:p w14:paraId="7B07CCC4"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r w:rsidRPr="00E30E2C">
        <w:rPr>
          <w:rStyle w:val="Hyperlink"/>
          <w:rFonts w:ascii="Times New Roman" w:hAnsi="Times New Roman" w:cs="Times New Roman"/>
          <w:color w:val="auto"/>
          <w:sz w:val="20"/>
          <w:szCs w:val="20"/>
          <w:u w:val="none"/>
          <w:lang w:val="en-US"/>
        </w:rPr>
        <w:t xml:space="preserve">Fig. A1: Comparison for </w:t>
      </w:r>
      <w:r>
        <w:rPr>
          <w:rStyle w:val="Hyperlink"/>
          <w:rFonts w:ascii="Times New Roman" w:hAnsi="Times New Roman" w:cs="Times New Roman"/>
          <w:color w:val="auto"/>
          <w:sz w:val="20"/>
          <w:szCs w:val="20"/>
          <w:u w:val="none"/>
          <w:lang w:val="en-US"/>
        </w:rPr>
        <w:t>the NACA0012 airfoil. The fig.</w:t>
      </w:r>
      <w:r w:rsidRPr="00E30E2C">
        <w:rPr>
          <w:rStyle w:val="Hyperlink"/>
          <w:rFonts w:ascii="Times New Roman" w:hAnsi="Times New Roman" w:cs="Times New Roman"/>
          <w:color w:val="auto"/>
          <w:sz w:val="20"/>
          <w:szCs w:val="20"/>
          <w:u w:val="none"/>
          <w:lang w:val="en-US"/>
        </w:rPr>
        <w:t xml:space="preserve"> shows the comparison of the CFD simulation results (left column) and the predicted outcome of the</w:t>
      </w:r>
      <w:r>
        <w:rPr>
          <w:rStyle w:val="Hyperlink"/>
          <w:rFonts w:ascii="Times New Roman" w:hAnsi="Times New Roman" w:cs="Times New Roman"/>
          <w:color w:val="auto"/>
          <w:sz w:val="20"/>
          <w:szCs w:val="20"/>
          <w:u w:val="none"/>
          <w:lang w:val="en-US"/>
        </w:rPr>
        <w:t xml:space="preserve"> </w:t>
      </w:r>
      <w:r w:rsidRPr="00E30E2C">
        <w:rPr>
          <w:rStyle w:val="Hyperlink"/>
          <w:rFonts w:ascii="Times New Roman" w:hAnsi="Times New Roman" w:cs="Times New Roman"/>
          <w:color w:val="auto"/>
          <w:sz w:val="20"/>
          <w:szCs w:val="20"/>
          <w:u w:val="none"/>
          <w:lang w:val="en-US"/>
        </w:rPr>
        <w:t xml:space="preserve">CNN (middle column) for the flow velocity fields in </w:t>
      </w:r>
      <w:r>
        <w:rPr>
          <w:rStyle w:val="Hyperlink"/>
          <w:rFonts w:ascii="Times New Roman" w:hAnsi="Times New Roman" w:cs="Times New Roman"/>
          <w:color w:val="auto"/>
          <w:sz w:val="20"/>
          <w:szCs w:val="20"/>
          <w:u w:val="none"/>
          <w:lang w:val="en-US"/>
        </w:rPr>
        <w:t xml:space="preserve">the </w:t>
      </w:r>
      <w:r w:rsidRPr="00E30E2C">
        <w:rPr>
          <w:rStyle w:val="Hyperlink"/>
          <w:rFonts w:ascii="Times New Roman" w:hAnsi="Times New Roman" w:cs="Times New Roman"/>
          <w:color w:val="auto"/>
          <w:sz w:val="20"/>
          <w:szCs w:val="20"/>
          <w:u w:val="none"/>
          <w:lang w:val="en-US"/>
        </w:rPr>
        <w:t xml:space="preserve">x-direction (Ux, top row), </w:t>
      </w:r>
      <w:r>
        <w:rPr>
          <w:rStyle w:val="Hyperlink"/>
          <w:rFonts w:ascii="Times New Roman" w:hAnsi="Times New Roman" w:cs="Times New Roman"/>
          <w:color w:val="auto"/>
          <w:sz w:val="20"/>
          <w:szCs w:val="20"/>
          <w:u w:val="none"/>
          <w:lang w:val="en-US"/>
        </w:rPr>
        <w:t xml:space="preserve">the </w:t>
      </w:r>
      <w:r w:rsidRPr="00E30E2C">
        <w:rPr>
          <w:rStyle w:val="Hyperlink"/>
          <w:rFonts w:ascii="Times New Roman" w:hAnsi="Times New Roman" w:cs="Times New Roman"/>
          <w:color w:val="auto"/>
          <w:sz w:val="20"/>
          <w:szCs w:val="20"/>
          <w:u w:val="none"/>
          <w:lang w:val="en-US"/>
        </w:rPr>
        <w:t>y-direction (Uy, middle row)</w:t>
      </w:r>
      <w:r>
        <w:rPr>
          <w:rStyle w:val="Hyperlink"/>
          <w:rFonts w:ascii="Times New Roman" w:hAnsi="Times New Roman" w:cs="Times New Roman"/>
          <w:color w:val="auto"/>
          <w:sz w:val="20"/>
          <w:szCs w:val="20"/>
          <w:u w:val="none"/>
          <w:lang w:val="en-US"/>
        </w:rPr>
        <w:t>,</w:t>
      </w:r>
      <w:r w:rsidRPr="00E30E2C">
        <w:rPr>
          <w:rStyle w:val="Hyperlink"/>
          <w:rFonts w:ascii="Times New Roman" w:hAnsi="Times New Roman" w:cs="Times New Roman"/>
          <w:color w:val="auto"/>
          <w:sz w:val="20"/>
          <w:szCs w:val="20"/>
          <w:u w:val="none"/>
          <w:lang w:val="en-US"/>
        </w:rPr>
        <w:t xml:space="preserve"> and the pressure field (p, bottom row). The</w:t>
      </w:r>
      <w:r>
        <w:rPr>
          <w:rStyle w:val="Hyperlink"/>
          <w:rFonts w:ascii="Times New Roman" w:hAnsi="Times New Roman" w:cs="Times New Roman"/>
          <w:color w:val="auto"/>
          <w:sz w:val="20"/>
          <w:szCs w:val="20"/>
          <w:u w:val="none"/>
          <w:lang w:val="en-US"/>
        </w:rPr>
        <w:t xml:space="preserve"> </w:t>
      </w:r>
      <w:r w:rsidRPr="00E30E2C">
        <w:rPr>
          <w:rStyle w:val="Hyperlink"/>
          <w:rFonts w:ascii="Times New Roman" w:hAnsi="Times New Roman" w:cs="Times New Roman"/>
          <w:color w:val="auto"/>
          <w:sz w:val="20"/>
          <w:szCs w:val="20"/>
          <w:u w:val="none"/>
          <w:lang w:val="en-US"/>
        </w:rPr>
        <w:t>right column shows the MAE between the CFD simulation and the CNN prediction. The CNN predi</w:t>
      </w:r>
      <w:r>
        <w:rPr>
          <w:rStyle w:val="Hyperlink"/>
          <w:rFonts w:ascii="Times New Roman" w:hAnsi="Times New Roman" w:cs="Times New Roman"/>
          <w:color w:val="auto"/>
          <w:sz w:val="20"/>
          <w:szCs w:val="20"/>
          <w:u w:val="none"/>
          <w:lang w:val="en-US"/>
        </w:rPr>
        <w:t>ctions were attained by a model</w:t>
      </w:r>
      <w:r w:rsidRPr="00E30E2C">
        <w:rPr>
          <w:rStyle w:val="Hyperlink"/>
          <w:rFonts w:ascii="Times New Roman" w:hAnsi="Times New Roman" w:cs="Times New Roman"/>
          <w:color w:val="auto"/>
          <w:sz w:val="20"/>
          <w:szCs w:val="20"/>
          <w:u w:val="none"/>
          <w:lang w:val="en-US"/>
        </w:rPr>
        <w:t xml:space="preserve"> trained with 763</w:t>
      </w:r>
      <w:r>
        <w:rPr>
          <w:rStyle w:val="Hyperlink"/>
          <w:rFonts w:ascii="Times New Roman" w:hAnsi="Times New Roman" w:cs="Times New Roman"/>
          <w:color w:val="auto"/>
          <w:sz w:val="20"/>
          <w:szCs w:val="20"/>
          <w:u w:val="none"/>
          <w:lang w:val="en-US"/>
        </w:rPr>
        <w:t xml:space="preserve"> </w:t>
      </w:r>
      <w:r w:rsidRPr="00E30E2C">
        <w:rPr>
          <w:rStyle w:val="Hyperlink"/>
          <w:rFonts w:ascii="Times New Roman" w:hAnsi="Times New Roman" w:cs="Times New Roman"/>
          <w:color w:val="auto"/>
          <w:sz w:val="20"/>
          <w:szCs w:val="20"/>
          <w:u w:val="none"/>
          <w:lang w:val="en-US"/>
        </w:rPr>
        <w:t>samples</w:t>
      </w:r>
      <w:r>
        <w:rPr>
          <w:rStyle w:val="Hyperlink"/>
          <w:rFonts w:ascii="Times New Roman" w:hAnsi="Times New Roman" w:cs="Times New Roman"/>
          <w:color w:val="auto"/>
          <w:sz w:val="20"/>
          <w:szCs w:val="20"/>
          <w:u w:val="none"/>
          <w:lang w:val="en-US"/>
        </w:rPr>
        <w:t xml:space="preserve">. Taken from </w:t>
      </w:r>
      <w:r>
        <w:rPr>
          <w:rStyle w:val="Hyperlink"/>
          <w:rFonts w:ascii="Times New Roman" w:hAnsi="Times New Roman" w:cs="Times New Roman"/>
          <w:color w:val="auto"/>
          <w:sz w:val="20"/>
          <w:szCs w:val="20"/>
          <w:u w:val="none"/>
          <w:lang w:val="en-US"/>
        </w:rPr>
        <w:fldChar w:fldCharType="begin" w:fldLock="1"/>
      </w:r>
      <w:r>
        <w:rPr>
          <w:rStyle w:val="Hyperlink"/>
          <w:rFonts w:ascii="Times New Roman" w:hAnsi="Times New Roman" w:cs="Times New Roman"/>
          <w:color w:val="auto"/>
          <w:sz w:val="20"/>
          <w:szCs w:val="20"/>
          <w:u w:val="none"/>
          <w:lang w:val="en-US"/>
        </w:rPr>
        <w:instrText>ADDIN CSL_CITATION {"citationItems":[{"id":"ITEM-1","itemData":{"abstract":"In this work, an established convolutiononal neural network (CNN) from the work of Ribeiro et al. is used as a surrogate model to predict 2D air flow streams. The main objectives of the present work are twofold: first, to develop the turbulent flow prediction capabilities of the CNN, and second, to evaluate the networks predictions by comparing them to traditional computational fluid dynamic (CFD) simulations and experimental particle image velocimetry (PIV) measurements. To achieve the latter, the predicted velocity vector field of the network, the results of a traditional 2D CFD and the results of a 2D/2C PIV measurement are utilized for comparison. The evaluation focuses on two test cases: the NACA0012 airfoil at an angle of attack (AoA) of 10° and the NACA6412 airfoil at an AoA of 0°. Both airfoils were inspected when operating at a free stream velocity of 10ms?1, resulting in a Reynolds number (Re) of 82,200. A major benefit of using CNNs for flow stream predictions lies in its ability to significantly reduce computation time. This may be especially valuable for real-time analysis or aerodynamic design, where fast calculations are essential. At first, a simulation of the flow past the NACA0012 airfoil was conducted. The outcome was utilized for the final comparison and to verify the process of the later simulations during the data generation. A grid convergence study was conducted to determine the optimal number of mesh elements, so that the lift coefficient is independent of the mesh elements. Additionally, three different Reynolds-Averaged Navier-Stokes (RANS) turbulence models (realizable/standard (k-e), k-w (SST), and Spalart-Allmaras) were analyzed to find the model, that is most suitable to fit the PIV measurements. For the NACA6412 profile, a additional PIV measurement was carried out whereas for the NACA0012 airfoil existent measurements of Adataro et al. were utilized. To predict the flow field around the unseen NACA-airfoils via the CNN of Ribeiro et al., the network was enabled to predict turbulent flows instead of its original purpose of laminar flow prediction. To achieve this, a set of training samples was generated, where turbulent flows around different types of primitives were used to train the network. Eight types of primitives were included in the primitive training set, covering circles, rectangles, isosceles triangles, scalene triangles, ellipses, rounded rectangles, pie-slices, and chordslices. To investigate the impact of the…","author":[{"dropping-particle":"","family":"Raffeiner","given":"Patrik","non-dropping-particle":"","parse-names":false,"suffix":""}],"id":"ITEM-1","issued":{"date-parts":[["2023"]]},"number-of-pages":"54","title":"Prediction of 2D aerodynamic flow fields on the example of a NACA0012 airfoil - A comparison of experimental data, CFD simulations and CNN predictions","type":"report"},"uris":["http://www.mendeley.com/documents/?uuid=f7611ba9-1c61-4b6e-a717-7abba74a80cc"]}],"mendeley":{"formattedCitation":"[16]","plainTextFormattedCitation":"[16]","previouslyFormattedCitation":"[16]"},"properties":{"noteIndex":0},"schema":"https://github.com/citation-style-language/schema/raw/master/csl-citation.json"}</w:instrText>
      </w:r>
      <w:r>
        <w:rPr>
          <w:rStyle w:val="Hyperlink"/>
          <w:rFonts w:ascii="Times New Roman" w:hAnsi="Times New Roman" w:cs="Times New Roman"/>
          <w:color w:val="auto"/>
          <w:sz w:val="20"/>
          <w:szCs w:val="20"/>
          <w:u w:val="none"/>
          <w:lang w:val="en-US"/>
        </w:rPr>
        <w:fldChar w:fldCharType="separate"/>
      </w:r>
      <w:r w:rsidRPr="00847687">
        <w:rPr>
          <w:rStyle w:val="Hyperlink"/>
          <w:rFonts w:ascii="Times New Roman" w:hAnsi="Times New Roman" w:cs="Times New Roman"/>
          <w:noProof/>
          <w:color w:val="auto"/>
          <w:sz w:val="20"/>
          <w:szCs w:val="20"/>
          <w:u w:val="none"/>
          <w:lang w:val="en-US"/>
        </w:rPr>
        <w:t>[16]</w:t>
      </w:r>
      <w:r>
        <w:rPr>
          <w:rStyle w:val="Hyperlink"/>
          <w:rFonts w:ascii="Times New Roman" w:hAnsi="Times New Roman" w:cs="Times New Roman"/>
          <w:color w:val="auto"/>
          <w:sz w:val="20"/>
          <w:szCs w:val="20"/>
          <w:u w:val="none"/>
          <w:lang w:val="en-US"/>
        </w:rPr>
        <w:fldChar w:fldCharType="end"/>
      </w:r>
      <w:r w:rsidRPr="00E30E2C">
        <w:rPr>
          <w:rStyle w:val="Hyperlink"/>
          <w:rFonts w:ascii="Times New Roman" w:hAnsi="Times New Roman" w:cs="Times New Roman"/>
          <w:color w:val="auto"/>
          <w:sz w:val="20"/>
          <w:szCs w:val="20"/>
          <w:u w:val="none"/>
          <w:lang w:val="en-US"/>
        </w:rPr>
        <w:t>.</w:t>
      </w:r>
    </w:p>
    <w:p w14:paraId="75476D77"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p>
    <w:p w14:paraId="503F6E95"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r>
        <w:rPr>
          <w:noProof/>
          <w:lang w:val="de-DE" w:eastAsia="de-DE"/>
        </w:rPr>
        <w:lastRenderedPageBreak/>
        <w:drawing>
          <wp:inline distT="0" distB="0" distL="0" distR="0" wp14:anchorId="372203F8" wp14:editId="2EFF04C1">
            <wp:extent cx="9071610" cy="43275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071610" cy="4327525"/>
                    </a:xfrm>
                    <a:prstGeom prst="rect">
                      <a:avLst/>
                    </a:prstGeom>
                  </pic:spPr>
                </pic:pic>
              </a:graphicData>
            </a:graphic>
          </wp:inline>
        </w:drawing>
      </w:r>
    </w:p>
    <w:p w14:paraId="2C8229D0"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r w:rsidRPr="00E30E2C">
        <w:rPr>
          <w:rStyle w:val="Hyperlink"/>
          <w:rFonts w:ascii="Times New Roman" w:hAnsi="Times New Roman" w:cs="Times New Roman"/>
          <w:color w:val="auto"/>
          <w:sz w:val="20"/>
          <w:szCs w:val="20"/>
          <w:u w:val="none"/>
          <w:lang w:val="en-US"/>
        </w:rPr>
        <w:t>Fig. A</w:t>
      </w:r>
      <w:r>
        <w:rPr>
          <w:rStyle w:val="Hyperlink"/>
          <w:rFonts w:ascii="Times New Roman" w:hAnsi="Times New Roman" w:cs="Times New Roman"/>
          <w:color w:val="auto"/>
          <w:sz w:val="20"/>
          <w:szCs w:val="20"/>
          <w:u w:val="none"/>
          <w:lang w:val="en-US"/>
        </w:rPr>
        <w:t>2</w:t>
      </w:r>
      <w:r w:rsidRPr="00E30E2C">
        <w:rPr>
          <w:rStyle w:val="Hyperlink"/>
          <w:rFonts w:ascii="Times New Roman" w:hAnsi="Times New Roman" w:cs="Times New Roman"/>
          <w:color w:val="auto"/>
          <w:sz w:val="20"/>
          <w:szCs w:val="20"/>
          <w:u w:val="none"/>
          <w:lang w:val="en-US"/>
        </w:rPr>
        <w:t xml:space="preserve">: Comparison for </w:t>
      </w:r>
      <w:r>
        <w:rPr>
          <w:rStyle w:val="Hyperlink"/>
          <w:rFonts w:ascii="Times New Roman" w:hAnsi="Times New Roman" w:cs="Times New Roman"/>
          <w:color w:val="auto"/>
          <w:sz w:val="20"/>
          <w:szCs w:val="20"/>
          <w:u w:val="none"/>
          <w:lang w:val="en-US"/>
        </w:rPr>
        <w:t>the NACA0012 airfoil. The fig.</w:t>
      </w:r>
      <w:r w:rsidRPr="00E30E2C">
        <w:rPr>
          <w:rStyle w:val="Hyperlink"/>
          <w:rFonts w:ascii="Times New Roman" w:hAnsi="Times New Roman" w:cs="Times New Roman"/>
          <w:color w:val="auto"/>
          <w:sz w:val="20"/>
          <w:szCs w:val="20"/>
          <w:u w:val="none"/>
          <w:lang w:val="en-US"/>
        </w:rPr>
        <w:t xml:space="preserve"> shows the comparison of the CFD simulation results (left column) and the predicted outcome of the</w:t>
      </w:r>
      <w:r>
        <w:rPr>
          <w:rStyle w:val="Hyperlink"/>
          <w:rFonts w:ascii="Times New Roman" w:hAnsi="Times New Roman" w:cs="Times New Roman"/>
          <w:color w:val="auto"/>
          <w:sz w:val="20"/>
          <w:szCs w:val="20"/>
          <w:u w:val="none"/>
          <w:lang w:val="en-US"/>
        </w:rPr>
        <w:t xml:space="preserve"> </w:t>
      </w:r>
      <w:r w:rsidRPr="00E30E2C">
        <w:rPr>
          <w:rStyle w:val="Hyperlink"/>
          <w:rFonts w:ascii="Times New Roman" w:hAnsi="Times New Roman" w:cs="Times New Roman"/>
          <w:color w:val="auto"/>
          <w:sz w:val="20"/>
          <w:szCs w:val="20"/>
          <w:u w:val="none"/>
          <w:lang w:val="en-US"/>
        </w:rPr>
        <w:t>CNN (middle column) for the flow velocity fields in</w:t>
      </w:r>
      <w:r>
        <w:rPr>
          <w:rStyle w:val="Hyperlink"/>
          <w:rFonts w:ascii="Times New Roman" w:hAnsi="Times New Roman" w:cs="Times New Roman"/>
          <w:color w:val="auto"/>
          <w:sz w:val="20"/>
          <w:szCs w:val="20"/>
          <w:u w:val="none"/>
          <w:lang w:val="en-US"/>
        </w:rPr>
        <w:t xml:space="preserve"> the</w:t>
      </w:r>
      <w:r w:rsidRPr="00E30E2C">
        <w:rPr>
          <w:rStyle w:val="Hyperlink"/>
          <w:rFonts w:ascii="Times New Roman" w:hAnsi="Times New Roman" w:cs="Times New Roman"/>
          <w:color w:val="auto"/>
          <w:sz w:val="20"/>
          <w:szCs w:val="20"/>
          <w:u w:val="none"/>
          <w:lang w:val="en-US"/>
        </w:rPr>
        <w:t xml:space="preserve"> x-direction (Ux, top row), </w:t>
      </w:r>
      <w:r>
        <w:rPr>
          <w:rStyle w:val="Hyperlink"/>
          <w:rFonts w:ascii="Times New Roman" w:hAnsi="Times New Roman" w:cs="Times New Roman"/>
          <w:color w:val="auto"/>
          <w:sz w:val="20"/>
          <w:szCs w:val="20"/>
          <w:u w:val="none"/>
          <w:lang w:val="en-US"/>
        </w:rPr>
        <w:t xml:space="preserve">the </w:t>
      </w:r>
      <w:r w:rsidRPr="00E30E2C">
        <w:rPr>
          <w:rStyle w:val="Hyperlink"/>
          <w:rFonts w:ascii="Times New Roman" w:hAnsi="Times New Roman" w:cs="Times New Roman"/>
          <w:color w:val="auto"/>
          <w:sz w:val="20"/>
          <w:szCs w:val="20"/>
          <w:u w:val="none"/>
          <w:lang w:val="en-US"/>
        </w:rPr>
        <w:t>y-direction (Uy, middle row)</w:t>
      </w:r>
      <w:r>
        <w:rPr>
          <w:rStyle w:val="Hyperlink"/>
          <w:rFonts w:ascii="Times New Roman" w:hAnsi="Times New Roman" w:cs="Times New Roman"/>
          <w:color w:val="auto"/>
          <w:sz w:val="20"/>
          <w:szCs w:val="20"/>
          <w:u w:val="none"/>
          <w:lang w:val="en-US"/>
        </w:rPr>
        <w:t>,</w:t>
      </w:r>
      <w:r w:rsidRPr="00E30E2C">
        <w:rPr>
          <w:rStyle w:val="Hyperlink"/>
          <w:rFonts w:ascii="Times New Roman" w:hAnsi="Times New Roman" w:cs="Times New Roman"/>
          <w:color w:val="auto"/>
          <w:sz w:val="20"/>
          <w:szCs w:val="20"/>
          <w:u w:val="none"/>
          <w:lang w:val="en-US"/>
        </w:rPr>
        <w:t xml:space="preserve"> and the pressure field (p, bottom row). The</w:t>
      </w:r>
      <w:r>
        <w:rPr>
          <w:rStyle w:val="Hyperlink"/>
          <w:rFonts w:ascii="Times New Roman" w:hAnsi="Times New Roman" w:cs="Times New Roman"/>
          <w:color w:val="auto"/>
          <w:sz w:val="20"/>
          <w:szCs w:val="20"/>
          <w:u w:val="none"/>
          <w:lang w:val="en-US"/>
        </w:rPr>
        <w:t xml:space="preserve"> </w:t>
      </w:r>
      <w:r w:rsidRPr="00E30E2C">
        <w:rPr>
          <w:rStyle w:val="Hyperlink"/>
          <w:rFonts w:ascii="Times New Roman" w:hAnsi="Times New Roman" w:cs="Times New Roman"/>
          <w:color w:val="auto"/>
          <w:sz w:val="20"/>
          <w:szCs w:val="20"/>
          <w:u w:val="none"/>
          <w:lang w:val="en-US"/>
        </w:rPr>
        <w:t>right column shows the MAE between the CFD simulation and the CNN prediction. The CNN predi</w:t>
      </w:r>
      <w:r>
        <w:rPr>
          <w:rStyle w:val="Hyperlink"/>
          <w:rFonts w:ascii="Times New Roman" w:hAnsi="Times New Roman" w:cs="Times New Roman"/>
          <w:color w:val="auto"/>
          <w:sz w:val="20"/>
          <w:szCs w:val="20"/>
          <w:u w:val="none"/>
          <w:lang w:val="en-US"/>
        </w:rPr>
        <w:t>ctions were attained by a model</w:t>
      </w:r>
      <w:r w:rsidRPr="00E30E2C">
        <w:rPr>
          <w:rStyle w:val="Hyperlink"/>
          <w:rFonts w:ascii="Times New Roman" w:hAnsi="Times New Roman" w:cs="Times New Roman"/>
          <w:color w:val="auto"/>
          <w:sz w:val="20"/>
          <w:szCs w:val="20"/>
          <w:u w:val="none"/>
          <w:lang w:val="en-US"/>
        </w:rPr>
        <w:t xml:space="preserve"> trained with </w:t>
      </w:r>
      <w:r>
        <w:rPr>
          <w:rStyle w:val="Hyperlink"/>
          <w:rFonts w:ascii="Times New Roman" w:hAnsi="Times New Roman" w:cs="Times New Roman"/>
          <w:color w:val="auto"/>
          <w:sz w:val="20"/>
          <w:szCs w:val="20"/>
          <w:u w:val="none"/>
          <w:lang w:val="en-US"/>
        </w:rPr>
        <w:t xml:space="preserve">2585 </w:t>
      </w:r>
      <w:r w:rsidRPr="00E30E2C">
        <w:rPr>
          <w:rStyle w:val="Hyperlink"/>
          <w:rFonts w:ascii="Times New Roman" w:hAnsi="Times New Roman" w:cs="Times New Roman"/>
          <w:color w:val="auto"/>
          <w:sz w:val="20"/>
          <w:szCs w:val="20"/>
          <w:u w:val="none"/>
          <w:lang w:val="en-US"/>
        </w:rPr>
        <w:t>samples.</w:t>
      </w:r>
      <w:r>
        <w:rPr>
          <w:rStyle w:val="Hyperlink"/>
          <w:rFonts w:ascii="Times New Roman" w:hAnsi="Times New Roman" w:cs="Times New Roman"/>
          <w:color w:val="auto"/>
          <w:sz w:val="20"/>
          <w:szCs w:val="20"/>
          <w:u w:val="none"/>
          <w:lang w:val="en-US"/>
        </w:rPr>
        <w:t xml:space="preserve"> Taken from </w:t>
      </w:r>
      <w:r>
        <w:rPr>
          <w:rStyle w:val="Hyperlink"/>
          <w:rFonts w:ascii="Times New Roman" w:hAnsi="Times New Roman" w:cs="Times New Roman"/>
          <w:color w:val="auto"/>
          <w:sz w:val="20"/>
          <w:szCs w:val="20"/>
          <w:u w:val="none"/>
          <w:lang w:val="en-US"/>
        </w:rPr>
        <w:fldChar w:fldCharType="begin" w:fldLock="1"/>
      </w:r>
      <w:r>
        <w:rPr>
          <w:rStyle w:val="Hyperlink"/>
          <w:rFonts w:ascii="Times New Roman" w:hAnsi="Times New Roman" w:cs="Times New Roman"/>
          <w:color w:val="auto"/>
          <w:sz w:val="20"/>
          <w:szCs w:val="20"/>
          <w:u w:val="none"/>
          <w:lang w:val="en-US"/>
        </w:rPr>
        <w:instrText>ADDIN CSL_CITATION {"citationItems":[{"id":"ITEM-1","itemData":{"abstract":"In this work, an established convolutiononal neural network (CNN) from the work of Ribeiro et al. is used as a surrogate model to predict 2D air flow streams. The main objectives of the present work are twofold: first, to develop the turbulent flow prediction capabilities of the CNN, and second, to evaluate the networks predictions by comparing them to traditional computational fluid dynamic (CFD) simulations and experimental particle image velocimetry (PIV) measurements. To achieve the latter, the predicted velocity vector field of the network, the results of a traditional 2D CFD and the results of a 2D/2C PIV measurement are utilized for comparison. The evaluation focuses on two test cases: the NACA0012 airfoil at an angle of attack (AoA) of 10° and the NACA6412 airfoil at an AoA of 0°. Both airfoils were inspected when operating at a free stream velocity of 10ms?1, resulting in a Reynolds number (Re) of 82,200. A major benefit of using CNNs for flow stream predictions lies in its ability to significantly reduce computation time. This may be especially valuable for real-time analysis or aerodynamic design, where fast calculations are essential. At first, a simulation of the flow past the NACA0012 airfoil was conducted. The outcome was utilized for the final comparison and to verify the process of the later simulations during the data generation. A grid convergence study was conducted to determine the optimal number of mesh elements, so that the lift coefficient is independent of the mesh elements. Additionally, three different Reynolds-Averaged Navier-Stokes (RANS) turbulence models (realizable/standard (k-e), k-w (SST), and Spalart-Allmaras) were analyzed to find the model, that is most suitable to fit the PIV measurements. For the NACA6412 profile, a additional PIV measurement was carried out whereas for the NACA0012 airfoil existent measurements of Adataro et al. were utilized. To predict the flow field around the unseen NACA-airfoils via the CNN of Ribeiro et al., the network was enabled to predict turbulent flows instead of its original purpose of laminar flow prediction. To achieve this, a set of training samples was generated, where turbulent flows around different types of primitives were used to train the network. Eight types of primitives were included in the primitive training set, covering circles, rectangles, isosceles triangles, scalene triangles, ellipses, rounded rectangles, pie-slices, and chordslices. To investigate the impact of the…","author":[{"dropping-particle":"","family":"Raffeiner","given":"Patrik","non-dropping-particle":"","parse-names":false,"suffix":""}],"id":"ITEM-1","issued":{"date-parts":[["2023"]]},"number-of-pages":"54","title":"Prediction of 2D aerodynamic flow fields on the example of a NACA0012 airfoil - A comparison of experimental data, CFD simulations and CNN predictions","type":"report"},"uris":["http://www.mendeley.com/documents/?uuid=f7611ba9-1c61-4b6e-a717-7abba74a80cc"]}],"mendeley":{"formattedCitation":"[16]","plainTextFormattedCitation":"[16]","previouslyFormattedCitation":"[16]"},"properties":{"noteIndex":0},"schema":"https://github.com/citation-style-language/schema/raw/master/csl-citation.json"}</w:instrText>
      </w:r>
      <w:r>
        <w:rPr>
          <w:rStyle w:val="Hyperlink"/>
          <w:rFonts w:ascii="Times New Roman" w:hAnsi="Times New Roman" w:cs="Times New Roman"/>
          <w:color w:val="auto"/>
          <w:sz w:val="20"/>
          <w:szCs w:val="20"/>
          <w:u w:val="none"/>
          <w:lang w:val="en-US"/>
        </w:rPr>
        <w:fldChar w:fldCharType="separate"/>
      </w:r>
      <w:r w:rsidRPr="00847687">
        <w:rPr>
          <w:rStyle w:val="Hyperlink"/>
          <w:rFonts w:ascii="Times New Roman" w:hAnsi="Times New Roman" w:cs="Times New Roman"/>
          <w:noProof/>
          <w:color w:val="auto"/>
          <w:sz w:val="20"/>
          <w:szCs w:val="20"/>
          <w:u w:val="none"/>
          <w:lang w:val="en-US"/>
        </w:rPr>
        <w:t>[16]</w:t>
      </w:r>
      <w:r>
        <w:rPr>
          <w:rStyle w:val="Hyperlink"/>
          <w:rFonts w:ascii="Times New Roman" w:hAnsi="Times New Roman" w:cs="Times New Roman"/>
          <w:color w:val="auto"/>
          <w:sz w:val="20"/>
          <w:szCs w:val="20"/>
          <w:u w:val="none"/>
          <w:lang w:val="en-US"/>
        </w:rPr>
        <w:fldChar w:fldCharType="end"/>
      </w:r>
    </w:p>
    <w:p w14:paraId="188AE8AE"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p>
    <w:p w14:paraId="240D2611"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r>
        <w:rPr>
          <w:noProof/>
          <w:lang w:val="de-DE" w:eastAsia="de-DE"/>
        </w:rPr>
        <w:lastRenderedPageBreak/>
        <w:drawing>
          <wp:inline distT="0" distB="0" distL="0" distR="0" wp14:anchorId="08663AC8" wp14:editId="54E9B5E4">
            <wp:extent cx="9071610" cy="43643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071610" cy="4364355"/>
                    </a:xfrm>
                    <a:prstGeom prst="rect">
                      <a:avLst/>
                    </a:prstGeom>
                  </pic:spPr>
                </pic:pic>
              </a:graphicData>
            </a:graphic>
          </wp:inline>
        </w:drawing>
      </w:r>
    </w:p>
    <w:p w14:paraId="277A1F43"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r w:rsidRPr="00E30E2C">
        <w:rPr>
          <w:rStyle w:val="Hyperlink"/>
          <w:rFonts w:ascii="Times New Roman" w:hAnsi="Times New Roman" w:cs="Times New Roman"/>
          <w:color w:val="auto"/>
          <w:sz w:val="20"/>
          <w:szCs w:val="20"/>
          <w:u w:val="none"/>
          <w:lang w:val="en-US"/>
        </w:rPr>
        <w:t>Fig. A</w:t>
      </w:r>
      <w:r>
        <w:rPr>
          <w:rStyle w:val="Hyperlink"/>
          <w:rFonts w:ascii="Times New Roman" w:hAnsi="Times New Roman" w:cs="Times New Roman"/>
          <w:color w:val="auto"/>
          <w:sz w:val="20"/>
          <w:szCs w:val="20"/>
          <w:u w:val="none"/>
          <w:lang w:val="en-US"/>
        </w:rPr>
        <w:t>3</w:t>
      </w:r>
      <w:r w:rsidRPr="00E30E2C">
        <w:rPr>
          <w:rStyle w:val="Hyperlink"/>
          <w:rFonts w:ascii="Times New Roman" w:hAnsi="Times New Roman" w:cs="Times New Roman"/>
          <w:color w:val="auto"/>
          <w:sz w:val="20"/>
          <w:szCs w:val="20"/>
          <w:u w:val="none"/>
          <w:lang w:val="en-US"/>
        </w:rPr>
        <w:t xml:space="preserve">: </w:t>
      </w:r>
      <w:r w:rsidRPr="00A5791C">
        <w:rPr>
          <w:rStyle w:val="Hyperlink"/>
          <w:rFonts w:ascii="Times New Roman" w:hAnsi="Times New Roman" w:cs="Times New Roman"/>
          <w:color w:val="auto"/>
          <w:sz w:val="20"/>
          <w:szCs w:val="20"/>
          <w:u w:val="none"/>
          <w:lang w:val="en-US"/>
        </w:rPr>
        <w:t xml:space="preserve">Comparison for </w:t>
      </w:r>
      <w:r>
        <w:rPr>
          <w:rStyle w:val="Hyperlink"/>
          <w:rFonts w:ascii="Times New Roman" w:hAnsi="Times New Roman" w:cs="Times New Roman"/>
          <w:color w:val="auto"/>
          <w:sz w:val="20"/>
          <w:szCs w:val="20"/>
          <w:u w:val="none"/>
          <w:lang w:val="en-US"/>
        </w:rPr>
        <w:t>the NACA6412 airfoil. The fig.</w:t>
      </w:r>
      <w:r w:rsidRPr="00A5791C">
        <w:rPr>
          <w:rStyle w:val="Hyperlink"/>
          <w:rFonts w:ascii="Times New Roman" w:hAnsi="Times New Roman" w:cs="Times New Roman"/>
          <w:color w:val="auto"/>
          <w:sz w:val="20"/>
          <w:szCs w:val="20"/>
          <w:u w:val="none"/>
          <w:lang w:val="en-US"/>
        </w:rPr>
        <w:t xml:space="preserve"> shows the comparison of the CFD simulation results (left column) and the predicted outcome of the</w:t>
      </w:r>
      <w:r>
        <w:rPr>
          <w:rStyle w:val="Hyperlink"/>
          <w:rFonts w:ascii="Times New Roman" w:hAnsi="Times New Roman" w:cs="Times New Roman"/>
          <w:color w:val="auto"/>
          <w:sz w:val="20"/>
          <w:szCs w:val="20"/>
          <w:u w:val="none"/>
          <w:lang w:val="en-US"/>
        </w:rPr>
        <w:t xml:space="preserve"> </w:t>
      </w:r>
      <w:r w:rsidRPr="00A5791C">
        <w:rPr>
          <w:rStyle w:val="Hyperlink"/>
          <w:rFonts w:ascii="Times New Roman" w:hAnsi="Times New Roman" w:cs="Times New Roman"/>
          <w:color w:val="auto"/>
          <w:sz w:val="20"/>
          <w:szCs w:val="20"/>
          <w:u w:val="none"/>
          <w:lang w:val="en-US"/>
        </w:rPr>
        <w:t>CNN (middle column) for the flow velocity fields in</w:t>
      </w:r>
      <w:r>
        <w:rPr>
          <w:rStyle w:val="Hyperlink"/>
          <w:rFonts w:ascii="Times New Roman" w:hAnsi="Times New Roman" w:cs="Times New Roman"/>
          <w:color w:val="auto"/>
          <w:sz w:val="20"/>
          <w:szCs w:val="20"/>
          <w:u w:val="none"/>
          <w:lang w:val="en-US"/>
        </w:rPr>
        <w:t xml:space="preserve"> the</w:t>
      </w:r>
      <w:r w:rsidRPr="00A5791C">
        <w:rPr>
          <w:rStyle w:val="Hyperlink"/>
          <w:rFonts w:ascii="Times New Roman" w:hAnsi="Times New Roman" w:cs="Times New Roman"/>
          <w:color w:val="auto"/>
          <w:sz w:val="20"/>
          <w:szCs w:val="20"/>
          <w:u w:val="none"/>
          <w:lang w:val="en-US"/>
        </w:rPr>
        <w:t xml:space="preserve"> x-direction (Ux, top row), y-direction (Uy, middle row)</w:t>
      </w:r>
      <w:r>
        <w:rPr>
          <w:rStyle w:val="Hyperlink"/>
          <w:rFonts w:ascii="Times New Roman" w:hAnsi="Times New Roman" w:cs="Times New Roman"/>
          <w:color w:val="auto"/>
          <w:sz w:val="20"/>
          <w:szCs w:val="20"/>
          <w:u w:val="none"/>
          <w:lang w:val="en-US"/>
        </w:rPr>
        <w:t>,</w:t>
      </w:r>
      <w:r w:rsidRPr="00A5791C">
        <w:rPr>
          <w:rStyle w:val="Hyperlink"/>
          <w:rFonts w:ascii="Times New Roman" w:hAnsi="Times New Roman" w:cs="Times New Roman"/>
          <w:color w:val="auto"/>
          <w:sz w:val="20"/>
          <w:szCs w:val="20"/>
          <w:u w:val="none"/>
          <w:lang w:val="en-US"/>
        </w:rPr>
        <w:t xml:space="preserve"> and the pressure field (p, bottom row). The</w:t>
      </w:r>
      <w:r>
        <w:rPr>
          <w:rStyle w:val="Hyperlink"/>
          <w:rFonts w:ascii="Times New Roman" w:hAnsi="Times New Roman" w:cs="Times New Roman"/>
          <w:color w:val="auto"/>
          <w:sz w:val="20"/>
          <w:szCs w:val="20"/>
          <w:u w:val="none"/>
          <w:lang w:val="en-US"/>
        </w:rPr>
        <w:t xml:space="preserve"> </w:t>
      </w:r>
      <w:r w:rsidRPr="00A5791C">
        <w:rPr>
          <w:rStyle w:val="Hyperlink"/>
          <w:rFonts w:ascii="Times New Roman" w:hAnsi="Times New Roman" w:cs="Times New Roman"/>
          <w:color w:val="auto"/>
          <w:sz w:val="20"/>
          <w:szCs w:val="20"/>
          <w:u w:val="none"/>
          <w:lang w:val="en-US"/>
        </w:rPr>
        <w:t>right column shows the MAE between the CFD simulation and the CNN prediction. The CNN predi</w:t>
      </w:r>
      <w:r>
        <w:rPr>
          <w:rStyle w:val="Hyperlink"/>
          <w:rFonts w:ascii="Times New Roman" w:hAnsi="Times New Roman" w:cs="Times New Roman"/>
          <w:color w:val="auto"/>
          <w:sz w:val="20"/>
          <w:szCs w:val="20"/>
          <w:u w:val="none"/>
          <w:lang w:val="en-US"/>
        </w:rPr>
        <w:t>ctions were attained by a model</w:t>
      </w:r>
      <w:r w:rsidRPr="00A5791C">
        <w:rPr>
          <w:rStyle w:val="Hyperlink"/>
          <w:rFonts w:ascii="Times New Roman" w:hAnsi="Times New Roman" w:cs="Times New Roman"/>
          <w:color w:val="auto"/>
          <w:sz w:val="20"/>
          <w:szCs w:val="20"/>
          <w:u w:val="none"/>
          <w:lang w:val="en-US"/>
        </w:rPr>
        <w:t xml:space="preserve"> trained with 763</w:t>
      </w:r>
      <w:r>
        <w:rPr>
          <w:rStyle w:val="Hyperlink"/>
          <w:rFonts w:ascii="Times New Roman" w:hAnsi="Times New Roman" w:cs="Times New Roman"/>
          <w:color w:val="auto"/>
          <w:sz w:val="20"/>
          <w:szCs w:val="20"/>
          <w:u w:val="none"/>
          <w:lang w:val="en-US"/>
        </w:rPr>
        <w:t xml:space="preserve"> </w:t>
      </w:r>
      <w:r w:rsidRPr="00A5791C">
        <w:rPr>
          <w:rStyle w:val="Hyperlink"/>
          <w:rFonts w:ascii="Times New Roman" w:hAnsi="Times New Roman" w:cs="Times New Roman"/>
          <w:color w:val="auto"/>
          <w:sz w:val="20"/>
          <w:szCs w:val="20"/>
          <w:u w:val="none"/>
          <w:lang w:val="en-US"/>
        </w:rPr>
        <w:t>samples.</w:t>
      </w:r>
      <w:r>
        <w:rPr>
          <w:rStyle w:val="Hyperlink"/>
          <w:rFonts w:ascii="Times New Roman" w:hAnsi="Times New Roman" w:cs="Times New Roman"/>
          <w:color w:val="auto"/>
          <w:sz w:val="20"/>
          <w:szCs w:val="20"/>
          <w:u w:val="none"/>
          <w:lang w:val="en-US"/>
        </w:rPr>
        <w:t xml:space="preserve"> Taken from </w:t>
      </w:r>
      <w:r>
        <w:rPr>
          <w:rStyle w:val="Hyperlink"/>
          <w:rFonts w:ascii="Times New Roman" w:hAnsi="Times New Roman" w:cs="Times New Roman"/>
          <w:color w:val="auto"/>
          <w:sz w:val="20"/>
          <w:szCs w:val="20"/>
          <w:u w:val="none"/>
          <w:lang w:val="en-US"/>
        </w:rPr>
        <w:fldChar w:fldCharType="begin" w:fldLock="1"/>
      </w:r>
      <w:r>
        <w:rPr>
          <w:rStyle w:val="Hyperlink"/>
          <w:rFonts w:ascii="Times New Roman" w:hAnsi="Times New Roman" w:cs="Times New Roman"/>
          <w:color w:val="auto"/>
          <w:sz w:val="20"/>
          <w:szCs w:val="20"/>
          <w:u w:val="none"/>
          <w:lang w:val="en-US"/>
        </w:rPr>
        <w:instrText>ADDIN CSL_CITATION {"citationItems":[{"id":"ITEM-1","itemData":{"abstract":"In this work, an established convolutiononal neural network (CNN) from the work of Ribeiro et al. is used as a surrogate model to predict 2D air flow streams. The main objectives of the present work are twofold: first, to develop the turbulent flow prediction capabilities of the CNN, and second, to evaluate the networks predictions by comparing them to traditional computational fluid dynamic (CFD) simulations and experimental particle image velocimetry (PIV) measurements. To achieve the latter, the predicted velocity vector field of the network, the results of a traditional 2D CFD and the results of a 2D/2C PIV measurement are utilized for comparison. The evaluation focuses on two test cases: the NACA0012 airfoil at an angle of attack (AoA) of 10° and the NACA6412 airfoil at an AoA of 0°. Both airfoils were inspected when operating at a free stream velocity of 10ms?1, resulting in a Reynolds number (Re) of 82,200. A major benefit of using CNNs for flow stream predictions lies in its ability to significantly reduce computation time. This may be especially valuable for real-time analysis or aerodynamic design, where fast calculations are essential. At first, a simulation of the flow past the NACA0012 airfoil was conducted. The outcome was utilized for the final comparison and to verify the process of the later simulations during the data generation. A grid convergence study was conducted to determine the optimal number of mesh elements, so that the lift coefficient is independent of the mesh elements. Additionally, three different Reynolds-Averaged Navier-Stokes (RANS) turbulence models (realizable/standard (k-e), k-w (SST), and Spalart-Allmaras) were analyzed to find the model, that is most suitable to fit the PIV measurements. For the NACA6412 profile, a additional PIV measurement was carried out whereas for the NACA0012 airfoil existent measurements of Adataro et al. were utilized. To predict the flow field around the unseen NACA-airfoils via the CNN of Ribeiro et al., the network was enabled to predict turbulent flows instead of its original purpose of laminar flow prediction. To achieve this, a set of training samples was generated, where turbulent flows around different types of primitives were used to train the network. Eight types of primitives were included in the primitive training set, covering circles, rectangles, isosceles triangles, scalene triangles, ellipses, rounded rectangles, pie-slices, and chordslices. To investigate the impact of the…","author":[{"dropping-particle":"","family":"Raffeiner","given":"Patrik","non-dropping-particle":"","parse-names":false,"suffix":""}],"id":"ITEM-1","issued":{"date-parts":[["2023"]]},"number-of-pages":"54","title":"Prediction of 2D aerodynamic flow fields on the example of a NACA0012 airfoil - A comparison of experimental data, CFD simulations and CNN predictions","type":"report"},"uris":["http://www.mendeley.com/documents/?uuid=f7611ba9-1c61-4b6e-a717-7abba74a80cc"]}],"mendeley":{"formattedCitation":"[16]","plainTextFormattedCitation":"[16]","previouslyFormattedCitation":"[16]"},"properties":{"noteIndex":0},"schema":"https://github.com/citation-style-language/schema/raw/master/csl-citation.json"}</w:instrText>
      </w:r>
      <w:r>
        <w:rPr>
          <w:rStyle w:val="Hyperlink"/>
          <w:rFonts w:ascii="Times New Roman" w:hAnsi="Times New Roman" w:cs="Times New Roman"/>
          <w:color w:val="auto"/>
          <w:sz w:val="20"/>
          <w:szCs w:val="20"/>
          <w:u w:val="none"/>
          <w:lang w:val="en-US"/>
        </w:rPr>
        <w:fldChar w:fldCharType="separate"/>
      </w:r>
      <w:r w:rsidRPr="00847687">
        <w:rPr>
          <w:rStyle w:val="Hyperlink"/>
          <w:rFonts w:ascii="Times New Roman" w:hAnsi="Times New Roman" w:cs="Times New Roman"/>
          <w:noProof/>
          <w:color w:val="auto"/>
          <w:sz w:val="20"/>
          <w:szCs w:val="20"/>
          <w:u w:val="none"/>
          <w:lang w:val="en-US"/>
        </w:rPr>
        <w:t>[16]</w:t>
      </w:r>
      <w:r>
        <w:rPr>
          <w:rStyle w:val="Hyperlink"/>
          <w:rFonts w:ascii="Times New Roman" w:hAnsi="Times New Roman" w:cs="Times New Roman"/>
          <w:color w:val="auto"/>
          <w:sz w:val="20"/>
          <w:szCs w:val="20"/>
          <w:u w:val="none"/>
          <w:lang w:val="en-US"/>
        </w:rPr>
        <w:fldChar w:fldCharType="end"/>
      </w:r>
    </w:p>
    <w:p w14:paraId="130E12F4"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p>
    <w:p w14:paraId="1DF9C44E"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r>
        <w:rPr>
          <w:noProof/>
          <w:lang w:val="de-DE" w:eastAsia="de-DE"/>
        </w:rPr>
        <w:drawing>
          <wp:inline distT="0" distB="0" distL="0" distR="0" wp14:anchorId="24F3BE40" wp14:editId="35D66F99">
            <wp:extent cx="9071610" cy="4337050"/>
            <wp:effectExtent l="0" t="0" r="0" b="635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071610" cy="4337050"/>
                    </a:xfrm>
                    <a:prstGeom prst="rect">
                      <a:avLst/>
                    </a:prstGeom>
                  </pic:spPr>
                </pic:pic>
              </a:graphicData>
            </a:graphic>
          </wp:inline>
        </w:drawing>
      </w:r>
    </w:p>
    <w:p w14:paraId="11EC9784"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r w:rsidRPr="00E30E2C">
        <w:rPr>
          <w:rStyle w:val="Hyperlink"/>
          <w:rFonts w:ascii="Times New Roman" w:hAnsi="Times New Roman" w:cs="Times New Roman"/>
          <w:color w:val="auto"/>
          <w:sz w:val="20"/>
          <w:szCs w:val="20"/>
          <w:u w:val="none"/>
          <w:lang w:val="en-US"/>
        </w:rPr>
        <w:t>Fig. A</w:t>
      </w:r>
      <w:r>
        <w:rPr>
          <w:rStyle w:val="Hyperlink"/>
          <w:rFonts w:ascii="Times New Roman" w:hAnsi="Times New Roman" w:cs="Times New Roman"/>
          <w:color w:val="auto"/>
          <w:sz w:val="20"/>
          <w:szCs w:val="20"/>
          <w:u w:val="none"/>
          <w:lang w:val="en-US"/>
        </w:rPr>
        <w:t>4</w:t>
      </w:r>
      <w:r w:rsidRPr="00E30E2C">
        <w:rPr>
          <w:rStyle w:val="Hyperlink"/>
          <w:rFonts w:ascii="Times New Roman" w:hAnsi="Times New Roman" w:cs="Times New Roman"/>
          <w:color w:val="auto"/>
          <w:sz w:val="20"/>
          <w:szCs w:val="20"/>
          <w:u w:val="none"/>
          <w:lang w:val="en-US"/>
        </w:rPr>
        <w:t xml:space="preserve">: </w:t>
      </w:r>
      <w:r w:rsidRPr="00A5791C">
        <w:rPr>
          <w:rStyle w:val="Hyperlink"/>
          <w:rFonts w:ascii="Times New Roman" w:hAnsi="Times New Roman" w:cs="Times New Roman"/>
          <w:color w:val="auto"/>
          <w:sz w:val="20"/>
          <w:szCs w:val="20"/>
          <w:u w:val="none"/>
          <w:lang w:val="en-US"/>
        </w:rPr>
        <w:t>Comparison for t</w:t>
      </w:r>
      <w:r>
        <w:rPr>
          <w:rStyle w:val="Hyperlink"/>
          <w:rFonts w:ascii="Times New Roman" w:hAnsi="Times New Roman" w:cs="Times New Roman"/>
          <w:color w:val="auto"/>
          <w:sz w:val="20"/>
          <w:szCs w:val="20"/>
          <w:u w:val="none"/>
          <w:lang w:val="en-US"/>
        </w:rPr>
        <w:t xml:space="preserve">he NACA6412 airfoil. The fig. </w:t>
      </w:r>
      <w:r w:rsidRPr="00A5791C">
        <w:rPr>
          <w:rStyle w:val="Hyperlink"/>
          <w:rFonts w:ascii="Times New Roman" w:hAnsi="Times New Roman" w:cs="Times New Roman"/>
          <w:color w:val="auto"/>
          <w:sz w:val="20"/>
          <w:szCs w:val="20"/>
          <w:u w:val="none"/>
          <w:lang w:val="en-US"/>
        </w:rPr>
        <w:t>shows the comparison of the CFD simulation results (left column) and the predicted outcome of the</w:t>
      </w:r>
      <w:r>
        <w:rPr>
          <w:rStyle w:val="Hyperlink"/>
          <w:rFonts w:ascii="Times New Roman" w:hAnsi="Times New Roman" w:cs="Times New Roman"/>
          <w:color w:val="auto"/>
          <w:sz w:val="20"/>
          <w:szCs w:val="20"/>
          <w:u w:val="none"/>
          <w:lang w:val="en-US"/>
        </w:rPr>
        <w:t xml:space="preserve"> </w:t>
      </w:r>
      <w:r w:rsidRPr="00A5791C">
        <w:rPr>
          <w:rStyle w:val="Hyperlink"/>
          <w:rFonts w:ascii="Times New Roman" w:hAnsi="Times New Roman" w:cs="Times New Roman"/>
          <w:color w:val="auto"/>
          <w:sz w:val="20"/>
          <w:szCs w:val="20"/>
          <w:u w:val="none"/>
          <w:lang w:val="en-US"/>
        </w:rPr>
        <w:t>CNN (middle column) for the flow velocity fields in</w:t>
      </w:r>
      <w:r>
        <w:rPr>
          <w:rStyle w:val="Hyperlink"/>
          <w:rFonts w:ascii="Times New Roman" w:hAnsi="Times New Roman" w:cs="Times New Roman"/>
          <w:color w:val="auto"/>
          <w:sz w:val="20"/>
          <w:szCs w:val="20"/>
          <w:u w:val="none"/>
          <w:lang w:val="en-US"/>
        </w:rPr>
        <w:t xml:space="preserve"> the</w:t>
      </w:r>
      <w:r w:rsidRPr="00A5791C">
        <w:rPr>
          <w:rStyle w:val="Hyperlink"/>
          <w:rFonts w:ascii="Times New Roman" w:hAnsi="Times New Roman" w:cs="Times New Roman"/>
          <w:color w:val="auto"/>
          <w:sz w:val="20"/>
          <w:szCs w:val="20"/>
          <w:u w:val="none"/>
          <w:lang w:val="en-US"/>
        </w:rPr>
        <w:t xml:space="preserve"> x-direction (Ux, top row), y-direction (Uy, middle row)</w:t>
      </w:r>
      <w:r>
        <w:rPr>
          <w:rStyle w:val="Hyperlink"/>
          <w:rFonts w:ascii="Times New Roman" w:hAnsi="Times New Roman" w:cs="Times New Roman"/>
          <w:color w:val="auto"/>
          <w:sz w:val="20"/>
          <w:szCs w:val="20"/>
          <w:u w:val="none"/>
          <w:lang w:val="en-US"/>
        </w:rPr>
        <w:t>,</w:t>
      </w:r>
      <w:r w:rsidRPr="00A5791C">
        <w:rPr>
          <w:rStyle w:val="Hyperlink"/>
          <w:rFonts w:ascii="Times New Roman" w:hAnsi="Times New Roman" w:cs="Times New Roman"/>
          <w:color w:val="auto"/>
          <w:sz w:val="20"/>
          <w:szCs w:val="20"/>
          <w:u w:val="none"/>
          <w:lang w:val="en-US"/>
        </w:rPr>
        <w:t xml:space="preserve"> and pressure field (p, bottom row). The</w:t>
      </w:r>
      <w:r>
        <w:rPr>
          <w:rStyle w:val="Hyperlink"/>
          <w:rFonts w:ascii="Times New Roman" w:hAnsi="Times New Roman" w:cs="Times New Roman"/>
          <w:color w:val="auto"/>
          <w:sz w:val="20"/>
          <w:szCs w:val="20"/>
          <w:u w:val="none"/>
          <w:lang w:val="en-US"/>
        </w:rPr>
        <w:t xml:space="preserve"> </w:t>
      </w:r>
      <w:r w:rsidRPr="00A5791C">
        <w:rPr>
          <w:rStyle w:val="Hyperlink"/>
          <w:rFonts w:ascii="Times New Roman" w:hAnsi="Times New Roman" w:cs="Times New Roman"/>
          <w:color w:val="auto"/>
          <w:sz w:val="20"/>
          <w:szCs w:val="20"/>
          <w:u w:val="none"/>
          <w:lang w:val="en-US"/>
        </w:rPr>
        <w:t xml:space="preserve">right column shows the MAE between the CFD simulation and the CNN prediction. The CNN predictions were attained by a </w:t>
      </w:r>
      <w:r>
        <w:rPr>
          <w:rStyle w:val="Hyperlink"/>
          <w:rFonts w:ascii="Times New Roman" w:hAnsi="Times New Roman" w:cs="Times New Roman"/>
          <w:color w:val="auto"/>
          <w:sz w:val="20"/>
          <w:szCs w:val="20"/>
          <w:u w:val="none"/>
          <w:lang w:val="en-US"/>
        </w:rPr>
        <w:t xml:space="preserve">model trained with 2585 </w:t>
      </w:r>
      <w:r w:rsidRPr="00A5791C">
        <w:rPr>
          <w:rStyle w:val="Hyperlink"/>
          <w:rFonts w:ascii="Times New Roman" w:hAnsi="Times New Roman" w:cs="Times New Roman"/>
          <w:color w:val="auto"/>
          <w:sz w:val="20"/>
          <w:szCs w:val="20"/>
          <w:u w:val="none"/>
          <w:lang w:val="en-US"/>
        </w:rPr>
        <w:t>samples.</w:t>
      </w:r>
      <w:r>
        <w:rPr>
          <w:rStyle w:val="Hyperlink"/>
          <w:rFonts w:ascii="Times New Roman" w:hAnsi="Times New Roman" w:cs="Times New Roman"/>
          <w:color w:val="auto"/>
          <w:sz w:val="20"/>
          <w:szCs w:val="20"/>
          <w:u w:val="none"/>
          <w:lang w:val="en-US"/>
        </w:rPr>
        <w:t xml:space="preserve"> Taken from </w:t>
      </w:r>
      <w:r>
        <w:rPr>
          <w:rStyle w:val="Hyperlink"/>
          <w:rFonts w:ascii="Times New Roman" w:hAnsi="Times New Roman" w:cs="Times New Roman"/>
          <w:color w:val="auto"/>
          <w:sz w:val="20"/>
          <w:szCs w:val="20"/>
          <w:u w:val="none"/>
          <w:lang w:val="en-US"/>
        </w:rPr>
        <w:fldChar w:fldCharType="begin" w:fldLock="1"/>
      </w:r>
      <w:r>
        <w:rPr>
          <w:rStyle w:val="Hyperlink"/>
          <w:rFonts w:ascii="Times New Roman" w:hAnsi="Times New Roman" w:cs="Times New Roman"/>
          <w:color w:val="auto"/>
          <w:sz w:val="20"/>
          <w:szCs w:val="20"/>
          <w:u w:val="none"/>
          <w:lang w:val="en-US"/>
        </w:rPr>
        <w:instrText>ADDIN CSL_CITATION {"citationItems":[{"id":"ITEM-1","itemData":{"abstract":"In this work, an established convolutiononal neural network (CNN) from the work of Ribeiro et al. is used as a surrogate model to predict 2D air flow streams. The main objectives of the present work are twofold: first, to develop the turbulent flow prediction capabilities of the CNN, and second, to evaluate the networks predictions by comparing them to traditional computational fluid dynamic (CFD) simulations and experimental particle image velocimetry (PIV) measurements. To achieve the latter, the predicted velocity vector field of the network, the results of a traditional 2D CFD and the results of a 2D/2C PIV measurement are utilized for comparison. The evaluation focuses on two test cases: the NACA0012 airfoil at an angle of attack (AoA) of 10° and the NACA6412 airfoil at an AoA of 0°. Both airfoils were inspected when operating at a free stream velocity of 10ms?1, resulting in a Reynolds number (Re) of 82,200. A major benefit of using CNNs for flow stream predictions lies in its ability to significantly reduce computation time. This may be especially valuable for real-time analysis or aerodynamic design, where fast calculations are essential. At first, a simulation of the flow past the NACA0012 airfoil was conducted. The outcome was utilized for the final comparison and to verify the process of the later simulations during the data generation. A grid convergence study was conducted to determine the optimal number of mesh elements, so that the lift coefficient is independent of the mesh elements. Additionally, three different Reynolds-Averaged Navier-Stokes (RANS) turbulence models (realizable/standard (k-e), k-w (SST), and Spalart-Allmaras) were analyzed to find the model, that is most suitable to fit the PIV measurements. For the NACA6412 profile, a additional PIV measurement was carried out whereas for the NACA0012 airfoil existent measurements of Adataro et al. were utilized. To predict the flow field around the unseen NACA-airfoils via the CNN of Ribeiro et al., the network was enabled to predict turbulent flows instead of its original purpose of laminar flow prediction. To achieve this, a set of training samples was generated, where turbulent flows around different types of primitives were used to train the network. Eight types of primitives were included in the primitive training set, covering circles, rectangles, isosceles triangles, scalene triangles, ellipses, rounded rectangles, pie-slices, and chordslices. To investigate the impact of the…","author":[{"dropping-particle":"","family":"Raffeiner","given":"Patrik","non-dropping-particle":"","parse-names":false,"suffix":""}],"id":"ITEM-1","issued":{"date-parts":[["2023"]]},"number-of-pages":"54","title":"Prediction of 2D aerodynamic flow fields on the example of a NACA0012 airfoil - A comparison of experimental data, CFD simulations and CNN predictions","type":"report"},"uris":["http://www.mendeley.com/documents/?uuid=f7611ba9-1c61-4b6e-a717-7abba74a80cc"]}],"mendeley":{"formattedCitation":"[16]","plainTextFormattedCitation":"[16]","previouslyFormattedCitation":"[16]"},"properties":{"noteIndex":0},"schema":"https://github.com/citation-style-language/schema/raw/master/csl-citation.json"}</w:instrText>
      </w:r>
      <w:r>
        <w:rPr>
          <w:rStyle w:val="Hyperlink"/>
          <w:rFonts w:ascii="Times New Roman" w:hAnsi="Times New Roman" w:cs="Times New Roman"/>
          <w:color w:val="auto"/>
          <w:sz w:val="20"/>
          <w:szCs w:val="20"/>
          <w:u w:val="none"/>
          <w:lang w:val="en-US"/>
        </w:rPr>
        <w:fldChar w:fldCharType="separate"/>
      </w:r>
      <w:r w:rsidRPr="00847687">
        <w:rPr>
          <w:rStyle w:val="Hyperlink"/>
          <w:rFonts w:ascii="Times New Roman" w:hAnsi="Times New Roman" w:cs="Times New Roman"/>
          <w:noProof/>
          <w:color w:val="auto"/>
          <w:sz w:val="20"/>
          <w:szCs w:val="20"/>
          <w:u w:val="none"/>
          <w:lang w:val="en-US"/>
        </w:rPr>
        <w:t>[16]</w:t>
      </w:r>
      <w:r>
        <w:rPr>
          <w:rStyle w:val="Hyperlink"/>
          <w:rFonts w:ascii="Times New Roman" w:hAnsi="Times New Roman" w:cs="Times New Roman"/>
          <w:color w:val="auto"/>
          <w:sz w:val="20"/>
          <w:szCs w:val="20"/>
          <w:u w:val="none"/>
          <w:lang w:val="en-US"/>
        </w:rPr>
        <w:fldChar w:fldCharType="end"/>
      </w:r>
    </w:p>
    <w:p w14:paraId="3C7D58C1"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p>
    <w:p w14:paraId="2FC2A7A0"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sectPr w:rsidR="00833841" w:rsidSect="00E30E2C">
          <w:pgSz w:w="16838" w:h="11906" w:orient="landscape" w:code="9"/>
          <w:pgMar w:top="1418" w:right="1418" w:bottom="1418" w:left="1134" w:header="709" w:footer="709" w:gutter="0"/>
          <w:cols w:space="708"/>
          <w:docGrid w:linePitch="360"/>
        </w:sectPr>
      </w:pPr>
    </w:p>
    <w:p w14:paraId="59A571DA"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lastRenderedPageBreak/>
        <w:t>Appendix B: Results of the Mesh Convergence Study</w:t>
      </w:r>
    </w:p>
    <w:p w14:paraId="3B0D9209" w14:textId="77777777" w:rsidR="00833841" w:rsidRDefault="00833841" w:rsidP="00833841">
      <w:pPr>
        <w:widowControl w:val="0"/>
        <w:autoSpaceDE w:val="0"/>
        <w:autoSpaceDN w:val="0"/>
        <w:adjustRightInd w:val="0"/>
        <w:spacing w:line="480" w:lineRule="auto"/>
        <w:jc w:val="both"/>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 xml:space="preserve">Tab. B1 </w:t>
      </w:r>
      <w:r w:rsidRPr="007A0B6D">
        <w:rPr>
          <w:rStyle w:val="Hyperlink"/>
          <w:rFonts w:ascii="Times New Roman" w:hAnsi="Times New Roman" w:cs="Times New Roman"/>
          <w:color w:val="auto"/>
          <w:sz w:val="20"/>
          <w:szCs w:val="20"/>
          <w:u w:val="none"/>
          <w:lang w:val="en-US"/>
        </w:rPr>
        <w:t>Results of the gri</w:t>
      </w:r>
      <w:r>
        <w:rPr>
          <w:rStyle w:val="Hyperlink"/>
          <w:rFonts w:ascii="Times New Roman" w:hAnsi="Times New Roman" w:cs="Times New Roman"/>
          <w:color w:val="auto"/>
          <w:sz w:val="20"/>
          <w:szCs w:val="20"/>
          <w:u w:val="none"/>
          <w:lang w:val="en-US"/>
        </w:rPr>
        <w:t>d convergence test for a C-mesh-</w:t>
      </w:r>
      <w:r w:rsidRPr="007A0B6D">
        <w:rPr>
          <w:rStyle w:val="Hyperlink"/>
          <w:rFonts w:ascii="Times New Roman" w:hAnsi="Times New Roman" w:cs="Times New Roman"/>
          <w:color w:val="auto"/>
          <w:sz w:val="20"/>
          <w:szCs w:val="20"/>
          <w:u w:val="none"/>
          <w:lang w:val="en-US"/>
        </w:rPr>
        <w:t>shaped flow domain around the</w:t>
      </w:r>
      <w:r>
        <w:rPr>
          <w:rStyle w:val="Hyperlink"/>
          <w:rFonts w:ascii="Times New Roman" w:hAnsi="Times New Roman" w:cs="Times New Roman"/>
          <w:color w:val="auto"/>
          <w:sz w:val="20"/>
          <w:szCs w:val="20"/>
          <w:u w:val="none"/>
          <w:lang w:val="en-US"/>
        </w:rPr>
        <w:t xml:space="preserve"> </w:t>
      </w:r>
      <w:r w:rsidRPr="007A0B6D">
        <w:rPr>
          <w:rStyle w:val="Hyperlink"/>
          <w:rFonts w:ascii="Times New Roman" w:hAnsi="Times New Roman" w:cs="Times New Roman"/>
          <w:color w:val="auto"/>
          <w:sz w:val="20"/>
          <w:szCs w:val="20"/>
          <w:u w:val="none"/>
          <w:lang w:val="en-US"/>
        </w:rPr>
        <w:t>NACA0012 airfoil. The C</w:t>
      </w:r>
      <w:r w:rsidRPr="007A0B6D">
        <w:rPr>
          <w:rStyle w:val="Hyperlink"/>
          <w:rFonts w:ascii="Times New Roman" w:hAnsi="Times New Roman" w:cs="Times New Roman"/>
          <w:color w:val="auto"/>
          <w:sz w:val="20"/>
          <w:szCs w:val="20"/>
          <w:u w:val="none"/>
          <w:vertAlign w:val="subscript"/>
          <w:lang w:val="en-US"/>
        </w:rPr>
        <w:t xml:space="preserve">L </w:t>
      </w:r>
      <w:r w:rsidRPr="007A0B6D">
        <w:rPr>
          <w:rStyle w:val="Hyperlink"/>
          <w:rFonts w:ascii="Times New Roman" w:hAnsi="Times New Roman" w:cs="Times New Roman"/>
          <w:color w:val="auto"/>
          <w:sz w:val="20"/>
          <w:szCs w:val="20"/>
          <w:u w:val="none"/>
          <w:lang w:val="en-US"/>
        </w:rPr>
        <w:t>was observed as a measure for the convergence test. It is</w:t>
      </w:r>
      <w:r>
        <w:rPr>
          <w:rStyle w:val="Hyperlink"/>
          <w:rFonts w:ascii="Times New Roman" w:hAnsi="Times New Roman" w:cs="Times New Roman"/>
          <w:color w:val="auto"/>
          <w:sz w:val="20"/>
          <w:szCs w:val="20"/>
          <w:u w:val="none"/>
          <w:lang w:val="en-US"/>
        </w:rPr>
        <w:t xml:space="preserve"> </w:t>
      </w:r>
      <w:r w:rsidRPr="007A0B6D">
        <w:rPr>
          <w:rStyle w:val="Hyperlink"/>
          <w:rFonts w:ascii="Times New Roman" w:hAnsi="Times New Roman" w:cs="Times New Roman"/>
          <w:color w:val="auto"/>
          <w:sz w:val="20"/>
          <w:szCs w:val="20"/>
          <w:u w:val="none"/>
          <w:lang w:val="en-US"/>
        </w:rPr>
        <w:t>abstracted that the C</w:t>
      </w:r>
      <w:r w:rsidRPr="007A0B6D">
        <w:rPr>
          <w:rStyle w:val="Hyperlink"/>
          <w:rFonts w:ascii="Times New Roman" w:hAnsi="Times New Roman" w:cs="Times New Roman"/>
          <w:color w:val="auto"/>
          <w:sz w:val="20"/>
          <w:szCs w:val="20"/>
          <w:u w:val="none"/>
          <w:vertAlign w:val="subscript"/>
          <w:lang w:val="en-US"/>
        </w:rPr>
        <w:t>L</w:t>
      </w:r>
      <w:r w:rsidRPr="007A0B6D">
        <w:rPr>
          <w:rStyle w:val="Hyperlink"/>
          <w:rFonts w:ascii="Times New Roman" w:hAnsi="Times New Roman" w:cs="Times New Roman"/>
          <w:color w:val="auto"/>
          <w:sz w:val="20"/>
          <w:szCs w:val="20"/>
          <w:u w:val="none"/>
          <w:lang w:val="en-US"/>
        </w:rPr>
        <w:t xml:space="preserve"> does not change for a number of cells above 45800.</w:t>
      </w:r>
      <w:r>
        <w:rPr>
          <w:rStyle w:val="Hyperlink"/>
          <w:rFonts w:ascii="Times New Roman" w:hAnsi="Times New Roman" w:cs="Times New Roman"/>
          <w:color w:val="auto"/>
          <w:sz w:val="20"/>
          <w:szCs w:val="20"/>
          <w:u w:val="none"/>
          <w:lang w:val="en-US"/>
        </w:rPr>
        <w:t xml:space="preserve"> Taken from </w:t>
      </w:r>
      <w:r>
        <w:rPr>
          <w:rStyle w:val="Hyperlink"/>
          <w:rFonts w:ascii="Times New Roman" w:hAnsi="Times New Roman" w:cs="Times New Roman"/>
          <w:color w:val="auto"/>
          <w:sz w:val="20"/>
          <w:szCs w:val="20"/>
          <w:u w:val="none"/>
          <w:lang w:val="en-US"/>
        </w:rPr>
        <w:fldChar w:fldCharType="begin" w:fldLock="1"/>
      </w:r>
      <w:r>
        <w:rPr>
          <w:rStyle w:val="Hyperlink"/>
          <w:rFonts w:ascii="Times New Roman" w:hAnsi="Times New Roman" w:cs="Times New Roman"/>
          <w:color w:val="auto"/>
          <w:sz w:val="20"/>
          <w:szCs w:val="20"/>
          <w:u w:val="none"/>
          <w:lang w:val="en-US"/>
        </w:rPr>
        <w:instrText>ADDIN CSL_CITATION {"citationItems":[{"id":"ITEM-1","itemData":{"abstract":"In this work, an established convolutiononal neural network (CNN) from the work of Ribeiro et al. is used as a surrogate model to predict 2D air flow streams. The main objectives of the present work are twofold: first, to develop the turbulent flow prediction capabilities of the CNN, and second, to evaluate the networks predictions by comparing them to traditional computational fluid dynamic (CFD) simulations and experimental particle image velocimetry (PIV) measurements. To achieve the latter, the predicted velocity vector field of the network, the results of a traditional 2D CFD and the results of a 2D/2C PIV measurement are utilized for comparison. The evaluation focuses on two test cases: the NACA0012 airfoil at an angle of attack (AoA) of 10° and the NACA6412 airfoil at an AoA of 0°. Both airfoils were inspected when operating at a free stream velocity of 10ms?1, resulting in a Reynolds number (Re) of 82,200. A major benefit of using CNNs for flow stream predictions lies in its ability to significantly reduce computation time. This may be especially valuable for real-time analysis or aerodynamic design, where fast calculations are essential. At first, a simulation of the flow past the NACA0012 airfoil was conducted. The outcome was utilized for the final comparison and to verify the process of the later simulations during the data generation. A grid convergence study was conducted to determine the optimal number of mesh elements, so that the lift coefficient is independent of the mesh elements. Additionally, three different Reynolds-Averaged Navier-Stokes (RANS) turbulence models (realizable/standard (k-e), k-w (SST), and Spalart-Allmaras) were analyzed to find the model, that is most suitable to fit the PIV measurements. For the NACA6412 profile, a additional PIV measurement was carried out whereas for the NACA0012 airfoil existent measurements of Adataro et al. were utilized. To predict the flow field around the unseen NACA-airfoils via the CNN of Ribeiro et al., the network was enabled to predict turbulent flows instead of its original purpose of laminar flow prediction. To achieve this, a set of training samples was generated, where turbulent flows around different types of primitives were used to train the network. Eight types of primitives were included in the primitive training set, covering circles, rectangles, isosceles triangles, scalene triangles, ellipses, rounded rectangles, pie-slices, and chordslices. To investigate the impact of the…","author":[{"dropping-particle":"","family":"Raffeiner","given":"Patrik","non-dropping-particle":"","parse-names":false,"suffix":""}],"id":"ITEM-1","issued":{"date-parts":[["2023"]]},"number-of-pages":"54","title":"Prediction of 2D aerodynamic flow fields on the example of a NACA0012 airfoil - A comparison of experimental data, CFD simulations and CNN predictions","type":"report"},"uris":["http://www.mendeley.com/documents/?uuid=f7611ba9-1c61-4b6e-a717-7abba74a80cc"]}],"mendeley":{"formattedCitation":"[16]","plainTextFormattedCitation":"[16]","previouslyFormattedCitation":"[16]"},"properties":{"noteIndex":0},"schema":"https://github.com/citation-style-language/schema/raw/master/csl-citation.json"}</w:instrText>
      </w:r>
      <w:r>
        <w:rPr>
          <w:rStyle w:val="Hyperlink"/>
          <w:rFonts w:ascii="Times New Roman" w:hAnsi="Times New Roman" w:cs="Times New Roman"/>
          <w:color w:val="auto"/>
          <w:sz w:val="20"/>
          <w:szCs w:val="20"/>
          <w:u w:val="none"/>
          <w:lang w:val="en-US"/>
        </w:rPr>
        <w:fldChar w:fldCharType="separate"/>
      </w:r>
      <w:r w:rsidRPr="00847687">
        <w:rPr>
          <w:rStyle w:val="Hyperlink"/>
          <w:rFonts w:ascii="Times New Roman" w:hAnsi="Times New Roman" w:cs="Times New Roman"/>
          <w:noProof/>
          <w:color w:val="auto"/>
          <w:sz w:val="20"/>
          <w:szCs w:val="20"/>
          <w:u w:val="none"/>
          <w:lang w:val="en-US"/>
        </w:rPr>
        <w:t>[16]</w:t>
      </w:r>
      <w:r>
        <w:rPr>
          <w:rStyle w:val="Hyperlink"/>
          <w:rFonts w:ascii="Times New Roman" w:hAnsi="Times New Roman" w:cs="Times New Roman"/>
          <w:color w:val="auto"/>
          <w:sz w:val="20"/>
          <w:szCs w:val="20"/>
          <w:u w:val="none"/>
          <w:lang w:val="en-US"/>
        </w:rPr>
        <w:fldChar w:fldCharType="end"/>
      </w:r>
    </w:p>
    <w:tbl>
      <w:tblPr>
        <w:tblStyle w:val="GridTable1Light"/>
        <w:tblW w:w="0" w:type="auto"/>
        <w:jc w:val="center"/>
        <w:tblLook w:val="04A0" w:firstRow="1" w:lastRow="0" w:firstColumn="1" w:lastColumn="0" w:noHBand="0" w:noVBand="1"/>
      </w:tblPr>
      <w:tblGrid>
        <w:gridCol w:w="4605"/>
        <w:gridCol w:w="4605"/>
      </w:tblGrid>
      <w:tr w:rsidR="00833841" w14:paraId="60F31DC6" w14:textId="77777777" w:rsidTr="00562F6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5" w:type="dxa"/>
          </w:tcPr>
          <w:p w14:paraId="12A834F2" w14:textId="77777777" w:rsidR="00833841" w:rsidRDefault="00833841" w:rsidP="00562F67">
            <w:pPr>
              <w:widowControl w:val="0"/>
              <w:autoSpaceDE w:val="0"/>
              <w:autoSpaceDN w:val="0"/>
              <w:adjustRightInd w:val="0"/>
              <w:spacing w:line="480" w:lineRule="auto"/>
              <w:jc w:val="center"/>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Number of Cells</w:t>
            </w:r>
          </w:p>
        </w:tc>
        <w:tc>
          <w:tcPr>
            <w:tcW w:w="4605" w:type="dxa"/>
          </w:tcPr>
          <w:p w14:paraId="5A03DAF0" w14:textId="77777777" w:rsidR="00833841" w:rsidRDefault="00833841" w:rsidP="00562F67">
            <w:pPr>
              <w:widowControl w:val="0"/>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Lift coefficient (C</w:t>
            </w:r>
            <w:r w:rsidRPr="007A0B6D">
              <w:rPr>
                <w:rStyle w:val="Hyperlink"/>
                <w:rFonts w:ascii="Times New Roman" w:hAnsi="Times New Roman" w:cs="Times New Roman"/>
                <w:color w:val="auto"/>
                <w:sz w:val="20"/>
                <w:szCs w:val="20"/>
                <w:u w:val="none"/>
                <w:vertAlign w:val="subscript"/>
                <w:lang w:val="en-US"/>
              </w:rPr>
              <w:t>L</w:t>
            </w:r>
            <w:r>
              <w:rPr>
                <w:rStyle w:val="Hyperlink"/>
                <w:rFonts w:ascii="Times New Roman" w:hAnsi="Times New Roman" w:cs="Times New Roman"/>
                <w:color w:val="auto"/>
                <w:sz w:val="20"/>
                <w:szCs w:val="20"/>
                <w:u w:val="none"/>
                <w:lang w:val="en-US"/>
              </w:rPr>
              <w:t>)</w:t>
            </w:r>
          </w:p>
        </w:tc>
      </w:tr>
      <w:tr w:rsidR="00833841" w14:paraId="017A9B21" w14:textId="77777777" w:rsidTr="00562F67">
        <w:trPr>
          <w:jc w:val="center"/>
        </w:trPr>
        <w:tc>
          <w:tcPr>
            <w:cnfStyle w:val="001000000000" w:firstRow="0" w:lastRow="0" w:firstColumn="1" w:lastColumn="0" w:oddVBand="0" w:evenVBand="0" w:oddHBand="0" w:evenHBand="0" w:firstRowFirstColumn="0" w:firstRowLastColumn="0" w:lastRowFirstColumn="0" w:lastRowLastColumn="0"/>
            <w:tcW w:w="4605" w:type="dxa"/>
          </w:tcPr>
          <w:p w14:paraId="69CA270B" w14:textId="77777777" w:rsidR="00833841" w:rsidRDefault="00833841" w:rsidP="00562F67">
            <w:pPr>
              <w:widowControl w:val="0"/>
              <w:autoSpaceDE w:val="0"/>
              <w:autoSpaceDN w:val="0"/>
              <w:adjustRightInd w:val="0"/>
              <w:spacing w:line="480" w:lineRule="auto"/>
              <w:jc w:val="center"/>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24010</w:t>
            </w:r>
          </w:p>
        </w:tc>
        <w:tc>
          <w:tcPr>
            <w:tcW w:w="4605" w:type="dxa"/>
          </w:tcPr>
          <w:p w14:paraId="0B48C357" w14:textId="77777777" w:rsidR="00833841" w:rsidRDefault="00833841" w:rsidP="00562F67">
            <w:pPr>
              <w:widowControl w:val="0"/>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1.004</w:t>
            </w:r>
          </w:p>
        </w:tc>
      </w:tr>
      <w:tr w:rsidR="00833841" w14:paraId="60970688" w14:textId="77777777" w:rsidTr="00562F67">
        <w:trPr>
          <w:jc w:val="center"/>
        </w:trPr>
        <w:tc>
          <w:tcPr>
            <w:cnfStyle w:val="001000000000" w:firstRow="0" w:lastRow="0" w:firstColumn="1" w:lastColumn="0" w:oddVBand="0" w:evenVBand="0" w:oddHBand="0" w:evenHBand="0" w:firstRowFirstColumn="0" w:firstRowLastColumn="0" w:lastRowFirstColumn="0" w:lastRowLastColumn="0"/>
            <w:tcW w:w="4605" w:type="dxa"/>
          </w:tcPr>
          <w:p w14:paraId="579DEF25" w14:textId="77777777" w:rsidR="00833841" w:rsidRDefault="00833841" w:rsidP="00562F67">
            <w:pPr>
              <w:widowControl w:val="0"/>
              <w:autoSpaceDE w:val="0"/>
              <w:autoSpaceDN w:val="0"/>
              <w:adjustRightInd w:val="0"/>
              <w:spacing w:line="480" w:lineRule="auto"/>
              <w:jc w:val="center"/>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30400</w:t>
            </w:r>
          </w:p>
        </w:tc>
        <w:tc>
          <w:tcPr>
            <w:tcW w:w="4605" w:type="dxa"/>
          </w:tcPr>
          <w:p w14:paraId="60EC3415" w14:textId="77777777" w:rsidR="00833841" w:rsidRDefault="00833841" w:rsidP="00562F67">
            <w:pPr>
              <w:widowControl w:val="0"/>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1.013</w:t>
            </w:r>
          </w:p>
        </w:tc>
      </w:tr>
      <w:tr w:rsidR="00833841" w14:paraId="3E400BD7" w14:textId="77777777" w:rsidTr="00562F67">
        <w:trPr>
          <w:jc w:val="center"/>
        </w:trPr>
        <w:tc>
          <w:tcPr>
            <w:cnfStyle w:val="001000000000" w:firstRow="0" w:lastRow="0" w:firstColumn="1" w:lastColumn="0" w:oddVBand="0" w:evenVBand="0" w:oddHBand="0" w:evenHBand="0" w:firstRowFirstColumn="0" w:firstRowLastColumn="0" w:lastRowFirstColumn="0" w:lastRowLastColumn="0"/>
            <w:tcW w:w="4605" w:type="dxa"/>
          </w:tcPr>
          <w:p w14:paraId="1CE287BE" w14:textId="77777777" w:rsidR="00833841" w:rsidRDefault="00833841" w:rsidP="00562F67">
            <w:pPr>
              <w:widowControl w:val="0"/>
              <w:autoSpaceDE w:val="0"/>
              <w:autoSpaceDN w:val="0"/>
              <w:adjustRightInd w:val="0"/>
              <w:spacing w:line="480" w:lineRule="auto"/>
              <w:jc w:val="center"/>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45800</w:t>
            </w:r>
          </w:p>
        </w:tc>
        <w:tc>
          <w:tcPr>
            <w:tcW w:w="4605" w:type="dxa"/>
          </w:tcPr>
          <w:p w14:paraId="397E52EC" w14:textId="77777777" w:rsidR="00833841" w:rsidRDefault="00833841" w:rsidP="00562F67">
            <w:pPr>
              <w:widowControl w:val="0"/>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1.012</w:t>
            </w:r>
          </w:p>
        </w:tc>
      </w:tr>
      <w:tr w:rsidR="00833841" w14:paraId="02A80741" w14:textId="77777777" w:rsidTr="00562F67">
        <w:trPr>
          <w:jc w:val="center"/>
        </w:trPr>
        <w:tc>
          <w:tcPr>
            <w:cnfStyle w:val="001000000000" w:firstRow="0" w:lastRow="0" w:firstColumn="1" w:lastColumn="0" w:oddVBand="0" w:evenVBand="0" w:oddHBand="0" w:evenHBand="0" w:firstRowFirstColumn="0" w:firstRowLastColumn="0" w:lastRowFirstColumn="0" w:lastRowLastColumn="0"/>
            <w:tcW w:w="4605" w:type="dxa"/>
          </w:tcPr>
          <w:p w14:paraId="3A13045B" w14:textId="77777777" w:rsidR="00833841" w:rsidRDefault="00833841" w:rsidP="00562F67">
            <w:pPr>
              <w:widowControl w:val="0"/>
              <w:autoSpaceDE w:val="0"/>
              <w:autoSpaceDN w:val="0"/>
              <w:adjustRightInd w:val="0"/>
              <w:spacing w:line="480" w:lineRule="auto"/>
              <w:jc w:val="center"/>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54960</w:t>
            </w:r>
          </w:p>
        </w:tc>
        <w:tc>
          <w:tcPr>
            <w:tcW w:w="4605" w:type="dxa"/>
          </w:tcPr>
          <w:p w14:paraId="069AFB51" w14:textId="77777777" w:rsidR="00833841" w:rsidRDefault="00833841" w:rsidP="00562F67">
            <w:pPr>
              <w:widowControl w:val="0"/>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1.012</w:t>
            </w:r>
          </w:p>
        </w:tc>
      </w:tr>
      <w:tr w:rsidR="00833841" w14:paraId="14D48BC3" w14:textId="77777777" w:rsidTr="00562F67">
        <w:trPr>
          <w:jc w:val="center"/>
        </w:trPr>
        <w:tc>
          <w:tcPr>
            <w:cnfStyle w:val="001000000000" w:firstRow="0" w:lastRow="0" w:firstColumn="1" w:lastColumn="0" w:oddVBand="0" w:evenVBand="0" w:oddHBand="0" w:evenHBand="0" w:firstRowFirstColumn="0" w:firstRowLastColumn="0" w:lastRowFirstColumn="0" w:lastRowLastColumn="0"/>
            <w:tcW w:w="4605" w:type="dxa"/>
          </w:tcPr>
          <w:p w14:paraId="032AFE44" w14:textId="77777777" w:rsidR="00833841" w:rsidRDefault="00833841" w:rsidP="00562F67">
            <w:pPr>
              <w:widowControl w:val="0"/>
              <w:autoSpaceDE w:val="0"/>
              <w:autoSpaceDN w:val="0"/>
              <w:adjustRightInd w:val="0"/>
              <w:spacing w:line="480" w:lineRule="auto"/>
              <w:jc w:val="center"/>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64120</w:t>
            </w:r>
          </w:p>
        </w:tc>
        <w:tc>
          <w:tcPr>
            <w:tcW w:w="4605" w:type="dxa"/>
          </w:tcPr>
          <w:p w14:paraId="23692C48" w14:textId="77777777" w:rsidR="00833841" w:rsidRDefault="00833841" w:rsidP="00562F67">
            <w:pPr>
              <w:widowControl w:val="0"/>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color w:val="auto"/>
                <w:sz w:val="20"/>
                <w:szCs w:val="20"/>
                <w:u w:val="none"/>
                <w:lang w:val="en-US"/>
              </w:rPr>
            </w:pPr>
            <w:r>
              <w:rPr>
                <w:rStyle w:val="Hyperlink"/>
                <w:rFonts w:ascii="Times New Roman" w:hAnsi="Times New Roman" w:cs="Times New Roman"/>
                <w:color w:val="auto"/>
                <w:sz w:val="20"/>
                <w:szCs w:val="20"/>
                <w:u w:val="none"/>
                <w:lang w:val="en-US"/>
              </w:rPr>
              <w:t>1.012</w:t>
            </w:r>
          </w:p>
        </w:tc>
      </w:tr>
    </w:tbl>
    <w:p w14:paraId="5424A432"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841"/>
    <w:rsid w:val="000D4074"/>
    <w:rsid w:val="001E4B73"/>
    <w:rsid w:val="005314AC"/>
    <w:rsid w:val="00833841"/>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8DB2"/>
  <w15:chartTrackingRefBased/>
  <w15:docId w15:val="{ACFE981C-B09D-4614-BE05-0F306533B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841"/>
    <w:rPr>
      <w:rFonts w:eastAsia="Batang"/>
      <w:lang w:val="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841"/>
    <w:rPr>
      <w:color w:val="0563C1" w:themeColor="hyperlink"/>
      <w:u w:val="single"/>
    </w:rPr>
  </w:style>
  <w:style w:type="table" w:styleId="GridTable1Light">
    <w:name w:val="Grid Table 1 Light"/>
    <w:basedOn w:val="TableNormal"/>
    <w:uiPriority w:val="46"/>
    <w:rsid w:val="00833841"/>
    <w:pPr>
      <w:spacing w:after="0" w:line="240" w:lineRule="auto"/>
    </w:pPr>
    <w:rPr>
      <w:rFonts w:eastAsia="Batang"/>
      <w:lang w:val="de-A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2802</Words>
  <Characters>15972</Characters>
  <Application>Microsoft Office Word</Application>
  <DocSecurity>0</DocSecurity>
  <Lines>133</Lines>
  <Paragraphs>37</Paragraphs>
  <ScaleCrop>false</ScaleCrop>
  <Company>Springer Nature</Company>
  <LinksUpToDate>false</LinksUpToDate>
  <CharactersWithSpaces>18737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2023-08-31T12:14:00Z</dcterms:created>
  <dcterms:modified xsi:type="dcterms:W3CDTF">2023-08-31T12:15:00Z</dcterms:modified>
</cp:coreProperties>
</file>