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E310E" w14:textId="77777777" w:rsidR="001E52F0" w:rsidRPr="001E52F0" w:rsidRDefault="00951BEC" w:rsidP="001E52F0">
      <w:pPr>
        <w:pStyle w:val="Heading1"/>
      </w:pPr>
      <w:r>
        <w:t xml:space="preserve">Supplemental Figures </w:t>
      </w:r>
      <w:r w:rsidR="001E52F0">
        <w:t xml:space="preserve">for: </w:t>
      </w:r>
      <w:proofErr w:type="spellStart"/>
      <w:r w:rsidR="001E52F0">
        <w:t>Lazzarro</w:t>
      </w:r>
      <w:proofErr w:type="spellEnd"/>
      <w:r w:rsidR="001E52F0">
        <w:t xml:space="preserve"> </w:t>
      </w:r>
      <w:r w:rsidR="001E52F0" w:rsidRPr="001E52F0">
        <w:rPr>
          <w:i/>
          <w:iCs/>
        </w:rPr>
        <w:t>et al.</w:t>
      </w:r>
      <w:r w:rsidR="001E52F0">
        <w:t xml:space="preserve"> </w:t>
      </w:r>
      <w:commentRangeStart w:id="0"/>
      <w:commentRangeStart w:id="1"/>
      <w:r w:rsidR="001E52F0" w:rsidRPr="001E52F0">
        <w:t xml:space="preserve">Antiretroviral treatment </w:t>
      </w:r>
      <w:proofErr w:type="gramStart"/>
      <w:r w:rsidR="001E52F0" w:rsidRPr="001E52F0">
        <w:t>is</w:t>
      </w:r>
      <w:proofErr w:type="gramEnd"/>
      <w:r w:rsidR="001E52F0" w:rsidRPr="001E52F0">
        <w:t xml:space="preserve"> less effective at reducing gut microbiome-associated inflammation and T cell activation in people living with HIV in rural versus urban Zimbabwe</w:t>
      </w:r>
      <w:commentRangeEnd w:id="0"/>
      <w:r w:rsidR="001E52F0" w:rsidRPr="001E52F0">
        <w:commentReference w:id="0"/>
      </w:r>
      <w:commentRangeEnd w:id="1"/>
      <w:r w:rsidR="001E52F0" w:rsidRPr="001E52F0">
        <w:commentReference w:id="1"/>
      </w:r>
    </w:p>
    <w:p w14:paraId="43A9E5A5" w14:textId="77777777" w:rsidR="001E52F0" w:rsidRDefault="001E52F0" w:rsidP="001E52F0"/>
    <w:p w14:paraId="14C3BD93" w14:textId="77777777" w:rsidR="008229AC" w:rsidRDefault="008229AC" w:rsidP="001E52F0"/>
    <w:p w14:paraId="74FED99C" w14:textId="77777777" w:rsidR="008229AC" w:rsidRPr="001E52F0" w:rsidRDefault="008229AC" w:rsidP="001E52F0"/>
    <w:p w14:paraId="25F09BB6" w14:textId="77777777" w:rsidR="00951BEC" w:rsidRDefault="00951BEC" w:rsidP="00951BEC">
      <w:r>
        <w:rPr>
          <w:noProof/>
        </w:rPr>
        <w:drawing>
          <wp:inline distT="0" distB="0" distL="0" distR="0" wp14:anchorId="4F167185" wp14:editId="4170FC57">
            <wp:extent cx="5782235" cy="3002312"/>
            <wp:effectExtent l="0" t="0" r="0" b="0"/>
            <wp:docPr id="274631640" name="Picture 274631640" descr="A diagram of a patient's work f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31640" name="Picture 1" descr="A diagram of a patient's work flow&#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870459" cy="3048120"/>
                    </a:xfrm>
                    <a:prstGeom prst="rect">
                      <a:avLst/>
                    </a:prstGeom>
                  </pic:spPr>
                </pic:pic>
              </a:graphicData>
            </a:graphic>
          </wp:inline>
        </w:drawing>
      </w:r>
    </w:p>
    <w:p w14:paraId="1A925F73" w14:textId="77777777" w:rsidR="00951BEC" w:rsidRPr="00F6666C" w:rsidRDefault="00951BEC" w:rsidP="00951BEC">
      <w:r w:rsidRPr="008229AC">
        <w:rPr>
          <w:b/>
          <w:bCs/>
        </w:rPr>
        <w:t>Figure S1</w:t>
      </w:r>
      <w:r w:rsidRPr="00F6666C">
        <w:t>: Number of study participants as impacted by exclusion due to inconsistent viral load with stated treatment status and subsequent loss of participation by week 24.</w:t>
      </w:r>
    </w:p>
    <w:p w14:paraId="7C647971" w14:textId="77777777" w:rsidR="00951BEC" w:rsidRDefault="00951BEC" w:rsidP="00951BEC">
      <w:pPr>
        <w:rPr>
          <w:sz w:val="20"/>
          <w:szCs w:val="20"/>
        </w:rPr>
      </w:pPr>
      <w:r w:rsidRPr="0094672A">
        <w:rPr>
          <w:sz w:val="20"/>
          <w:szCs w:val="20"/>
        </w:rPr>
        <w:t xml:space="preserve"> </w:t>
      </w:r>
      <w:r>
        <w:rPr>
          <w:sz w:val="20"/>
          <w:szCs w:val="20"/>
        </w:rPr>
        <w:br w:type="page"/>
      </w:r>
    </w:p>
    <w:p w14:paraId="3593ECDF" w14:textId="77777777" w:rsidR="00951BEC" w:rsidRDefault="00951BEC" w:rsidP="00951BEC">
      <w:pPr>
        <w:rPr>
          <w:sz w:val="20"/>
          <w:szCs w:val="20"/>
        </w:rPr>
      </w:pPr>
    </w:p>
    <w:p w14:paraId="06F2F46B" w14:textId="77777777" w:rsidR="00951BEC" w:rsidRDefault="00951BEC" w:rsidP="00951BEC">
      <w:pPr>
        <w:rPr>
          <w:sz w:val="20"/>
          <w:szCs w:val="20"/>
        </w:rPr>
      </w:pPr>
    </w:p>
    <w:p w14:paraId="31975256" w14:textId="77777777" w:rsidR="00951BEC" w:rsidRDefault="00951BEC" w:rsidP="00951BEC">
      <w:pPr>
        <w:rPr>
          <w:sz w:val="20"/>
          <w:szCs w:val="20"/>
        </w:rPr>
      </w:pPr>
      <w:r>
        <w:rPr>
          <w:noProof/>
          <w:sz w:val="20"/>
          <w:szCs w:val="20"/>
        </w:rPr>
        <w:drawing>
          <wp:inline distT="0" distB="0" distL="0" distR="0" wp14:anchorId="4C63D4F4" wp14:editId="4DF831FA">
            <wp:extent cx="6015215" cy="2466495"/>
            <wp:effectExtent l="0" t="0" r="5080" b="0"/>
            <wp:docPr id="4" name="Picture 4" descr="A picture containing diagram, text,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 text, plot, lin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3250" cy="2510794"/>
                    </a:xfrm>
                    <a:prstGeom prst="rect">
                      <a:avLst/>
                    </a:prstGeom>
                  </pic:spPr>
                </pic:pic>
              </a:graphicData>
            </a:graphic>
          </wp:inline>
        </w:drawing>
      </w:r>
    </w:p>
    <w:p w14:paraId="2AB9E2EA" w14:textId="77777777" w:rsidR="001E52F0" w:rsidRDefault="001E52F0" w:rsidP="00951BEC"/>
    <w:p w14:paraId="7B6909AB" w14:textId="77777777" w:rsidR="001E52F0" w:rsidRDefault="001E52F0" w:rsidP="00951BEC"/>
    <w:p w14:paraId="153E8031" w14:textId="3842F2CA" w:rsidR="00951BEC" w:rsidRPr="00F6666C" w:rsidRDefault="00951BEC" w:rsidP="00951BEC">
      <w:r w:rsidRPr="008229AC">
        <w:rPr>
          <w:b/>
          <w:bCs/>
        </w:rPr>
        <w:t>Figure S2:</w:t>
      </w:r>
      <w:r w:rsidRPr="00F6666C">
        <w:t xml:space="preserve"> CD4+ T cell percent and CD4/CD8 percent ratios across all cohorts stratified by location and across time (Baseline= Week 0). Statistical significance was calculated using a paired Mann-Whitney U test.</w:t>
      </w:r>
      <w:r w:rsidRPr="00F6666C">
        <w:rPr>
          <w:rFonts w:ascii="Calibri" w:hAnsi="Calibri" w:cs="Calibri"/>
          <w:color w:val="000000"/>
        </w:rPr>
        <w:t xml:space="preserve"> P-values are coded as ‘****’ between [0, 0.0001], ‘***’ (0.0001, 0.001], ‘**’ (0.001, 0.01], ‘*’ (0.01, 0.05], with square brackets indicating that the endpoints are included in the interval.</w:t>
      </w:r>
      <w:r w:rsidRPr="00F6666C">
        <w:br w:type="page"/>
      </w:r>
    </w:p>
    <w:p w14:paraId="19C88E34" w14:textId="77777777" w:rsidR="00951BEC" w:rsidRDefault="00951BEC" w:rsidP="00951BEC">
      <w:pPr>
        <w:rPr>
          <w:sz w:val="20"/>
          <w:szCs w:val="20"/>
        </w:rPr>
      </w:pPr>
    </w:p>
    <w:p w14:paraId="3E040F6C" w14:textId="77777777" w:rsidR="00951BEC" w:rsidRDefault="00951BEC" w:rsidP="00951BEC">
      <w:pPr>
        <w:ind w:left="-720"/>
        <w:jc w:val="center"/>
        <w:rPr>
          <w:sz w:val="20"/>
          <w:szCs w:val="20"/>
        </w:rPr>
      </w:pPr>
      <w:r>
        <w:rPr>
          <w:noProof/>
          <w:sz w:val="20"/>
          <w:szCs w:val="20"/>
        </w:rPr>
        <w:drawing>
          <wp:inline distT="0" distB="0" distL="0" distR="0" wp14:anchorId="2C4C8F81" wp14:editId="1B0C9D38">
            <wp:extent cx="5898776" cy="2242291"/>
            <wp:effectExtent l="0" t="0" r="0" b="5715"/>
            <wp:docPr id="2002273111" name="Picture 2002273111"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73111" name="Picture 1" descr="A picture containing text, screenshot, desig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51237" cy="2338259"/>
                    </a:xfrm>
                    <a:prstGeom prst="rect">
                      <a:avLst/>
                    </a:prstGeom>
                  </pic:spPr>
                </pic:pic>
              </a:graphicData>
            </a:graphic>
          </wp:inline>
        </w:drawing>
      </w:r>
    </w:p>
    <w:p w14:paraId="774DA3B3" w14:textId="77777777" w:rsidR="008229AC" w:rsidRDefault="008229AC" w:rsidP="00951BEC"/>
    <w:p w14:paraId="7C116C6A" w14:textId="77777777" w:rsidR="008229AC" w:rsidRDefault="008229AC" w:rsidP="00951BEC"/>
    <w:p w14:paraId="3CD0745B" w14:textId="788E098D" w:rsidR="00951BEC" w:rsidRPr="00F6666C" w:rsidRDefault="00951BEC" w:rsidP="00951BEC">
      <w:pPr>
        <w:rPr>
          <w:color w:val="000000" w:themeColor="text1"/>
        </w:rPr>
      </w:pPr>
      <w:r w:rsidRPr="008229AC">
        <w:rPr>
          <w:b/>
          <w:bCs/>
        </w:rPr>
        <w:t>Figure S3</w:t>
      </w:r>
      <w:r w:rsidRPr="00F6666C">
        <w:t>:</w:t>
      </w:r>
      <w:r w:rsidRPr="00F6666C">
        <w:rPr>
          <w:rStyle w:val="normaltextrun"/>
          <w:rFonts w:ascii="Calibri" w:hAnsi="Calibri" w:cs="Calibri"/>
          <w:color w:val="000000"/>
          <w:shd w:val="clear" w:color="auto" w:fill="FFFFFF"/>
        </w:rPr>
        <w:t xml:space="preserve"> Fixed-effects ordinary least squares (OLS) linear modeling was used to evaluate the combined effects of differences in cohorts and time points overall (left panel) and stratified by rural (middle panel) and urban (right panel) location. From the left, columns representing predictors should be interpreted as follows: the effect of ART naïve PLWH relative to healthy controls; the effect of ART experienced PLWH relative to heathy controls; change over time (COT) in healthy controls; the interaction of ART naïve PLWH with time relative to healthy controls and time; and the interaction of ART experienced PLWH with time relative to healthy controls and time. Coefficient and color show directionality of the relationship – red is a positive effect and blue negative. </w:t>
      </w:r>
      <w:r w:rsidRPr="00F6666C">
        <w:t>P-values are coded as ‘****’ between [0, 0.0001], ‘***’ (0.0001, 0.001], ‘**’ (0.001, 0.01], ‘*’ (0.01, 0.05], with square brackets indicating that the endpoints are included in the interval.</w:t>
      </w:r>
      <w:r w:rsidRPr="00F6666C">
        <w:rPr>
          <w:color w:val="000000" w:themeColor="text1"/>
        </w:rPr>
        <w:br w:type="page"/>
      </w:r>
    </w:p>
    <w:p w14:paraId="240CA3E6" w14:textId="77777777" w:rsidR="00951BEC" w:rsidRPr="00D87F87" w:rsidRDefault="00951BEC" w:rsidP="00951BEC">
      <w:pPr>
        <w:rPr>
          <w:color w:val="000000" w:themeColor="text1"/>
          <w:sz w:val="20"/>
          <w:szCs w:val="20"/>
        </w:rPr>
      </w:pPr>
    </w:p>
    <w:p w14:paraId="13F8640E" w14:textId="77777777" w:rsidR="00951BEC" w:rsidRDefault="00951BEC" w:rsidP="00951BEC">
      <w:pPr>
        <w:jc w:val="center"/>
        <w:rPr>
          <w:sz w:val="20"/>
          <w:szCs w:val="20"/>
        </w:rPr>
      </w:pPr>
      <w:r>
        <w:rPr>
          <w:noProof/>
          <w:sz w:val="20"/>
          <w:szCs w:val="20"/>
        </w:rPr>
        <w:drawing>
          <wp:inline distT="0" distB="0" distL="0" distR="0" wp14:anchorId="374E16C0" wp14:editId="0BFCE23C">
            <wp:extent cx="5602941" cy="4134563"/>
            <wp:effectExtent l="0" t="0" r="0" b="5715"/>
            <wp:docPr id="1616056455" name="Picture 1616056455" descr="A group of graphs showing different types of coh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056455" name="Picture 5" descr="A group of graphs showing different types of coho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653868" cy="4172143"/>
                    </a:xfrm>
                    <a:prstGeom prst="rect">
                      <a:avLst/>
                    </a:prstGeom>
                  </pic:spPr>
                </pic:pic>
              </a:graphicData>
            </a:graphic>
          </wp:inline>
        </w:drawing>
      </w:r>
    </w:p>
    <w:p w14:paraId="673290BE" w14:textId="77777777" w:rsidR="008229AC" w:rsidRDefault="008229AC" w:rsidP="00951BEC">
      <w:pPr>
        <w:rPr>
          <w:b/>
          <w:bCs/>
        </w:rPr>
      </w:pPr>
    </w:p>
    <w:p w14:paraId="69DAE1DD" w14:textId="77777777" w:rsidR="008229AC" w:rsidRDefault="008229AC" w:rsidP="00951BEC">
      <w:pPr>
        <w:rPr>
          <w:b/>
          <w:bCs/>
        </w:rPr>
      </w:pPr>
    </w:p>
    <w:p w14:paraId="3B233B16" w14:textId="19E7BA18" w:rsidR="00951BEC" w:rsidRPr="00F6666C" w:rsidRDefault="00951BEC" w:rsidP="00951BEC">
      <w:r w:rsidRPr="008229AC">
        <w:rPr>
          <w:b/>
          <w:bCs/>
        </w:rPr>
        <w:t>Figure S4:</w:t>
      </w:r>
      <w:r w:rsidRPr="00F6666C">
        <w:t xml:space="preserve"> Detailed plots of CD8+CD38+HLA-DR+ (Panels </w:t>
      </w:r>
      <w:proofErr w:type="gramStart"/>
      <w:r w:rsidRPr="00F6666C">
        <w:t>A,B</w:t>
      </w:r>
      <w:proofErr w:type="gramEnd"/>
      <w:r w:rsidRPr="00F6666C">
        <w:t xml:space="preserve">) and CD4+CD38+HLA-DR+ T (Panels C,D) cells underlying p-values reported in Figure 1A. Panels A,C: Inter-cohort comparisons using only baseline (Week 0) values. Statistical significance assessed </w:t>
      </w:r>
      <w:r w:rsidRPr="00F6666C">
        <w:rPr>
          <w:rFonts w:ascii="Calibri" w:eastAsia="Calibri" w:hAnsi="Calibri" w:cs="Calibri"/>
        </w:rPr>
        <w:t>using a Kruskal Wallis with a Dunn’s post-hoc</w:t>
      </w:r>
      <w:r w:rsidRPr="00F6666C">
        <w:t xml:space="preserve"> test. Panels </w:t>
      </w:r>
      <w:proofErr w:type="gramStart"/>
      <w:r w:rsidRPr="00F6666C">
        <w:t>B,D</w:t>
      </w:r>
      <w:proofErr w:type="gramEnd"/>
      <w:r w:rsidRPr="00F6666C">
        <w:t xml:space="preserve">: Intra-cohort longitudinal comparisons over time. Statistical significance assessed using a paired Mann-Whitney U test. </w:t>
      </w:r>
      <w:r w:rsidRPr="00F6666C">
        <w:rPr>
          <w:rFonts w:ascii="Calibri" w:hAnsi="Calibri" w:cs="Calibri"/>
          <w:color w:val="000000"/>
        </w:rPr>
        <w:t>P-values are coded as ‘****’ between [0, 0.0001], ‘***’ (0.0001, 0.001], ‘**’ (0.001, 0.01], ‘*’ (0.01, 0.05], with square brackets indicating that the endpoints are included in the interval.</w:t>
      </w:r>
      <w:r w:rsidRPr="00F6666C">
        <w:br w:type="page"/>
      </w:r>
    </w:p>
    <w:p w14:paraId="519E9834" w14:textId="77777777" w:rsidR="00951BEC" w:rsidRDefault="00951BEC" w:rsidP="00951BEC">
      <w:pPr>
        <w:rPr>
          <w:sz w:val="20"/>
          <w:szCs w:val="20"/>
        </w:rPr>
      </w:pPr>
    </w:p>
    <w:p w14:paraId="4C41DB3B" w14:textId="77777777" w:rsidR="00951BEC" w:rsidRDefault="00951BEC" w:rsidP="00951BEC">
      <w:pPr>
        <w:jc w:val="center"/>
        <w:rPr>
          <w:sz w:val="20"/>
          <w:szCs w:val="20"/>
        </w:rPr>
      </w:pPr>
      <w:r>
        <w:rPr>
          <w:noProof/>
          <w:sz w:val="20"/>
          <w:szCs w:val="20"/>
        </w:rPr>
        <w:drawing>
          <wp:inline distT="0" distB="0" distL="0" distR="0" wp14:anchorId="22136AEB" wp14:editId="5DF98A71">
            <wp:extent cx="5943600" cy="4218305"/>
            <wp:effectExtent l="0" t="0" r="0" b="0"/>
            <wp:docPr id="1584295110" name="Picture 1584295110" descr="A picture containing diagram, text,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95110" name="Picture 6" descr="A picture containing diagram, text, pla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4218305"/>
                    </a:xfrm>
                    <a:prstGeom prst="rect">
                      <a:avLst/>
                    </a:prstGeom>
                  </pic:spPr>
                </pic:pic>
              </a:graphicData>
            </a:graphic>
          </wp:inline>
        </w:drawing>
      </w:r>
    </w:p>
    <w:p w14:paraId="658030C6" w14:textId="77777777" w:rsidR="008229AC" w:rsidRDefault="00951BEC" w:rsidP="00951BEC">
      <w:r w:rsidRPr="00F6666C">
        <w:t>F</w:t>
      </w:r>
    </w:p>
    <w:p w14:paraId="6F730C99" w14:textId="77777777" w:rsidR="008229AC" w:rsidRDefault="008229AC" w:rsidP="00951BEC"/>
    <w:p w14:paraId="15844632" w14:textId="2BB72FB7" w:rsidR="00951BEC" w:rsidRPr="00F6666C" w:rsidRDefault="008229AC" w:rsidP="00951BEC">
      <w:r w:rsidRPr="008229AC">
        <w:rPr>
          <w:b/>
          <w:bCs/>
        </w:rPr>
        <w:t>F</w:t>
      </w:r>
      <w:r w:rsidR="00951BEC" w:rsidRPr="008229AC">
        <w:rPr>
          <w:b/>
          <w:bCs/>
        </w:rPr>
        <w:t>igure S5:</w:t>
      </w:r>
      <w:r w:rsidR="00951BEC" w:rsidRPr="00F6666C">
        <w:t xml:space="preserve"> Detailed plots of CD8+PD1+ T cells (Panels </w:t>
      </w:r>
      <w:proofErr w:type="gramStart"/>
      <w:r w:rsidR="00951BEC" w:rsidRPr="00F6666C">
        <w:t>A,B</w:t>
      </w:r>
      <w:proofErr w:type="gramEnd"/>
      <w:r w:rsidR="00951BEC" w:rsidRPr="00F6666C">
        <w:t xml:space="preserve">) and CD4+PD1+ T cells (Panels C, D) underlying p-values reported in Figure 1A. Panels A,C: Inter-cohort comparisons using only baseline (Week 0) values. Statistical significance assessed </w:t>
      </w:r>
      <w:r w:rsidR="00951BEC" w:rsidRPr="00F6666C">
        <w:rPr>
          <w:rFonts w:ascii="Calibri" w:eastAsia="Calibri" w:hAnsi="Calibri" w:cs="Calibri"/>
        </w:rPr>
        <w:t>using a Kruskal Wallis test with a Dunn’s post-hoc</w:t>
      </w:r>
      <w:r w:rsidR="00951BEC" w:rsidRPr="00F6666C">
        <w:t xml:space="preserve"> test. Panels </w:t>
      </w:r>
      <w:proofErr w:type="gramStart"/>
      <w:r w:rsidR="00951BEC" w:rsidRPr="00F6666C">
        <w:t>B,D</w:t>
      </w:r>
      <w:proofErr w:type="gramEnd"/>
      <w:r w:rsidR="00951BEC" w:rsidRPr="00F6666C">
        <w:t xml:space="preserve">: Intra-cohort longitudinal comparisons over time. Statistical significance assessed using a paired Mann-Whitney U test. </w:t>
      </w:r>
      <w:r w:rsidR="00951BEC" w:rsidRPr="00F6666C">
        <w:rPr>
          <w:rFonts w:ascii="Calibri" w:hAnsi="Calibri" w:cs="Calibri"/>
          <w:color w:val="000000"/>
        </w:rPr>
        <w:t>P-values are coded as ‘****’ between [0, 0.0001], ‘***’ (0.0001, 0.001], ‘**’ (0.001, 0.01], ‘*’ (0.01, 0.05], with square brackets indicating that the endpoints are included in the interval.</w:t>
      </w:r>
      <w:r w:rsidR="00951BEC" w:rsidRPr="00F6666C">
        <w:br w:type="page"/>
      </w:r>
    </w:p>
    <w:p w14:paraId="0E85A4E3" w14:textId="77777777" w:rsidR="00951BEC" w:rsidRDefault="00951BEC" w:rsidP="00951BEC">
      <w:pPr>
        <w:rPr>
          <w:sz w:val="20"/>
          <w:szCs w:val="20"/>
        </w:rPr>
      </w:pPr>
    </w:p>
    <w:p w14:paraId="38135F33" w14:textId="77777777" w:rsidR="00951BEC" w:rsidRDefault="00951BEC" w:rsidP="00951BEC">
      <w:pPr>
        <w:jc w:val="center"/>
        <w:rPr>
          <w:sz w:val="20"/>
          <w:szCs w:val="20"/>
        </w:rPr>
      </w:pPr>
      <w:r>
        <w:rPr>
          <w:noProof/>
          <w:sz w:val="20"/>
          <w:szCs w:val="20"/>
        </w:rPr>
        <w:drawing>
          <wp:inline distT="0" distB="0" distL="0" distR="0" wp14:anchorId="4940FF6B" wp14:editId="5D939B10">
            <wp:extent cx="5943600" cy="4385945"/>
            <wp:effectExtent l="0" t="0" r="0" b="0"/>
            <wp:docPr id="1288168766" name="Picture 1288168766" descr="A group of graphs showing different types of coh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68766" name="Picture 6" descr="A group of graphs showing different types of coho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4385945"/>
                    </a:xfrm>
                    <a:prstGeom prst="rect">
                      <a:avLst/>
                    </a:prstGeom>
                  </pic:spPr>
                </pic:pic>
              </a:graphicData>
            </a:graphic>
          </wp:inline>
        </w:drawing>
      </w:r>
    </w:p>
    <w:p w14:paraId="0FE8670A" w14:textId="77777777" w:rsidR="008229AC" w:rsidRDefault="008229AC" w:rsidP="00951BEC"/>
    <w:p w14:paraId="7726D4A2" w14:textId="77777777" w:rsidR="008229AC" w:rsidRDefault="008229AC" w:rsidP="00951BEC"/>
    <w:p w14:paraId="5A37ECFC" w14:textId="61C5AA65" w:rsidR="00951BEC" w:rsidRPr="00F6666C" w:rsidRDefault="00951BEC" w:rsidP="00951BEC">
      <w:r w:rsidRPr="008229AC">
        <w:rPr>
          <w:b/>
          <w:bCs/>
        </w:rPr>
        <w:t>Figure S6:</w:t>
      </w:r>
      <w:r w:rsidRPr="00F6666C">
        <w:t xml:space="preserve"> Detailed plots of CD8+CD103+ (Panels </w:t>
      </w:r>
      <w:proofErr w:type="gramStart"/>
      <w:r w:rsidRPr="00F6666C">
        <w:t>A,B</w:t>
      </w:r>
      <w:proofErr w:type="gramEnd"/>
      <w:r w:rsidRPr="00F6666C">
        <w:t xml:space="preserve">) and CD8+CD103+ (Panels C,D) T cells underlying p-values reported in Figure 1A. Panels A,C: Inter-cohort comparisons using only baseline (Week 0) values. Statistical significance assessed </w:t>
      </w:r>
      <w:r w:rsidRPr="00F6666C">
        <w:rPr>
          <w:rFonts w:ascii="Calibri" w:eastAsia="Calibri" w:hAnsi="Calibri" w:cs="Calibri"/>
        </w:rPr>
        <w:t>using a Kruskal Wallis with a Dunn’s post-hoc</w:t>
      </w:r>
      <w:r w:rsidRPr="00F6666C">
        <w:t xml:space="preserve"> test. Panels </w:t>
      </w:r>
      <w:proofErr w:type="gramStart"/>
      <w:r w:rsidRPr="00F6666C">
        <w:t>B,D</w:t>
      </w:r>
      <w:proofErr w:type="gramEnd"/>
      <w:r w:rsidRPr="00F6666C">
        <w:t>: Intra-cohort longitudinal comparisons over time. Statistical significance assessed using a paired Mann-Whitney U test. P-values are coded as ‘****’ between [0, 0.0001], ‘***’ (0.0001, 0.001], ‘**’ (0.001, 0.01], ‘*’ (0.01, 0.05], with square brackets indicating that the endpoints are included in the interval.</w:t>
      </w:r>
      <w:r w:rsidRPr="00F6666C">
        <w:br w:type="page"/>
      </w:r>
    </w:p>
    <w:p w14:paraId="2E8B6800" w14:textId="77777777" w:rsidR="00951BEC" w:rsidRDefault="00951BEC" w:rsidP="00951BEC">
      <w:pPr>
        <w:rPr>
          <w:sz w:val="20"/>
          <w:szCs w:val="20"/>
        </w:rPr>
      </w:pPr>
    </w:p>
    <w:p w14:paraId="3521836B" w14:textId="77777777" w:rsidR="00951BEC" w:rsidRDefault="00951BEC" w:rsidP="00951BEC">
      <w:pPr>
        <w:jc w:val="center"/>
        <w:rPr>
          <w:sz w:val="20"/>
          <w:szCs w:val="20"/>
        </w:rPr>
      </w:pPr>
      <w:r>
        <w:rPr>
          <w:noProof/>
          <w:sz w:val="20"/>
          <w:szCs w:val="20"/>
        </w:rPr>
        <w:drawing>
          <wp:inline distT="0" distB="0" distL="0" distR="0" wp14:anchorId="02B0A3EF" wp14:editId="4D8DC99C">
            <wp:extent cx="5943600" cy="4385945"/>
            <wp:effectExtent l="0" t="0" r="0" b="0"/>
            <wp:docPr id="730617830" name="Picture 730617830" descr="A group of graphs showing different types of coh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17830" name="Picture 7" descr="A group of graphs showing different types of coho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4385945"/>
                    </a:xfrm>
                    <a:prstGeom prst="rect">
                      <a:avLst/>
                    </a:prstGeom>
                  </pic:spPr>
                </pic:pic>
              </a:graphicData>
            </a:graphic>
          </wp:inline>
        </w:drawing>
      </w:r>
    </w:p>
    <w:p w14:paraId="60869379" w14:textId="77777777" w:rsidR="008229AC" w:rsidRDefault="008229AC" w:rsidP="00951BEC"/>
    <w:p w14:paraId="61BB7B48" w14:textId="27B832EE" w:rsidR="00951BEC" w:rsidRPr="00F6666C" w:rsidRDefault="00951BEC" w:rsidP="00951BEC">
      <w:r w:rsidRPr="008229AC">
        <w:rPr>
          <w:b/>
          <w:bCs/>
        </w:rPr>
        <w:t>Figure S7</w:t>
      </w:r>
      <w:r w:rsidRPr="00F6666C">
        <w:t xml:space="preserve">: Detailed plots of IL-6 (Panels </w:t>
      </w:r>
      <w:proofErr w:type="gramStart"/>
      <w:r w:rsidRPr="00F6666C">
        <w:t>A,B</w:t>
      </w:r>
      <w:proofErr w:type="gramEnd"/>
      <w:r w:rsidRPr="00F6666C">
        <w:t xml:space="preserve">) and CRP (Panels B,C) levels underlying p-values reported in Figure 1A. Panels A,C: Inter-cohort comparisons using only baseline (Week 0) values. Statistical significance assessed </w:t>
      </w:r>
      <w:r w:rsidRPr="00F6666C">
        <w:rPr>
          <w:rFonts w:ascii="Calibri" w:eastAsia="Calibri" w:hAnsi="Calibri" w:cs="Calibri"/>
        </w:rPr>
        <w:t>using a Kruskal Wallis with a Dunn’s post-hoc</w:t>
      </w:r>
      <w:r w:rsidRPr="00F6666C">
        <w:t xml:space="preserve"> test. Panels </w:t>
      </w:r>
      <w:proofErr w:type="gramStart"/>
      <w:r w:rsidRPr="00F6666C">
        <w:t>B,D</w:t>
      </w:r>
      <w:proofErr w:type="gramEnd"/>
      <w:r w:rsidRPr="00F6666C">
        <w:t xml:space="preserve">: Intra-cohort longitudinal comparisons over time. Statistical significance assessed using a paired </w:t>
      </w:r>
      <w:r w:rsidRPr="00F6666C">
        <w:rPr>
          <w:rFonts w:ascii="Calibri" w:hAnsi="Calibri" w:cs="Calibri"/>
          <w:color w:val="000000"/>
        </w:rPr>
        <w:t xml:space="preserve">P-values are coded as ‘****’ between [0, 0.0001], ‘***’ (0.0001, 0.001], ‘**’ (0.001, 0.01], ‘*’ (0.01, 0.05], with square brackets indicating that the endpoints are included in the </w:t>
      </w:r>
      <w:proofErr w:type="spellStart"/>
      <w:r w:rsidRPr="00F6666C">
        <w:rPr>
          <w:rFonts w:ascii="Calibri" w:hAnsi="Calibri" w:cs="Calibri"/>
          <w:color w:val="000000"/>
        </w:rPr>
        <w:t>interval.</w:t>
      </w:r>
      <w:r w:rsidRPr="00F6666C">
        <w:t>p</w:t>
      </w:r>
      <w:proofErr w:type="spellEnd"/>
      <w:r w:rsidRPr="00F6666C">
        <w:rPr>
          <w:rStyle w:val="normaltextrun"/>
          <w:rFonts w:ascii="Calibri" w:hAnsi="Calibri" w:cs="Calibri"/>
          <w:color w:val="000000"/>
          <w:shd w:val="clear" w:color="auto" w:fill="FFFFFF"/>
        </w:rPr>
        <w:t>-values &lt; 0.0001 are labeled as ****, &lt; 0.001 are ***, 0.01 are **, and &lt; 0.05 are *.</w:t>
      </w:r>
    </w:p>
    <w:p w14:paraId="70756A12" w14:textId="77777777" w:rsidR="00951BEC" w:rsidRDefault="00951BEC" w:rsidP="00951BEC">
      <w:pPr>
        <w:rPr>
          <w:sz w:val="20"/>
          <w:szCs w:val="20"/>
        </w:rPr>
      </w:pPr>
    </w:p>
    <w:p w14:paraId="63732A79" w14:textId="77777777" w:rsidR="00951BEC" w:rsidRDefault="00951BEC" w:rsidP="00951BEC">
      <w:pPr>
        <w:rPr>
          <w:sz w:val="20"/>
          <w:szCs w:val="20"/>
        </w:rPr>
      </w:pPr>
    </w:p>
    <w:p w14:paraId="54316069" w14:textId="77777777" w:rsidR="00951BEC" w:rsidRDefault="00951BEC" w:rsidP="00951BEC">
      <w:pPr>
        <w:spacing w:line="259" w:lineRule="auto"/>
        <w:rPr>
          <w:sz w:val="20"/>
          <w:szCs w:val="20"/>
        </w:rPr>
      </w:pPr>
      <w:r>
        <w:rPr>
          <w:noProof/>
          <w:sz w:val="20"/>
          <w:szCs w:val="20"/>
        </w:rPr>
        <w:lastRenderedPageBreak/>
        <w:drawing>
          <wp:inline distT="0" distB="0" distL="0" distR="0" wp14:anchorId="537C51F2" wp14:editId="63608D73">
            <wp:extent cx="5943600" cy="2750185"/>
            <wp:effectExtent l="0" t="0" r="0" b="5715"/>
            <wp:docPr id="758682568" name="Picture 758682568" descr="A picture containing text, line, pl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682568" name="Picture 4" descr="A picture containing text, line, plot, 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750185"/>
                    </a:xfrm>
                    <a:prstGeom prst="rect">
                      <a:avLst/>
                    </a:prstGeom>
                  </pic:spPr>
                </pic:pic>
              </a:graphicData>
            </a:graphic>
          </wp:inline>
        </w:drawing>
      </w:r>
    </w:p>
    <w:p w14:paraId="643D2B79" w14:textId="77777777" w:rsidR="008229AC" w:rsidRDefault="008229AC" w:rsidP="00951BEC">
      <w:pPr>
        <w:spacing w:line="259" w:lineRule="auto"/>
      </w:pPr>
    </w:p>
    <w:p w14:paraId="019C6877" w14:textId="77777777" w:rsidR="008229AC" w:rsidRDefault="008229AC" w:rsidP="00951BEC">
      <w:pPr>
        <w:spacing w:line="259" w:lineRule="auto"/>
      </w:pPr>
    </w:p>
    <w:p w14:paraId="054C9109" w14:textId="19B9A284" w:rsidR="00951BEC" w:rsidRPr="00F6666C" w:rsidRDefault="00951BEC" w:rsidP="00951BEC">
      <w:pPr>
        <w:spacing w:line="259" w:lineRule="auto"/>
      </w:pPr>
      <w:r w:rsidRPr="008229AC">
        <w:rPr>
          <w:b/>
          <w:bCs/>
        </w:rPr>
        <w:t>Figure S8:</w:t>
      </w:r>
      <w:r w:rsidRPr="00F6666C">
        <w:t xml:space="preserve"> Correlation between the Length of time on </w:t>
      </w:r>
      <w:r w:rsidR="00FD32DC" w:rsidRPr="00F6666C">
        <w:t>Cotrimoxazole</w:t>
      </w:r>
      <w:r w:rsidRPr="00F6666C">
        <w:t xml:space="preserve"> at Baseline (week 0) and alpha diversity (Shannon Entropy) and Dysbiosis (average weighted UniFrac distance of a given sample from each of the health control samples). Values shown for only the ART naïve cohort. A linear regression model was used with an interaction term for rural versus urban location. </w:t>
      </w:r>
    </w:p>
    <w:p w14:paraId="6564C788" w14:textId="77777777" w:rsidR="00951BEC" w:rsidRDefault="00951BEC" w:rsidP="00951BEC">
      <w:pPr>
        <w:rPr>
          <w:sz w:val="20"/>
          <w:szCs w:val="20"/>
        </w:rPr>
      </w:pPr>
      <w:r>
        <w:rPr>
          <w:sz w:val="20"/>
          <w:szCs w:val="20"/>
        </w:rPr>
        <w:br w:type="page"/>
      </w:r>
    </w:p>
    <w:p w14:paraId="66478E43" w14:textId="77777777" w:rsidR="00951BEC" w:rsidRDefault="00951BEC" w:rsidP="00951BEC">
      <w:pPr>
        <w:rPr>
          <w:sz w:val="20"/>
          <w:szCs w:val="20"/>
        </w:rPr>
      </w:pPr>
    </w:p>
    <w:p w14:paraId="622982B8" w14:textId="77777777" w:rsidR="00951BEC" w:rsidRDefault="00951BEC" w:rsidP="00951BEC">
      <w:pPr>
        <w:ind w:left="-1080"/>
        <w:jc w:val="center"/>
        <w:rPr>
          <w:sz w:val="20"/>
          <w:szCs w:val="20"/>
        </w:rPr>
      </w:pPr>
      <w:r>
        <w:rPr>
          <w:noProof/>
          <w:sz w:val="20"/>
          <w:szCs w:val="20"/>
        </w:rPr>
        <w:drawing>
          <wp:inline distT="0" distB="0" distL="0" distR="0" wp14:anchorId="0A1F5B22" wp14:editId="6FF7DF78">
            <wp:extent cx="7469179" cy="4202607"/>
            <wp:effectExtent l="0" t="0" r="0" b="1270"/>
            <wp:docPr id="7" name="Picture 7" descr="A picture containing screenshot, text, colorfulness,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screenshot, text, colorfulness, art&#10;&#10;Description automatically generated"/>
                    <pic:cNvPicPr/>
                  </pic:nvPicPr>
                  <pic:blipFill rotWithShape="1">
                    <a:blip r:embed="rId16" cstate="print">
                      <a:extLst>
                        <a:ext uri="{28A0092B-C50C-407E-A947-70E740481C1C}">
                          <a14:useLocalDpi xmlns:a14="http://schemas.microsoft.com/office/drawing/2010/main" val="0"/>
                        </a:ext>
                      </a:extLst>
                    </a:blip>
                    <a:srcRect r="9542"/>
                    <a:stretch/>
                  </pic:blipFill>
                  <pic:spPr bwMode="auto">
                    <a:xfrm>
                      <a:off x="0" y="0"/>
                      <a:ext cx="7595042" cy="4273425"/>
                    </a:xfrm>
                    <a:prstGeom prst="rect">
                      <a:avLst/>
                    </a:prstGeom>
                    <a:ln>
                      <a:noFill/>
                    </a:ln>
                    <a:extLst>
                      <a:ext uri="{53640926-AAD7-44D8-BBD7-CCE9431645EC}">
                        <a14:shadowObscured xmlns:a14="http://schemas.microsoft.com/office/drawing/2010/main"/>
                      </a:ext>
                    </a:extLst>
                  </pic:spPr>
                </pic:pic>
              </a:graphicData>
            </a:graphic>
          </wp:inline>
        </w:drawing>
      </w:r>
    </w:p>
    <w:p w14:paraId="5194E678" w14:textId="77777777" w:rsidR="008229AC" w:rsidRDefault="008229AC" w:rsidP="00951BEC">
      <w:pPr>
        <w:pStyle w:val="Bibliography"/>
        <w:spacing w:after="0"/>
        <w:ind w:left="0" w:firstLine="0"/>
      </w:pPr>
    </w:p>
    <w:p w14:paraId="2162CB71" w14:textId="77777777" w:rsidR="008229AC" w:rsidRDefault="008229AC" w:rsidP="00951BEC">
      <w:pPr>
        <w:pStyle w:val="Bibliography"/>
        <w:spacing w:after="0"/>
        <w:ind w:left="0" w:firstLine="0"/>
      </w:pPr>
    </w:p>
    <w:p w14:paraId="6D88B9A3" w14:textId="585A75B7" w:rsidR="00951BEC" w:rsidRPr="00F6666C" w:rsidRDefault="00951BEC" w:rsidP="00951BEC">
      <w:pPr>
        <w:pStyle w:val="Bibliography"/>
        <w:spacing w:after="0"/>
        <w:ind w:left="0" w:firstLine="0"/>
        <w:rPr>
          <w:rStyle w:val="normaltextrun"/>
          <w:rFonts w:ascii="Calibri" w:hAnsi="Calibri" w:cs="Calibri"/>
          <w:color w:val="000000"/>
          <w:shd w:val="clear" w:color="auto" w:fill="FFFFFF"/>
        </w:rPr>
      </w:pPr>
      <w:r w:rsidRPr="008229AC">
        <w:rPr>
          <w:b/>
          <w:bCs/>
        </w:rPr>
        <w:t>Figure S9:</w:t>
      </w:r>
      <w:r w:rsidRPr="00F6666C">
        <w:t xml:space="preserve"> Taxa bar plots. Taxonomic assignments were made </w:t>
      </w:r>
      <w:r w:rsidRPr="00F6666C">
        <w:rPr>
          <w:rStyle w:val="normaltextrun"/>
          <w:rFonts w:ascii="Calibri" w:hAnsi="Calibri" w:cs="Calibri"/>
          <w:color w:val="000000"/>
          <w:shd w:val="clear" w:color="auto" w:fill="FFFFFF"/>
        </w:rPr>
        <w:t xml:space="preserve">using a QIIME2 trained naïve-bayes classifier and the Silva (version 138) taxonomic database </w:t>
      </w:r>
      <w:r w:rsidRPr="00F6666C">
        <w:rPr>
          <w:rStyle w:val="normaltextrun"/>
          <w:rFonts w:ascii="Calibri" w:hAnsi="Calibri" w:cs="Calibri"/>
          <w:color w:val="000000"/>
          <w:shd w:val="clear" w:color="auto" w:fill="FFFFFF"/>
        </w:rPr>
        <w:fldChar w:fldCharType="begin"/>
      </w:r>
      <w:r w:rsidRPr="00F6666C">
        <w:rPr>
          <w:rStyle w:val="normaltextrun"/>
          <w:rFonts w:ascii="Calibri" w:hAnsi="Calibri" w:cs="Calibri"/>
          <w:color w:val="000000"/>
          <w:shd w:val="clear" w:color="auto" w:fill="FFFFFF"/>
        </w:rPr>
        <w:instrText xml:space="preserve"> ADDIN ZOTERO_ITEM CSL_CITATION {"citationID":"qAhkd1Rl","properties":{"formattedCitation":"[47]","plainCitation":"[47]","noteIndex":0},"citationItems":[{"id":213,"uris":["http://zotero.org/users/11572896/items/UHLPQW9M"],"itemData":{"id":213,"type":"article-journal","abstract":"SILVA (from Latin silva, forest, http://www.arb-silva.de) is a comprehensive resource for up-to-date quality-controlled databases of aligned ribosomal RNA (rRNA) gene sequences from the Bacteria, Archaea and Eukaryota domains and supplementary online services. SILVA provides a manually curated taxonomy for all three domains of life, based on representative phylogenetic trees for the small- and large-subunit rRNA genes. This article describes the improvements the SILVA taxonomy has undergone in the last 3 years. Specifically we are focusing on the curation process, the various resources used for curation and the comparison of the SILVA taxonomy with Greengenes and RDP-II taxonomies. Our comparisons not only revealed a reasonable overlap between the taxa names, but also points to significant differences in both names and numbers of taxa between the three resources.","container-title":"Nucleic Acids Research","DOI":"10.1093/nar/gkt1209","ISSN":"0305-1048","issue":"D1","journalAbbreviation":"Nucleic Acids Research","page":"D643-D648","source":"Silverchair","title":"The SILVA and “All-species Living Tree Project (LTP)” taxonomic frameworks","volume":"42","author":[{"family":"Yilmaz","given":"Pelin"},{"family":"Parfrey","given":"Laura Wegener"},{"family":"Yarza","given":"Pablo"},{"family":"Gerken","given":"Jan"},{"family":"Pruesse","given":"Elmar"},{"family":"Quast","given":"Christian"},{"family":"Schweer","given":"Timmy"},{"family":"Peplies","given":"Jörg"},{"family":"Ludwig","given":"Wolfgang"},{"family":"Glöckner","given":"Frank Oliver"}],"issued":{"date-parts":[["2014",1,1]]}}}],"schema":"https://github.com/citation-style-language/schema/raw/master/csl-citation.json"} </w:instrText>
      </w:r>
      <w:r w:rsidRPr="00F6666C">
        <w:rPr>
          <w:rStyle w:val="normaltextrun"/>
          <w:rFonts w:ascii="Calibri" w:hAnsi="Calibri" w:cs="Calibri"/>
          <w:color w:val="000000"/>
          <w:shd w:val="clear" w:color="auto" w:fill="FFFFFF"/>
        </w:rPr>
        <w:fldChar w:fldCharType="separate"/>
      </w:r>
      <w:r w:rsidRPr="00F6666C">
        <w:rPr>
          <w:rStyle w:val="normaltextrun"/>
          <w:rFonts w:ascii="Calibri" w:hAnsi="Calibri" w:cs="Calibri"/>
          <w:noProof/>
          <w:color w:val="000000"/>
          <w:shd w:val="clear" w:color="auto" w:fill="FFFFFF"/>
        </w:rPr>
        <w:t>[47]</w:t>
      </w:r>
      <w:r w:rsidRPr="00F6666C">
        <w:rPr>
          <w:rStyle w:val="normaltextrun"/>
          <w:rFonts w:ascii="Calibri" w:hAnsi="Calibri" w:cs="Calibri"/>
          <w:color w:val="000000"/>
          <w:shd w:val="clear" w:color="auto" w:fill="FFFFFF"/>
        </w:rPr>
        <w:fldChar w:fldCharType="end"/>
      </w:r>
      <w:r w:rsidRPr="00F6666C">
        <w:rPr>
          <w:rStyle w:val="normaltextrun"/>
          <w:rFonts w:ascii="Calibri" w:hAnsi="Calibri" w:cs="Calibri"/>
          <w:color w:val="000000"/>
          <w:shd w:val="clear" w:color="auto" w:fill="FFFFFF"/>
        </w:rPr>
        <w:t xml:space="preserve">.  Each color represents a different bacterial genus, and genera within the same Phylum are depicted in different shades of the same color using </w:t>
      </w:r>
      <w:proofErr w:type="spellStart"/>
      <w:r w:rsidRPr="00F6666C">
        <w:rPr>
          <w:rStyle w:val="normaltextrun"/>
          <w:rFonts w:ascii="Calibri" w:hAnsi="Calibri" w:cs="Calibri"/>
          <w:color w:val="000000"/>
          <w:shd w:val="clear" w:color="auto" w:fill="FFFFFF"/>
        </w:rPr>
        <w:t>microshades</w:t>
      </w:r>
      <w:proofErr w:type="spellEnd"/>
      <w:r w:rsidRPr="00F6666C">
        <w:rPr>
          <w:rStyle w:val="normaltextrun"/>
          <w:rFonts w:ascii="Calibri" w:hAnsi="Calibri" w:cs="Calibri"/>
          <w:color w:val="000000"/>
          <w:shd w:val="clear" w:color="auto" w:fill="FFFFFF"/>
        </w:rPr>
        <w:t xml:space="preserve"> </w:t>
      </w:r>
      <w:r w:rsidRPr="00F6666C">
        <w:rPr>
          <w:rStyle w:val="normaltextrun"/>
          <w:rFonts w:ascii="Calibri" w:hAnsi="Calibri" w:cs="Calibri"/>
          <w:color w:val="000000"/>
          <w:shd w:val="clear" w:color="auto" w:fill="FFFFFF"/>
        </w:rPr>
        <w:fldChar w:fldCharType="begin"/>
      </w:r>
      <w:r w:rsidRPr="00F6666C">
        <w:rPr>
          <w:rStyle w:val="normaltextrun"/>
          <w:rFonts w:ascii="Calibri" w:hAnsi="Calibri" w:cs="Calibri"/>
          <w:color w:val="000000"/>
          <w:shd w:val="clear" w:color="auto" w:fill="FFFFFF"/>
        </w:rPr>
        <w:instrText xml:space="preserve"> ADDIN ZOTERO_ITEM CSL_CITATION {"citationID":"T4L8nLeh","properties":{"formattedCitation":"[101]","plainCitation":"[101]","noteIndex":0},"citationItems":[{"id":216,"uris":["http://zotero.org/users/11572896/items/KFZ9HBCR"],"itemData":{"id":216,"type":"software","title":"microshades: A custom color palette for improving data visualization","URL":"https://karstenslab.github.io/microshades, https://github.com/KarstensLab/microshades","author":[{"family":"Dahl","given":"Erin"},{"family":"Neer","given":"Emory"},{"family":"Karstens","given":"Lisa"}],"issued":{"date-parts":[["2023"]]}}}],"schema":"https://github.com/citation-style-language/schema/raw/master/csl-citation.json"} </w:instrText>
      </w:r>
      <w:r w:rsidRPr="00F6666C">
        <w:rPr>
          <w:rStyle w:val="normaltextrun"/>
          <w:rFonts w:ascii="Calibri" w:hAnsi="Calibri" w:cs="Calibri"/>
          <w:color w:val="000000"/>
          <w:shd w:val="clear" w:color="auto" w:fill="FFFFFF"/>
        </w:rPr>
        <w:fldChar w:fldCharType="separate"/>
      </w:r>
      <w:r w:rsidRPr="00F6666C">
        <w:rPr>
          <w:rStyle w:val="normaltextrun"/>
          <w:rFonts w:ascii="Calibri" w:hAnsi="Calibri" w:cs="Calibri"/>
          <w:noProof/>
          <w:color w:val="000000"/>
          <w:shd w:val="clear" w:color="auto" w:fill="FFFFFF"/>
        </w:rPr>
        <w:t>[101]</w:t>
      </w:r>
      <w:r w:rsidRPr="00F6666C">
        <w:rPr>
          <w:rStyle w:val="normaltextrun"/>
          <w:rFonts w:ascii="Calibri" w:hAnsi="Calibri" w:cs="Calibri"/>
          <w:color w:val="000000"/>
          <w:shd w:val="clear" w:color="auto" w:fill="FFFFFF"/>
        </w:rPr>
        <w:fldChar w:fldCharType="end"/>
      </w:r>
      <w:r w:rsidRPr="00F6666C">
        <w:rPr>
          <w:rStyle w:val="normaltextrun"/>
          <w:rFonts w:ascii="Calibri" w:hAnsi="Calibri" w:cs="Calibri"/>
          <w:color w:val="000000"/>
          <w:shd w:val="clear" w:color="auto" w:fill="FFFFFF"/>
        </w:rPr>
        <w:t>. Samples are stratified by cohort and time.</w:t>
      </w:r>
    </w:p>
    <w:p w14:paraId="31469887" w14:textId="77777777" w:rsidR="00951BEC" w:rsidRDefault="00951BEC" w:rsidP="00951BEC">
      <w:pPr>
        <w:rPr>
          <w:sz w:val="20"/>
          <w:szCs w:val="20"/>
        </w:rPr>
      </w:pPr>
    </w:p>
    <w:p w14:paraId="1CB14226" w14:textId="77777777" w:rsidR="00FD32DC" w:rsidRDefault="00FD32DC" w:rsidP="00951BEC">
      <w:pPr>
        <w:rPr>
          <w:sz w:val="20"/>
          <w:szCs w:val="20"/>
        </w:rPr>
      </w:pPr>
    </w:p>
    <w:p w14:paraId="7C5645AF" w14:textId="77777777" w:rsidR="00951BEC" w:rsidRDefault="00951BEC" w:rsidP="00951BEC">
      <w:pPr>
        <w:jc w:val="center"/>
        <w:rPr>
          <w:sz w:val="20"/>
          <w:szCs w:val="20"/>
        </w:rPr>
      </w:pPr>
      <w:r>
        <w:rPr>
          <w:noProof/>
          <w:sz w:val="20"/>
          <w:szCs w:val="20"/>
        </w:rPr>
        <w:lastRenderedPageBreak/>
        <w:drawing>
          <wp:inline distT="0" distB="0" distL="0" distR="0" wp14:anchorId="134500AC" wp14:editId="2F8F1EC7">
            <wp:extent cx="5692435" cy="3558988"/>
            <wp:effectExtent l="0" t="0" r="0" b="0"/>
            <wp:docPr id="8" name="Picture 8"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graph&#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71410" cy="3608364"/>
                    </a:xfrm>
                    <a:prstGeom prst="rect">
                      <a:avLst/>
                    </a:prstGeom>
                  </pic:spPr>
                </pic:pic>
              </a:graphicData>
            </a:graphic>
          </wp:inline>
        </w:drawing>
      </w:r>
    </w:p>
    <w:p w14:paraId="75C3B182" w14:textId="77777777" w:rsidR="008229AC" w:rsidRDefault="008229AC" w:rsidP="00951BEC"/>
    <w:p w14:paraId="44BBD586" w14:textId="77777777" w:rsidR="008229AC" w:rsidRDefault="008229AC" w:rsidP="00951BEC"/>
    <w:p w14:paraId="14BC5831" w14:textId="6F7DB5FE" w:rsidR="00951BEC" w:rsidRPr="00F6666C" w:rsidRDefault="00951BEC" w:rsidP="00951BEC">
      <w:r w:rsidRPr="008229AC">
        <w:rPr>
          <w:b/>
          <w:bCs/>
        </w:rPr>
        <w:t>Figure S10:</w:t>
      </w:r>
      <w:r w:rsidRPr="00F6666C">
        <w:t xml:space="preserve"> Weighted </w:t>
      </w:r>
      <w:proofErr w:type="spellStart"/>
      <w:r w:rsidRPr="00F6666C">
        <w:t>UniFrac</w:t>
      </w:r>
      <w:proofErr w:type="spellEnd"/>
      <w:r w:rsidRPr="00F6666C">
        <w:t xml:space="preserve"> Principal Coordinates Analysis (PCoA). The PCoA was conducted using data from all of the samples, but only a subset of samples </w:t>
      </w:r>
      <w:proofErr w:type="gramStart"/>
      <w:r w:rsidRPr="00F6666C">
        <w:t>are</w:t>
      </w:r>
      <w:proofErr w:type="gramEnd"/>
      <w:r w:rsidRPr="00F6666C">
        <w:t xml:space="preserve"> plotted in the different quadrants depending on whether they were from the rural or urban location (columns) or collected at week 0 or week 24 (rows). Points are colored by cohort. Naïve = HIV+ ART Naïve cohort, Exp = HIV+ ART Experienced cohort, HC= Healthy controls. The percent of variation explained by PC1 and PC2 are indicated on the x and y axes respectively.</w:t>
      </w:r>
    </w:p>
    <w:p w14:paraId="18900ED1" w14:textId="77777777" w:rsidR="00951BEC" w:rsidRPr="0094672A" w:rsidRDefault="00951BEC" w:rsidP="00951BEC">
      <w:pPr>
        <w:rPr>
          <w:sz w:val="20"/>
          <w:szCs w:val="20"/>
        </w:rPr>
      </w:pPr>
      <w:r>
        <w:rPr>
          <w:sz w:val="20"/>
          <w:szCs w:val="20"/>
        </w:rPr>
        <w:br w:type="page"/>
      </w:r>
    </w:p>
    <w:p w14:paraId="6995388C" w14:textId="77777777" w:rsidR="00951BEC" w:rsidRPr="0094672A" w:rsidRDefault="00951BEC" w:rsidP="00951BEC">
      <w:pPr>
        <w:rPr>
          <w:sz w:val="20"/>
          <w:szCs w:val="20"/>
        </w:rPr>
      </w:pPr>
    </w:p>
    <w:p w14:paraId="310F3A7E" w14:textId="77777777" w:rsidR="008229AC" w:rsidRDefault="00951BEC" w:rsidP="00951BEC">
      <w:pPr>
        <w:spacing w:line="259" w:lineRule="auto"/>
      </w:pPr>
      <w:r>
        <w:rPr>
          <w:noProof/>
        </w:rPr>
        <w:drawing>
          <wp:inline distT="0" distB="0" distL="0" distR="0" wp14:anchorId="42318E50" wp14:editId="022D6AA8">
            <wp:extent cx="5943600" cy="2535555"/>
            <wp:effectExtent l="0" t="0" r="0" b="4445"/>
            <wp:docPr id="1" name="Picture 1" descr="A picture containing text, diagram, plan,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943600" cy="2535555"/>
                    </a:xfrm>
                    <a:prstGeom prst="rect">
                      <a:avLst/>
                    </a:prstGeom>
                  </pic:spPr>
                </pic:pic>
              </a:graphicData>
            </a:graphic>
          </wp:inline>
        </w:drawing>
      </w:r>
    </w:p>
    <w:p w14:paraId="3084FC21" w14:textId="77777777" w:rsidR="008229AC" w:rsidRDefault="008229AC" w:rsidP="00951BEC">
      <w:pPr>
        <w:spacing w:line="259" w:lineRule="auto"/>
      </w:pPr>
    </w:p>
    <w:p w14:paraId="1CA73DC9" w14:textId="3043B50A" w:rsidR="00951BEC" w:rsidRDefault="00951BEC" w:rsidP="00951BEC">
      <w:pPr>
        <w:spacing w:line="259" w:lineRule="auto"/>
        <w:rPr>
          <w:sz w:val="20"/>
          <w:szCs w:val="20"/>
        </w:rPr>
      </w:pPr>
      <w:commentRangeStart w:id="2"/>
      <w:r w:rsidRPr="008229AC">
        <w:rPr>
          <w:b/>
          <w:bCs/>
        </w:rPr>
        <w:t>Figure S1</w:t>
      </w:r>
      <w:commentRangeEnd w:id="2"/>
      <w:r w:rsidRPr="008229AC">
        <w:rPr>
          <w:b/>
          <w:bCs/>
        </w:rPr>
        <w:t>1</w:t>
      </w:r>
      <w:r w:rsidRPr="008229AC">
        <w:rPr>
          <w:rStyle w:val="CommentReference"/>
          <w:b/>
          <w:bCs/>
          <w:sz w:val="24"/>
          <w:szCs w:val="24"/>
        </w:rPr>
        <w:commentReference w:id="2"/>
      </w:r>
      <w:r w:rsidRPr="008229AC">
        <w:rPr>
          <w:b/>
          <w:bCs/>
        </w:rPr>
        <w:t>:</w:t>
      </w:r>
      <w:r w:rsidRPr="00F6666C">
        <w:t xml:space="preserve"> Detailed plots of microbiome dysbiosis levels. A dysbiosis value for each sample was calculated as the average weighted UniFrac distance of that sample from each of the health control samples. Panel A: Inter-cohort comparisons using only baseline (Week 0) values. Statistical significance assessed </w:t>
      </w:r>
      <w:r w:rsidRPr="00F6666C">
        <w:rPr>
          <w:rFonts w:ascii="Calibri" w:eastAsia="Calibri" w:hAnsi="Calibri" w:cs="Calibri"/>
        </w:rPr>
        <w:t>using a Mann Whitney U test</w:t>
      </w:r>
      <w:r w:rsidRPr="00F6666C">
        <w:t xml:space="preserve">. Panel B: Intra-cohort longitudinal comparisons over time. Statistical significance was assessed using a paired Mann-Whitney U test. </w:t>
      </w:r>
      <w:r w:rsidRPr="00F6666C">
        <w:rPr>
          <w:rFonts w:ascii="Calibri" w:hAnsi="Calibri" w:cs="Calibri"/>
          <w:color w:val="000000" w:themeColor="text1"/>
        </w:rPr>
        <w:t>P-values are coded as ‘****’ between [0, 0.0001], ‘***’ (0.0001, 0.001], ‘**’ (0.001, 0.01], ‘*’ (0.01, 0.05], with square brackets indicating that the endpoints are included in the interval.</w:t>
      </w:r>
    </w:p>
    <w:p w14:paraId="102FF668" w14:textId="77777777" w:rsidR="008229AC" w:rsidRDefault="008229AC" w:rsidP="008229AC"/>
    <w:p w14:paraId="50A92A04" w14:textId="77777777" w:rsidR="003B2864" w:rsidRDefault="003B2864" w:rsidP="008229AC">
      <w:pPr>
        <w:sectPr w:rsidR="003B2864" w:rsidSect="008229AC">
          <w:pgSz w:w="12240" w:h="15840"/>
          <w:pgMar w:top="1440" w:right="1440" w:bottom="1440" w:left="1440" w:header="720" w:footer="720" w:gutter="0"/>
          <w:cols w:space="720"/>
          <w:docGrid w:linePitch="360"/>
        </w:sectPr>
      </w:pPr>
    </w:p>
    <w:p w14:paraId="505A1B7D" w14:textId="45BA1E7A" w:rsidR="00951BEC" w:rsidRPr="003B2864" w:rsidRDefault="00951BEC" w:rsidP="008229AC">
      <w:pPr>
        <w:rPr>
          <w:sz w:val="32"/>
          <w:szCs w:val="32"/>
        </w:rPr>
      </w:pPr>
      <w:r w:rsidRPr="003B2864">
        <w:rPr>
          <w:sz w:val="32"/>
          <w:szCs w:val="32"/>
        </w:rPr>
        <w:lastRenderedPageBreak/>
        <w:t>Supplemental Tables</w:t>
      </w:r>
    </w:p>
    <w:p w14:paraId="2BDD6154" w14:textId="77777777" w:rsidR="00951BEC" w:rsidRPr="00626471" w:rsidRDefault="00951BEC" w:rsidP="00951BEC"/>
    <w:p w14:paraId="66EBA1F7" w14:textId="77777777" w:rsidR="00951BEC" w:rsidRDefault="00951BEC" w:rsidP="00951BEC">
      <w:r>
        <w:rPr>
          <w:noProof/>
        </w:rPr>
        <w:drawing>
          <wp:inline distT="0" distB="0" distL="0" distR="0" wp14:anchorId="23616F79" wp14:editId="70984E64">
            <wp:extent cx="8383889" cy="2124635"/>
            <wp:effectExtent l="0" t="0" r="0" b="0"/>
            <wp:docPr id="27442613" name="Picture 27442613" descr="A table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2613" name="Picture 3" descr="A table with numbers and text&#10;&#10;Description automatically generated with medium confidenc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444417" cy="2139974"/>
                    </a:xfrm>
                    <a:prstGeom prst="rect">
                      <a:avLst/>
                    </a:prstGeom>
                  </pic:spPr>
                </pic:pic>
              </a:graphicData>
            </a:graphic>
          </wp:inline>
        </w:drawing>
      </w:r>
    </w:p>
    <w:p w14:paraId="768975DC" w14:textId="77777777" w:rsidR="003B2864" w:rsidRDefault="003B2864" w:rsidP="00951BEC"/>
    <w:p w14:paraId="78B16163" w14:textId="0CCED9E2" w:rsidR="00951BEC" w:rsidRPr="00F6666C" w:rsidRDefault="00951BEC" w:rsidP="00951BEC">
      <w:r w:rsidRPr="003B2864">
        <w:rPr>
          <w:b/>
          <w:bCs/>
        </w:rPr>
        <w:t>Table S1:</w:t>
      </w:r>
      <w:r w:rsidRPr="00F6666C">
        <w:t xml:space="preserve"> Clinical and demographic characteristics of study population by cohort at baseline visit, stratified by the rural versus urban location. P-values were calculated using Mann Whitney U test. P-values are coded as ‘****’ between [0, 0.0001], ‘***’ (0.0001, 0.001], ‘**’ (0.001, 0.01], ‘*’ (0.01, 0.05], with square brackets indicating that the endpoints are included in the interval. </w:t>
      </w:r>
      <w:r w:rsidRPr="00F6666C">
        <w:rPr>
          <w:rFonts w:ascii="Calibri" w:hAnsi="Calibri" w:cs="Calibri"/>
          <w:color w:val="000000"/>
        </w:rPr>
        <w:t xml:space="preserve">NS means p-values were not significant. </w:t>
      </w:r>
      <w:r w:rsidRPr="00F6666C">
        <w:t xml:space="preserve">NA represents values not collected/ relevant to a particular cohort. Values are reported as the median with the interquartile range indicated in brackets. Virologic failure is defined as PLWH who are on ART but have uncontrolled viral replication(&gt; 200 copies of HIV per milliliter of blood) </w:t>
      </w:r>
      <w:r w:rsidRPr="00F6666C">
        <w:fldChar w:fldCharType="begin"/>
      </w:r>
      <w:r w:rsidRPr="00F6666C">
        <w:instrText xml:space="preserve"> ADDIN ZOTERO_ITEM CSL_CITATION {"citationID":"fAw6U7Mb","properties":{"formattedCitation":"[24, 25]","plainCitation":"[24, 25]","noteIndex":0},"citationItems":[{"id":8,"uris":["http://zotero.org/users/11572896/items/R7R2FJMV"],"itemData":{"id":8,"type":"webpage","title":"HIV Treatment as Prevention","URL":"https://www.cdc.gov/hiv/risk/art/index.html#print","author":[{"family":"CDC","given":""}],"issued":{"date-parts":[["2022",7,21]]}}},{"id":13,"uris":["http://zotero.org/users/11572896/items/KRSCMV24"],"itemData":{"id":13,"type":"webpage","abstract":"The science related to the use of ART as an additional prevention tool is clear: there is no evidence that individuals who have successfully achieved and maintained viral suppression through ART transmit the virus sexually to their HIV-negative partner(s). The preventive benefits of ART should be appropriately emphasized in HIV treatment and prevention programmes.","language":"en","title":"Viral suppression for HIV treatment success and prevention of sexual transmission of HIV","URL":"https://www.who.int/news/item/20-07-2018-viral-suppression-for-hiv-treatment-success-and-prevention-of-sexual-transmission-of-hiv","accessed":{"date-parts":[["2023",4,21]]}}}],"schema":"https://github.com/citation-style-language/schema/raw/master/csl-citation.json"} </w:instrText>
      </w:r>
      <w:r w:rsidRPr="00F6666C">
        <w:fldChar w:fldCharType="separate"/>
      </w:r>
      <w:r w:rsidRPr="00F6666C">
        <w:rPr>
          <w:rFonts w:ascii="Calibri" w:cs="Calibri"/>
        </w:rPr>
        <w:t>[24, 25]</w:t>
      </w:r>
      <w:r w:rsidRPr="00F6666C">
        <w:fldChar w:fldCharType="end"/>
      </w:r>
      <w:r w:rsidRPr="00F6666C">
        <w:t xml:space="preserve">. BMI categories were determined using World Health Organization (WHO) standards </w:t>
      </w:r>
      <w:r w:rsidRPr="00F6666C">
        <w:fldChar w:fldCharType="begin"/>
      </w:r>
      <w:r w:rsidRPr="00F6666C">
        <w:instrText xml:space="preserve"> ADDIN ZOTERO_ITEM CSL_CITATION {"citationID":"AXVDrh7E","properties":{"formattedCitation":"[26]","plainCitation":"[26]","noteIndex":0},"citationItems":[{"id":7,"uris":["http://zotero.org/users/11572896/items/G65RGC58"],"itemData":{"id":7,"type":"webpage","title":"Nutrition Landscape Information System","title-short":"NLiS","URL":"https://apps.who.int/nutrition/landscape/help.aspx?menu=0&amp;helpid=392&amp;lang=EN","author":[{"family":"World Health Organization(WHO)","given":""}]}}],"schema":"https://github.com/citation-style-language/schema/raw/master/csl-citation.json"} </w:instrText>
      </w:r>
      <w:r w:rsidRPr="00F6666C">
        <w:fldChar w:fldCharType="separate"/>
      </w:r>
      <w:r w:rsidRPr="00F6666C">
        <w:t>[26]</w:t>
      </w:r>
      <w:r w:rsidRPr="00F6666C">
        <w:fldChar w:fldCharType="end"/>
      </w:r>
      <w:r w:rsidRPr="00F6666C">
        <w:t xml:space="preserve">   </w:t>
      </w:r>
    </w:p>
    <w:p w14:paraId="47F1F8F1" w14:textId="77777777" w:rsidR="00951BEC" w:rsidRDefault="00951BEC" w:rsidP="00951BEC">
      <w:pPr>
        <w:rPr>
          <w:sz w:val="20"/>
          <w:szCs w:val="20"/>
        </w:rPr>
      </w:pPr>
      <w:r>
        <w:rPr>
          <w:sz w:val="20"/>
          <w:szCs w:val="20"/>
        </w:rPr>
        <w:br w:type="page"/>
      </w:r>
    </w:p>
    <w:p w14:paraId="28E817A2" w14:textId="77777777" w:rsidR="00951BEC" w:rsidRDefault="00951BEC" w:rsidP="00951BEC">
      <w:pPr>
        <w:rPr>
          <w:sz w:val="20"/>
          <w:szCs w:val="20"/>
        </w:rPr>
      </w:pPr>
    </w:p>
    <w:p w14:paraId="6ADF72C6" w14:textId="77777777" w:rsidR="00951BEC" w:rsidRDefault="00951BEC" w:rsidP="00951BEC">
      <w:pPr>
        <w:rPr>
          <w:sz w:val="20"/>
          <w:szCs w:val="20"/>
        </w:rPr>
      </w:pPr>
      <w:r>
        <w:rPr>
          <w:noProof/>
          <w:sz w:val="20"/>
          <w:szCs w:val="20"/>
        </w:rPr>
        <w:drawing>
          <wp:inline distT="0" distB="0" distL="0" distR="0" wp14:anchorId="11988509" wp14:editId="180B8D17">
            <wp:extent cx="8286566" cy="2277035"/>
            <wp:effectExtent l="0" t="0" r="0" b="0"/>
            <wp:docPr id="1180129814" name="Picture 1180129814" descr="A table with numbers an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29814" name="Picture 4" descr="A table with numbers and text&#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333658" cy="2289975"/>
                    </a:xfrm>
                    <a:prstGeom prst="rect">
                      <a:avLst/>
                    </a:prstGeom>
                  </pic:spPr>
                </pic:pic>
              </a:graphicData>
            </a:graphic>
          </wp:inline>
        </w:drawing>
      </w:r>
    </w:p>
    <w:p w14:paraId="237DC428" w14:textId="77777777" w:rsidR="003B2864" w:rsidRDefault="003B2864" w:rsidP="00951BEC"/>
    <w:p w14:paraId="1942F65D" w14:textId="1E043BFB" w:rsidR="00951BEC" w:rsidRPr="00F6666C" w:rsidRDefault="00951BEC" w:rsidP="00951BEC">
      <w:r w:rsidRPr="003B2864">
        <w:rPr>
          <w:b/>
          <w:bCs/>
        </w:rPr>
        <w:t>Table S2:</w:t>
      </w:r>
      <w:r w:rsidRPr="00F6666C">
        <w:t xml:space="preserve"> Clinical and demographic characteristics of study population by cohort at baseline visit, stratified by sex. P-values were calculated using Mann Whitney U test. </w:t>
      </w:r>
      <w:r w:rsidRPr="00F6666C">
        <w:rPr>
          <w:rFonts w:ascii="Calibri" w:hAnsi="Calibri" w:cs="Calibri"/>
          <w:color w:val="000000"/>
        </w:rPr>
        <w:t>P-values are coded as ‘****’ between [0, 0.0001], ‘***’ (0.0001, 0.001], ‘**’ (0.001, 0.01], ‘*’ (0.01, 0.05], with square brackets indicating that the endpoints are included in the interval. NS means p-values were not significant.</w:t>
      </w:r>
      <w:r w:rsidRPr="00F6666C">
        <w:t xml:space="preserve"> NA represents values not collected/ relevant to a particular cohort. Values are reported as the median with the interquartile range indicated in brackets. Virologic failure is defined as PLWH who are on ART but have uncontrolled viral replication(&gt; 200 copies of HIV per milliliter of blood) </w:t>
      </w:r>
      <w:r w:rsidRPr="00F6666C">
        <w:fldChar w:fldCharType="begin"/>
      </w:r>
      <w:r w:rsidRPr="00F6666C">
        <w:instrText xml:space="preserve"> ADDIN ZOTERO_ITEM CSL_CITATION {"citationID":"X9oDAu6W","properties":{"formattedCitation":"[24, 25]","plainCitation":"[24, 25]","noteIndex":0},"citationItems":[{"id":8,"uris":["http://zotero.org/users/11572896/items/R7R2FJMV"],"itemData":{"id":8,"type":"webpage","title":"HIV Treatment as Prevention","URL":"https://www.cdc.gov/hiv/risk/art/index.html#print","author":[{"family":"CDC","given":""}],"issued":{"date-parts":[["2022",7,21]]}}},{"id":13,"uris":["http://zotero.org/users/11572896/items/KRSCMV24"],"itemData":{"id":13,"type":"webpage","abstract":"The science related to the use of ART as an additional prevention tool is clear: there is no evidence that individuals who have successfully achieved and maintained viral suppression through ART transmit the virus sexually to their HIV-negative partner(s). The preventive benefits of ART should be appropriately emphasized in HIV treatment and prevention programmes.","language":"en","title":"Viral suppression for HIV treatment success and prevention of sexual transmission of HIV","URL":"https://www.who.int/news/item/20-07-2018-viral-suppression-for-hiv-treatment-success-and-prevention-of-sexual-transmission-of-hiv","accessed":{"date-parts":[["2023",4,21]]}}}],"schema":"https://github.com/citation-style-language/schema/raw/master/csl-citation.json"} </w:instrText>
      </w:r>
      <w:r w:rsidRPr="00F6666C">
        <w:fldChar w:fldCharType="separate"/>
      </w:r>
      <w:r w:rsidRPr="00F6666C">
        <w:rPr>
          <w:rFonts w:ascii="Calibri" w:cs="Calibri"/>
        </w:rPr>
        <w:t>[24, 25]</w:t>
      </w:r>
      <w:r w:rsidRPr="00F6666C">
        <w:fldChar w:fldCharType="end"/>
      </w:r>
      <w:r w:rsidRPr="00F6666C">
        <w:t xml:space="preserve">. BMI categories were determined using World Health Organization (WHO) standards </w:t>
      </w:r>
      <w:r w:rsidRPr="00F6666C">
        <w:fldChar w:fldCharType="begin"/>
      </w:r>
      <w:r w:rsidRPr="00F6666C">
        <w:instrText xml:space="preserve"> ADDIN ZOTERO_ITEM CSL_CITATION {"citationID":"jCg1h9L6","properties":{"formattedCitation":"[26]","plainCitation":"[26]","noteIndex":0},"citationItems":[{"id":7,"uris":["http://zotero.org/users/11572896/items/G65RGC58"],"itemData":{"id":7,"type":"webpage","title":"Nutrition Landscape Information System","title-short":"NLiS","URL":"https://apps.who.int/nutrition/landscape/help.aspx?menu=0&amp;helpid=392&amp;lang=EN","author":[{"family":"World Health Organization(WHO)","given":""}]}}],"schema":"https://github.com/citation-style-language/schema/raw/master/csl-citation.json"} </w:instrText>
      </w:r>
      <w:r w:rsidRPr="00F6666C">
        <w:fldChar w:fldCharType="separate"/>
      </w:r>
      <w:r w:rsidRPr="00F6666C">
        <w:t>[26]</w:t>
      </w:r>
      <w:r w:rsidRPr="00F6666C">
        <w:fldChar w:fldCharType="end"/>
      </w:r>
      <w:r w:rsidRPr="00F6666C">
        <w:t>.</w:t>
      </w:r>
    </w:p>
    <w:p w14:paraId="38F21EEF" w14:textId="77777777" w:rsidR="00951BEC" w:rsidRDefault="00951BEC" w:rsidP="00951BEC">
      <w:pPr>
        <w:rPr>
          <w:sz w:val="20"/>
          <w:szCs w:val="20"/>
        </w:rPr>
      </w:pPr>
      <w:r>
        <w:rPr>
          <w:sz w:val="20"/>
          <w:szCs w:val="20"/>
        </w:rPr>
        <w:br w:type="page"/>
      </w:r>
    </w:p>
    <w:p w14:paraId="3B9985CD" w14:textId="77777777" w:rsidR="00951BEC" w:rsidRDefault="00951BEC" w:rsidP="00951BEC">
      <w:pPr>
        <w:rPr>
          <w:sz w:val="20"/>
          <w:szCs w:val="20"/>
        </w:rPr>
      </w:pPr>
    </w:p>
    <w:p w14:paraId="0BAECE2F" w14:textId="77777777" w:rsidR="00951BEC" w:rsidRDefault="00951BEC" w:rsidP="00951BEC">
      <w:pPr>
        <w:jc w:val="center"/>
        <w:rPr>
          <w:sz w:val="20"/>
          <w:szCs w:val="20"/>
        </w:rPr>
      </w:pPr>
      <w:r>
        <w:rPr>
          <w:noProof/>
          <w:sz w:val="20"/>
          <w:szCs w:val="20"/>
        </w:rPr>
        <w:drawing>
          <wp:inline distT="0" distB="0" distL="0" distR="0" wp14:anchorId="2BDD6FF9" wp14:editId="79C79DCB">
            <wp:extent cx="7509893" cy="4300537"/>
            <wp:effectExtent l="0" t="0" r="0" b="5080"/>
            <wp:docPr id="332432626" name="Picture 33243262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32626" name="Picture 11" descr="A screenshot of a computer&#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32605" cy="4313543"/>
                    </a:xfrm>
                    <a:prstGeom prst="rect">
                      <a:avLst/>
                    </a:prstGeom>
                  </pic:spPr>
                </pic:pic>
              </a:graphicData>
            </a:graphic>
          </wp:inline>
        </w:drawing>
      </w:r>
    </w:p>
    <w:p w14:paraId="74C3743B" w14:textId="77777777" w:rsidR="003B2864" w:rsidRDefault="003B2864"/>
    <w:p w14:paraId="576AB022" w14:textId="0E3079F5" w:rsidR="00D009C2" w:rsidRDefault="00951BEC">
      <w:r w:rsidRPr="003B2864">
        <w:rPr>
          <w:b/>
          <w:bCs/>
        </w:rPr>
        <w:t>Table S3:</w:t>
      </w:r>
      <w:r w:rsidRPr="00F6666C">
        <w:t xml:space="preserve"> Composition of largest modules found using SCNIC. Modules will have over four ASVs assigned to them. </w:t>
      </w:r>
    </w:p>
    <w:sectPr w:rsidR="00D009C2" w:rsidSect="003B2864">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almer, Brent" w:date="2023-08-03T15:41:00Z" w:initials="PB">
    <w:p w14:paraId="6F41B8F9" w14:textId="77777777" w:rsidR="001E52F0" w:rsidRDefault="001E52F0" w:rsidP="001E52F0">
      <w:pPr>
        <w:pStyle w:val="CommentText"/>
      </w:pPr>
      <w:r>
        <w:t>I think the original title is too vague. Maybe something like this is better although not sure the best way to capture the microbiome differences.</w:t>
      </w:r>
      <w:r>
        <w:rPr>
          <w:rStyle w:val="CommentReference"/>
        </w:rPr>
        <w:annotationRef/>
      </w:r>
      <w:r>
        <w:rPr>
          <w:rStyle w:val="CommentReference"/>
        </w:rPr>
        <w:annotationRef/>
      </w:r>
    </w:p>
  </w:comment>
  <w:comment w:id="1" w:author="Guest User" w:date="2023-08-11T13:21:00Z" w:initials="GU">
    <w:p w14:paraId="476221B1" w14:textId="77777777" w:rsidR="001E52F0" w:rsidRDefault="001E52F0" w:rsidP="001E52F0">
      <w:pPr>
        <w:pStyle w:val="CommentText"/>
      </w:pPr>
      <w:r>
        <w:t>I like it</w:t>
      </w:r>
      <w:r>
        <w:rPr>
          <w:rStyle w:val="CommentReference"/>
        </w:rPr>
        <w:annotationRef/>
      </w:r>
    </w:p>
  </w:comment>
  <w:comment w:id="2" w:author="Burkhart Colorado, Angela Sofia" w:date="2023-06-02T17:55:00Z" w:initials="AB">
    <w:p w14:paraId="291DB826" w14:textId="77777777" w:rsidR="00951BEC" w:rsidRDefault="00951BEC" w:rsidP="00951BEC">
      <w:r>
        <w:rPr>
          <w:rStyle w:val="CommentReference"/>
        </w:rPr>
        <w:annotationRef/>
      </w:r>
      <w:r>
        <w:rPr>
          <w:color w:val="000000"/>
          <w:sz w:val="20"/>
          <w:szCs w:val="20"/>
        </w:rPr>
        <w:t xml:space="preserve">One and two tailed p-values were not significant. </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41B8F9" w15:done="1"/>
  <w15:commentEx w15:paraId="476221B1" w15:paraIdParent="6F41B8F9" w15:done="1"/>
  <w15:commentEx w15:paraId="291DB82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C3FEDB5" w16cex:dateUtc="2023-08-03T21:41:00Z"/>
  <w16cex:commentExtensible w16cex:durableId="33D68427" w16cex:dateUtc="2023-08-11T19:21:00Z"/>
  <w16cex:commentExtensible w16cex:durableId="2824AB95" w16cex:dateUtc="2023-06-02T23: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41B8F9" w16cid:durableId="1C3FEDB5"/>
  <w16cid:commentId w16cid:paraId="476221B1" w16cid:durableId="33D68427"/>
  <w16cid:commentId w16cid:paraId="291DB826" w16cid:durableId="2824AB9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lmer, Brent">
    <w15:presenceInfo w15:providerId="AD" w15:userId="S::brent.palmer@cuanschutz.edu::d36b6967-595a-4720-83de-b4bee016d414"/>
  </w15:person>
  <w15:person w15:author="Guest User">
    <w15:presenceInfo w15:providerId="AD" w15:userId="S::urn:spo:anon#5686cc7b6334925b514994bedcfc65b6586f1054211c6201dd3912c5cd90c1bc::"/>
  </w15:person>
  <w15:person w15:author="Burkhart Colorado, Angela Sofia">
    <w15:presenceInfo w15:providerId="AD" w15:userId="S::angelasofia.burkhartcolorado@cuanschutz.edu::0e94fd17-639d-4ba6-940c-c2e3a70348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BEC"/>
    <w:rsid w:val="001E52F0"/>
    <w:rsid w:val="003B2864"/>
    <w:rsid w:val="006E6AE5"/>
    <w:rsid w:val="008229AC"/>
    <w:rsid w:val="00951BEC"/>
    <w:rsid w:val="00D009C2"/>
    <w:rsid w:val="00F6666C"/>
    <w:rsid w:val="00FD3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44EE77"/>
  <w15:chartTrackingRefBased/>
  <w15:docId w15:val="{C7D8AE38-0B42-624A-92DF-5EC48F5E5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BEC"/>
    <w:rPr>
      <w:kern w:val="0"/>
      <w14:ligatures w14:val="none"/>
    </w:rPr>
  </w:style>
  <w:style w:type="paragraph" w:styleId="Heading1">
    <w:name w:val="heading 1"/>
    <w:basedOn w:val="Normal"/>
    <w:next w:val="Normal"/>
    <w:link w:val="Heading1Char"/>
    <w:uiPriority w:val="9"/>
    <w:qFormat/>
    <w:rsid w:val="00951BEC"/>
    <w:pPr>
      <w:keepNext/>
      <w:keepLines/>
      <w:spacing w:before="240"/>
      <w:outlineLvl w:val="0"/>
    </w:pPr>
    <w:rPr>
      <w:rFonts w:asciiTheme="majorHAnsi" w:eastAsiaTheme="majorEastAsia" w:hAnsiTheme="majorHAnsi" w:cstheme="majorBidi"/>
      <w:color w:val="000000" w:themeColor="text1"/>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BEC"/>
    <w:rPr>
      <w:rFonts w:asciiTheme="majorHAnsi" w:eastAsiaTheme="majorEastAsia" w:hAnsiTheme="majorHAnsi" w:cstheme="majorBidi"/>
      <w:color w:val="000000" w:themeColor="text1"/>
      <w:kern w:val="0"/>
      <w:sz w:val="32"/>
      <w:szCs w:val="32"/>
      <w14:ligatures w14:val="none"/>
    </w:rPr>
  </w:style>
  <w:style w:type="character" w:styleId="CommentReference">
    <w:name w:val="annotation reference"/>
    <w:basedOn w:val="DefaultParagraphFont"/>
    <w:uiPriority w:val="99"/>
    <w:semiHidden/>
    <w:unhideWhenUsed/>
    <w:rsid w:val="00951BEC"/>
    <w:rPr>
      <w:sz w:val="16"/>
      <w:szCs w:val="16"/>
    </w:rPr>
  </w:style>
  <w:style w:type="paragraph" w:styleId="Bibliography">
    <w:name w:val="Bibliography"/>
    <w:basedOn w:val="Normal"/>
    <w:next w:val="Normal"/>
    <w:uiPriority w:val="37"/>
    <w:unhideWhenUsed/>
    <w:rsid w:val="00951BEC"/>
    <w:pPr>
      <w:tabs>
        <w:tab w:val="left" w:pos="380"/>
        <w:tab w:val="left" w:pos="500"/>
      </w:tabs>
      <w:spacing w:after="240"/>
      <w:ind w:left="504" w:hanging="504"/>
    </w:pPr>
  </w:style>
  <w:style w:type="character" w:customStyle="1" w:styleId="normaltextrun">
    <w:name w:val="normaltextrun"/>
    <w:basedOn w:val="DefaultParagraphFont"/>
    <w:rsid w:val="00951BEC"/>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image" Target="media/image14.png"/><Relationship Id="rId7" Type="http://schemas.microsoft.com/office/2018/08/relationships/commentsExtensible" Target="commentsExtensible.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image" Target="media/image4.png"/><Relationship Id="rId24" Type="http://schemas.openxmlformats.org/officeDocument/2006/relationships/theme" Target="theme/theme1.xml"/><Relationship Id="rId5" Type="http://schemas.microsoft.com/office/2011/relationships/commentsExtended" Target="commentsExtended.xml"/><Relationship Id="rId15" Type="http://schemas.openxmlformats.org/officeDocument/2006/relationships/image" Target="media/image8.png"/><Relationship Id="rId23" Type="http://schemas.microsoft.com/office/2011/relationships/people" Target="peop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comments" Target="commen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14</Pages>
  <Words>2164</Words>
  <Characters>12337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Burkhart Colorado, Angela Sofia</dc:creator>
  <cp:keywords/>
  <dc:description/>
  <cp:lastModifiedBy>Lozupone, Catherine</cp:lastModifiedBy>
  <cp:revision>4</cp:revision>
  <cp:lastPrinted>2023-08-25T21:36:00Z</cp:lastPrinted>
  <dcterms:created xsi:type="dcterms:W3CDTF">2023-08-27T13:53:00Z</dcterms:created>
  <dcterms:modified xsi:type="dcterms:W3CDTF">2023-08-27T14:00:00Z</dcterms:modified>
</cp:coreProperties>
</file>