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5B04A" w14:textId="5E1548C2" w:rsidR="0094050B" w:rsidRPr="0094050B" w:rsidRDefault="0094050B" w:rsidP="0094050B">
      <w:pPr>
        <w:jc w:val="center"/>
        <w:rPr>
          <w:rFonts w:asciiTheme="majorBidi" w:hAnsiTheme="majorBidi" w:cstheme="majorBidi"/>
          <w:b/>
          <w:bCs/>
          <w:sz w:val="28"/>
          <w:szCs w:val="28"/>
          <w:lang w:val="en-US"/>
        </w:rPr>
      </w:pPr>
      <w:r w:rsidRPr="0094050B">
        <w:rPr>
          <w:rFonts w:asciiTheme="majorBidi" w:hAnsiTheme="majorBidi" w:cstheme="majorBidi"/>
          <w:b/>
          <w:bCs/>
          <w:sz w:val="28"/>
          <w:szCs w:val="28"/>
          <w:lang w:val="en-US"/>
        </w:rPr>
        <w:t>Implementation Tools</w:t>
      </w:r>
    </w:p>
    <w:p w14:paraId="018BF776" w14:textId="77777777" w:rsidR="0094050B" w:rsidRDefault="0094050B" w:rsidP="0094050B">
      <w:pPr>
        <w:rPr>
          <w:rFonts w:asciiTheme="majorBidi" w:hAnsiTheme="majorBidi" w:cstheme="majorBidi"/>
          <w:b/>
          <w:bCs/>
          <w:lang w:val="en-US"/>
        </w:rPr>
      </w:pPr>
    </w:p>
    <w:p w14:paraId="4A042C44" w14:textId="77777777" w:rsidR="0094050B" w:rsidRDefault="0094050B" w:rsidP="0094050B">
      <w:pPr>
        <w:rPr>
          <w:rFonts w:asciiTheme="majorBidi" w:hAnsiTheme="majorBidi" w:cstheme="majorBidi"/>
          <w:b/>
          <w:bCs/>
          <w:lang w:val="en-US"/>
        </w:rPr>
      </w:pPr>
    </w:p>
    <w:p w14:paraId="49F4468B" w14:textId="71A109DC" w:rsidR="0094050B" w:rsidRPr="0094050B" w:rsidRDefault="0094050B" w:rsidP="0094050B">
      <w:pPr>
        <w:rPr>
          <w:rFonts w:asciiTheme="majorBidi" w:hAnsiTheme="majorBidi" w:cstheme="majorBidi"/>
          <w:b/>
          <w:bCs/>
          <w:lang w:val="en-US"/>
        </w:rPr>
      </w:pPr>
      <w:r w:rsidRPr="0094050B">
        <w:rPr>
          <w:rFonts w:asciiTheme="majorBidi" w:hAnsiTheme="majorBidi" w:cstheme="majorBidi"/>
          <w:b/>
          <w:bCs/>
          <w:lang w:val="en-US"/>
        </w:rPr>
        <w:t>Table 1</w:t>
      </w:r>
      <w:r w:rsidRPr="0094050B">
        <w:rPr>
          <w:rFonts w:asciiTheme="majorBidi" w:hAnsiTheme="majorBidi" w:cstheme="majorBidi"/>
          <w:b/>
          <w:bCs/>
          <w:lang w:val="en-US"/>
        </w:rPr>
        <w:t xml:space="preserve">: Summary of recommendations of the </w:t>
      </w:r>
      <w:r w:rsidRPr="0094050B">
        <w:rPr>
          <w:rFonts w:asciiTheme="majorBidi" w:hAnsiTheme="majorBidi" w:cstheme="majorBidi"/>
          <w:b/>
          <w:bCs/>
        </w:rPr>
        <w:t xml:space="preserve">Egyptian pediatric </w:t>
      </w:r>
      <w:r w:rsidRPr="0094050B">
        <w:rPr>
          <w:rFonts w:asciiTheme="majorBidi" w:hAnsiTheme="majorBidi" w:cstheme="majorBidi"/>
          <w:b/>
          <w:bCs/>
          <w:lang w:bidi="ar-EG"/>
        </w:rPr>
        <w:t>clinical practice guidelines</w:t>
      </w:r>
      <w:r w:rsidRPr="0094050B">
        <w:rPr>
          <w:rFonts w:asciiTheme="majorBidi" w:hAnsiTheme="majorBidi" w:cstheme="majorBidi"/>
          <w:b/>
          <w:bCs/>
        </w:rPr>
        <w:t xml:space="preserve"> Prevention and Management of Iron Deficiency and Iron Deficiency Anemia in Infants, Children and Adolescents</w:t>
      </w:r>
      <w:r w:rsidRPr="0094050B">
        <w:rPr>
          <w:rFonts w:asciiTheme="majorBidi" w:hAnsiTheme="majorBidi" w:cstheme="majorBidi"/>
          <w:b/>
          <w:bCs/>
          <w:lang w:val="en-US"/>
        </w:rPr>
        <w:t>.</w:t>
      </w:r>
    </w:p>
    <w:p w14:paraId="3B431033" w14:textId="77777777" w:rsidR="0094050B" w:rsidRPr="0094050B" w:rsidRDefault="0094050B" w:rsidP="0094050B">
      <w:pPr>
        <w:rPr>
          <w:rFonts w:asciiTheme="majorBidi" w:hAnsiTheme="majorBidi" w:cstheme="majorBidi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7"/>
      </w:tblGrid>
      <w:tr w:rsidR="0094050B" w:rsidRPr="0094050B" w14:paraId="730C481B" w14:textId="77777777" w:rsidTr="0080630E">
        <w:tc>
          <w:tcPr>
            <w:tcW w:w="9067" w:type="dxa"/>
          </w:tcPr>
          <w:p w14:paraId="16D135DE" w14:textId="77777777" w:rsidR="0094050B" w:rsidRPr="0094050B" w:rsidRDefault="0094050B" w:rsidP="0080630E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94050B">
              <w:rPr>
                <w:rFonts w:asciiTheme="majorBidi" w:hAnsiTheme="majorBidi" w:cstheme="majorBidi"/>
                <w:color w:val="FF0000"/>
                <w:lang w:val="en-US"/>
              </w:rPr>
              <w:t>Screening</w:t>
            </w:r>
          </w:p>
        </w:tc>
      </w:tr>
      <w:tr w:rsidR="0094050B" w:rsidRPr="0094050B" w14:paraId="167CC122" w14:textId="77777777" w:rsidTr="0080630E">
        <w:tc>
          <w:tcPr>
            <w:tcW w:w="9067" w:type="dxa"/>
          </w:tcPr>
          <w:p w14:paraId="3937386F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  <w:highlight w:val="yellow"/>
              </w:rPr>
              <w:t>Clinical screening</w:t>
            </w:r>
            <w:r w:rsidRPr="0094050B">
              <w:rPr>
                <w:rFonts w:asciiTheme="majorBidi" w:hAnsiTheme="majorBidi" w:cstheme="majorBidi"/>
              </w:rPr>
              <w:t xml:space="preserve"> for symptoms and signs of iron deficiency anemia</w:t>
            </w:r>
            <w:r w:rsidRPr="0094050B">
              <w:rPr>
                <w:rFonts w:asciiTheme="majorBidi" w:hAnsiTheme="majorBidi" w:cstheme="majorBidi"/>
                <w:lang w:val="en-US"/>
              </w:rPr>
              <w:t>,</w:t>
            </w:r>
            <w:r w:rsidRPr="0094050B">
              <w:rPr>
                <w:rFonts w:asciiTheme="majorBidi" w:hAnsiTheme="majorBidi" w:cstheme="majorBidi"/>
              </w:rPr>
              <w:t xml:space="preserve"> in </w:t>
            </w:r>
            <w:r w:rsidRPr="0094050B">
              <w:rPr>
                <w:rFonts w:asciiTheme="majorBidi" w:hAnsiTheme="majorBidi" w:cstheme="majorBidi"/>
                <w:highlight w:val="yellow"/>
              </w:rPr>
              <w:t>infants and children</w:t>
            </w:r>
            <w:r w:rsidRPr="0094050B">
              <w:rPr>
                <w:rFonts w:asciiTheme="majorBidi" w:hAnsiTheme="majorBidi" w:cstheme="majorBidi"/>
                <w:highlight w:val="yellow"/>
                <w:lang w:val="en-US"/>
              </w:rPr>
              <w:t>,</w:t>
            </w:r>
            <w:r w:rsidRPr="0094050B">
              <w:rPr>
                <w:rFonts w:asciiTheme="majorBidi" w:hAnsiTheme="majorBidi" w:cstheme="majorBidi"/>
              </w:rPr>
              <w:t xml:space="preserve"> done by the primary health care professional/ pediatricians in primary health care setting/ OPC</w:t>
            </w:r>
            <w:r w:rsidRPr="0094050B">
              <w:rPr>
                <w:rFonts w:asciiTheme="majorBidi" w:hAnsiTheme="majorBidi" w:cstheme="majorBidi"/>
                <w:lang w:val="en-US"/>
              </w:rPr>
              <w:t>,</w:t>
            </w:r>
            <w:r w:rsidRPr="0094050B">
              <w:rPr>
                <w:rFonts w:asciiTheme="majorBidi" w:hAnsiTheme="majorBidi" w:cstheme="majorBidi"/>
              </w:rPr>
              <w:t xml:space="preserve"> improves the early detection of IDA and the neurodevelopmental outcome.</w:t>
            </w:r>
          </w:p>
        </w:tc>
      </w:tr>
      <w:tr w:rsidR="0094050B" w:rsidRPr="0094050B" w14:paraId="59F3139F" w14:textId="77777777" w:rsidTr="0080630E">
        <w:tc>
          <w:tcPr>
            <w:tcW w:w="9067" w:type="dxa"/>
          </w:tcPr>
          <w:p w14:paraId="4B0A01C7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  <w:highlight w:val="yellow"/>
              </w:rPr>
              <w:t>Clinical screening</w:t>
            </w:r>
            <w:r w:rsidRPr="0094050B">
              <w:rPr>
                <w:rFonts w:asciiTheme="majorBidi" w:hAnsiTheme="majorBidi" w:cstheme="majorBidi"/>
              </w:rPr>
              <w:t xml:space="preserve"> for symptoms and signs of iron deficiency anemia</w:t>
            </w:r>
            <w:r w:rsidRPr="0094050B">
              <w:rPr>
                <w:rFonts w:asciiTheme="majorBidi" w:hAnsiTheme="majorBidi" w:cstheme="majorBidi"/>
                <w:lang w:val="en-US"/>
              </w:rPr>
              <w:t>,</w:t>
            </w:r>
            <w:r w:rsidRPr="0094050B">
              <w:rPr>
                <w:rFonts w:asciiTheme="majorBidi" w:hAnsiTheme="majorBidi" w:cstheme="majorBidi"/>
              </w:rPr>
              <w:t xml:space="preserve"> in </w:t>
            </w:r>
            <w:r w:rsidRPr="0094050B">
              <w:rPr>
                <w:rFonts w:asciiTheme="majorBidi" w:hAnsiTheme="majorBidi" w:cstheme="majorBidi"/>
                <w:highlight w:val="yellow"/>
              </w:rPr>
              <w:t>adolescent females</w:t>
            </w:r>
            <w:r w:rsidRPr="0094050B">
              <w:rPr>
                <w:rFonts w:asciiTheme="majorBidi" w:hAnsiTheme="majorBidi" w:cstheme="majorBidi"/>
                <w:highlight w:val="yellow"/>
                <w:lang w:val="en-US"/>
              </w:rPr>
              <w:t>,</w:t>
            </w:r>
            <w:r w:rsidRPr="0094050B">
              <w:rPr>
                <w:rFonts w:asciiTheme="majorBidi" w:hAnsiTheme="majorBidi" w:cstheme="majorBidi"/>
              </w:rPr>
              <w:t xml:space="preserve"> at yearly school visit, done by the primary health care professional/ pediatrician in primary health care setting/ OPC, improves the early detection of IDA.</w:t>
            </w:r>
          </w:p>
        </w:tc>
      </w:tr>
      <w:tr w:rsidR="0094050B" w:rsidRPr="0094050B" w14:paraId="2C44BB43" w14:textId="77777777" w:rsidTr="0080630E">
        <w:tc>
          <w:tcPr>
            <w:tcW w:w="9067" w:type="dxa"/>
          </w:tcPr>
          <w:p w14:paraId="5D449CEB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  <w:highlight w:val="yellow"/>
              </w:rPr>
              <w:t>Routine dietary history checklist</w:t>
            </w:r>
            <w:r w:rsidRPr="0094050B">
              <w:rPr>
                <w:rFonts w:asciiTheme="majorBidi" w:hAnsiTheme="majorBidi" w:cstheme="majorBidi"/>
                <w:highlight w:val="yellow"/>
                <w:lang w:val="en-US"/>
              </w:rPr>
              <w:t>,</w:t>
            </w:r>
            <w:r w:rsidRPr="0094050B">
              <w:rPr>
                <w:rFonts w:asciiTheme="majorBidi" w:hAnsiTheme="majorBidi" w:cstheme="majorBidi"/>
              </w:rPr>
              <w:t xml:space="preserve"> for iron containing food in infants, children and adolescents, without non-iron related comorbidities, done by the primary health care professional/ pediatrician in primary health care setting/ OPC, helps identify dietetic problems, improve the early detection of ID/IDA and neurodevelopmental outcome.</w:t>
            </w:r>
          </w:p>
        </w:tc>
      </w:tr>
      <w:tr w:rsidR="0094050B" w:rsidRPr="0094050B" w14:paraId="11FDA231" w14:textId="77777777" w:rsidTr="0080630E">
        <w:tc>
          <w:tcPr>
            <w:tcW w:w="9067" w:type="dxa"/>
          </w:tcPr>
          <w:p w14:paraId="63D0D5A6" w14:textId="77777777" w:rsidR="0094050B" w:rsidRPr="0094050B" w:rsidRDefault="0094050B" w:rsidP="0080630E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There is no one test considered gold standard for diagnosing iron deficiency or IDA, so official recommendations vary.</w:t>
            </w:r>
          </w:p>
          <w:p w14:paraId="5DA1391D" w14:textId="77777777" w:rsidR="0094050B" w:rsidRPr="0094050B" w:rsidRDefault="0094050B" w:rsidP="0080630E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There is no sufficient evidence to recommend specific screen tests for IDA.</w:t>
            </w:r>
          </w:p>
          <w:p w14:paraId="0D18F863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</w:rPr>
              <w:t>No studies evaluating the benefits or harms of screening programs for asymptomatic children.</w:t>
            </w:r>
          </w:p>
        </w:tc>
      </w:tr>
      <w:tr w:rsidR="0094050B" w:rsidRPr="0094050B" w14:paraId="535FCCD5" w14:textId="77777777" w:rsidTr="0080630E">
        <w:tc>
          <w:tcPr>
            <w:tcW w:w="9067" w:type="dxa"/>
          </w:tcPr>
          <w:p w14:paraId="4A43FC6E" w14:textId="77777777" w:rsidR="0094050B" w:rsidRPr="0094050B" w:rsidRDefault="0094050B" w:rsidP="0080630E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rPr>
                <w:rFonts w:asciiTheme="majorBidi" w:hAnsiTheme="majorBidi" w:cstheme="majorBidi"/>
                <w:color w:val="000000"/>
                <w:kern w:val="24"/>
              </w:rPr>
            </w:pP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Laboratory screening of the general population for </w:t>
            </w:r>
            <w:r w:rsidRPr="0094050B">
              <w:rPr>
                <w:rFonts w:asciiTheme="majorBidi" w:hAnsiTheme="majorBidi" w:cstheme="majorBidi"/>
              </w:rPr>
              <w:t>ID/IDA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 is not recommended.</w:t>
            </w:r>
          </w:p>
          <w:p w14:paraId="2D37DE81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</w:rPr>
              <w:t>Laboratory testing of infants, children, and adolescents at high risk (identified by clinical screening i.e., symptoms and signs) is recommended.</w:t>
            </w:r>
          </w:p>
        </w:tc>
      </w:tr>
      <w:tr w:rsidR="0094050B" w:rsidRPr="0094050B" w14:paraId="078603B0" w14:textId="77777777" w:rsidTr="0080630E">
        <w:tc>
          <w:tcPr>
            <w:tcW w:w="9067" w:type="dxa"/>
          </w:tcPr>
          <w:p w14:paraId="1D41FCA5" w14:textId="77777777" w:rsidR="0094050B" w:rsidRPr="0094050B" w:rsidRDefault="0094050B" w:rsidP="0080630E">
            <w:pPr>
              <w:jc w:val="center"/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  <w:color w:val="FF0000"/>
                <w:kern w:val="24"/>
              </w:rPr>
              <w:t>Diagnosis*</w:t>
            </w:r>
            <w:r w:rsidRPr="0094050B">
              <w:rPr>
                <w:rFonts w:asciiTheme="majorBidi" w:hAnsiTheme="majorBidi" w:cstheme="majorBidi"/>
                <w:color w:val="FF0000"/>
                <w:kern w:val="24"/>
                <w:lang w:val="en-US"/>
              </w:rPr>
              <w:t>*</w:t>
            </w:r>
          </w:p>
        </w:tc>
      </w:tr>
      <w:tr w:rsidR="0094050B" w:rsidRPr="0094050B" w14:paraId="58AD0BE8" w14:textId="77777777" w:rsidTr="0080630E">
        <w:tc>
          <w:tcPr>
            <w:tcW w:w="9067" w:type="dxa"/>
          </w:tcPr>
          <w:p w14:paraId="3B481DD3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eastAsia="Calibri" w:hAnsiTheme="majorBidi" w:cstheme="majorBidi"/>
                <w:color w:val="000000"/>
                <w:kern w:val="24"/>
              </w:rPr>
              <w:t xml:space="preserve">Anemia is diagnosed if 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  <w:highlight w:val="yellow"/>
              </w:rPr>
              <w:t>hemoglobin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</w:rPr>
              <w:t xml:space="preserve"> level is 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  <w:highlight w:val="yellow"/>
              </w:rPr>
              <w:t>below the cut-off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</w:rPr>
              <w:t xml:space="preserve"> level for age and sex.</w:t>
            </w:r>
          </w:p>
        </w:tc>
      </w:tr>
      <w:tr w:rsidR="0094050B" w:rsidRPr="0094050B" w14:paraId="23023D9C" w14:textId="77777777" w:rsidTr="0080630E">
        <w:tc>
          <w:tcPr>
            <w:tcW w:w="9067" w:type="dxa"/>
          </w:tcPr>
          <w:p w14:paraId="01AE9E79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eastAsia="Calibri" w:hAnsiTheme="majorBidi" w:cstheme="majorBidi"/>
                <w:color w:val="000000"/>
                <w:kern w:val="24"/>
                <w:highlight w:val="yellow"/>
              </w:rPr>
              <w:t>Microcytosis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</w:rPr>
              <w:t xml:space="preserve"> is diagnosed if mean corpuscular volume is below 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  <w:highlight w:val="yellow"/>
              </w:rPr>
              <w:t>-2 SD for age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</w:rPr>
              <w:t xml:space="preserve"> related reference range.</w:t>
            </w:r>
          </w:p>
        </w:tc>
      </w:tr>
      <w:tr w:rsidR="0094050B" w:rsidRPr="0094050B" w14:paraId="79413FDB" w14:textId="77777777" w:rsidTr="0080630E">
        <w:tc>
          <w:tcPr>
            <w:tcW w:w="9067" w:type="dxa"/>
          </w:tcPr>
          <w:p w14:paraId="28023F40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eastAsia="Calibri" w:hAnsiTheme="majorBidi" w:cstheme="majorBidi"/>
                <w:color w:val="000000"/>
                <w:kern w:val="24"/>
              </w:rPr>
              <w:t xml:space="preserve">Iron deficiency is considered if serum 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  <w:highlight w:val="yellow"/>
              </w:rPr>
              <w:t>ferritin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</w:rPr>
              <w:t xml:space="preserve"> level is 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  <w:highlight w:val="yellow"/>
              </w:rPr>
              <w:t>below 12 ug/L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</w:rPr>
              <w:t xml:space="preserve"> in all age groups in the absence of infection/ inflammation.</w:t>
            </w:r>
          </w:p>
        </w:tc>
      </w:tr>
      <w:tr w:rsidR="0094050B" w:rsidRPr="0094050B" w14:paraId="2719DF75" w14:textId="77777777" w:rsidTr="0080630E">
        <w:tc>
          <w:tcPr>
            <w:tcW w:w="9067" w:type="dxa"/>
          </w:tcPr>
          <w:p w14:paraId="573BAAF2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eastAsia="Calibri" w:hAnsiTheme="majorBidi" w:cstheme="majorBidi"/>
                <w:color w:val="000000"/>
                <w:kern w:val="24"/>
              </w:rPr>
              <w:t xml:space="preserve">Iron deficiency is considered if serum 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  <w:highlight w:val="yellow"/>
              </w:rPr>
              <w:t>ferritin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</w:rPr>
              <w:t xml:space="preserve"> level is 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  <w:highlight w:val="yellow"/>
              </w:rPr>
              <w:t>below 30 ug/L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</w:rPr>
              <w:t xml:space="preserve"> in all age groups in the presence of </w:t>
            </w:r>
            <w:r w:rsidRPr="0094050B">
              <w:rPr>
                <w:rFonts w:asciiTheme="majorBidi" w:eastAsia="Calibri" w:hAnsiTheme="majorBidi" w:cstheme="majorBidi"/>
                <w:color w:val="000000"/>
                <w:kern w:val="24"/>
                <w:highlight w:val="yellow"/>
              </w:rPr>
              <w:t>infection/ inflammation.</w:t>
            </w:r>
          </w:p>
        </w:tc>
      </w:tr>
      <w:tr w:rsidR="0094050B" w:rsidRPr="0094050B" w14:paraId="203C10D9" w14:textId="77777777" w:rsidTr="0080630E">
        <w:tc>
          <w:tcPr>
            <w:tcW w:w="9067" w:type="dxa"/>
          </w:tcPr>
          <w:p w14:paraId="269E414E" w14:textId="77777777" w:rsidR="0094050B" w:rsidRPr="0094050B" w:rsidRDefault="0094050B" w:rsidP="0080630E">
            <w:pPr>
              <w:jc w:val="center"/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  <w:color w:val="FF0000"/>
                <w:kern w:val="24"/>
              </w:rPr>
              <w:t>Treatment</w:t>
            </w:r>
          </w:p>
        </w:tc>
      </w:tr>
      <w:tr w:rsidR="0094050B" w:rsidRPr="0094050B" w14:paraId="093DD9CA" w14:textId="77777777" w:rsidTr="0080630E">
        <w:tc>
          <w:tcPr>
            <w:tcW w:w="9067" w:type="dxa"/>
          </w:tcPr>
          <w:p w14:paraId="3B5F218F" w14:textId="77777777" w:rsidR="0094050B" w:rsidRPr="0094050B" w:rsidRDefault="0094050B" w:rsidP="0080630E">
            <w:pPr>
              <w:rPr>
                <w:rFonts w:asciiTheme="majorBidi" w:hAnsiTheme="majorBidi" w:cstheme="majorBidi"/>
                <w:lang w:bidi="ar-EG"/>
              </w:rPr>
            </w:pPr>
            <w:r w:rsidRPr="0094050B">
              <w:rPr>
                <w:rFonts w:asciiTheme="majorBidi" w:hAnsiTheme="majorBidi" w:cstheme="majorBidi"/>
                <w:highlight w:val="yellow"/>
                <w:lang w:bidi="ar-EG"/>
              </w:rPr>
              <w:t>Oral iron therapy:</w:t>
            </w:r>
          </w:p>
          <w:p w14:paraId="4B9744CA" w14:textId="77777777" w:rsidR="0094050B" w:rsidRPr="0094050B" w:rsidRDefault="0094050B" w:rsidP="0080630E">
            <w:pPr>
              <w:rPr>
                <w:rFonts w:asciiTheme="majorBidi" w:hAnsiTheme="majorBidi" w:cstheme="majorBidi"/>
                <w:lang w:bidi="ar-EG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t xml:space="preserve">Dose: </w:t>
            </w:r>
            <w:r w:rsidRPr="0094050B">
              <w:rPr>
                <w:rFonts w:asciiTheme="majorBidi" w:hAnsiTheme="majorBidi" w:cstheme="majorBidi"/>
                <w:highlight w:val="yellow"/>
                <w:lang w:bidi="ar-EG"/>
              </w:rPr>
              <w:t>3-6 mg/kg / day</w:t>
            </w:r>
            <w:r w:rsidRPr="0094050B">
              <w:rPr>
                <w:rFonts w:asciiTheme="majorBidi" w:hAnsiTheme="majorBidi" w:cstheme="majorBidi"/>
                <w:lang w:bidi="ar-EG"/>
              </w:rPr>
              <w:t xml:space="preserve"> for all ages</w:t>
            </w:r>
          </w:p>
          <w:p w14:paraId="0536CB0F" w14:textId="77777777" w:rsidR="0094050B" w:rsidRPr="0094050B" w:rsidRDefault="0094050B" w:rsidP="0080630E">
            <w:pPr>
              <w:rPr>
                <w:rFonts w:asciiTheme="majorBidi" w:hAnsiTheme="majorBidi" w:cstheme="majorBidi"/>
                <w:lang w:bidi="ar-EG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t>Forms:  syrup; tablets (each preparation contains different elemental iron dose) (not exceed maximum dose)</w:t>
            </w:r>
          </w:p>
          <w:p w14:paraId="2218B17A" w14:textId="77777777" w:rsidR="0094050B" w:rsidRPr="0094050B" w:rsidRDefault="0094050B" w:rsidP="0080630E">
            <w:pPr>
              <w:rPr>
                <w:rFonts w:asciiTheme="majorBidi" w:hAnsiTheme="majorBidi" w:cstheme="majorBidi"/>
                <w:lang w:bidi="ar-EG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t>Time: 1hour before or 2 hours after meals with Vitamin C at daytime</w:t>
            </w:r>
          </w:p>
          <w:p w14:paraId="285D638C" w14:textId="77777777" w:rsidR="0094050B" w:rsidRPr="0094050B" w:rsidRDefault="0094050B" w:rsidP="0080630E">
            <w:pPr>
              <w:rPr>
                <w:rFonts w:asciiTheme="majorBidi" w:hAnsiTheme="majorBidi" w:cstheme="majorBidi"/>
                <w:lang w:bidi="ar-EG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t>Monitoring:   after one month by CBC and reticulocytic count, then at 3, 6 months.</w:t>
            </w:r>
          </w:p>
          <w:p w14:paraId="21C0BD9D" w14:textId="77777777" w:rsidR="0094050B" w:rsidRPr="0094050B" w:rsidRDefault="0094050B" w:rsidP="0080630E">
            <w:pPr>
              <w:pStyle w:val="NormalWeb"/>
              <w:spacing w:before="0" w:beforeAutospacing="0" w:after="0" w:afterAutospacing="0" w:line="276" w:lineRule="auto"/>
              <w:rPr>
                <w:rFonts w:asciiTheme="majorBidi" w:eastAsia="Calibri" w:hAnsiTheme="majorBidi" w:cstheme="majorBidi"/>
                <w:color w:val="000000"/>
                <w:kern w:val="24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t>If no response after one month: revise dose, compliance, tolerability, type of formula and consider change of formula for another month.</w:t>
            </w:r>
          </w:p>
          <w:p w14:paraId="7A36FC02" w14:textId="77777777" w:rsidR="0094050B" w:rsidRPr="0094050B" w:rsidRDefault="0094050B" w:rsidP="0080630E">
            <w:pPr>
              <w:rPr>
                <w:rFonts w:asciiTheme="majorBidi" w:hAnsiTheme="majorBidi" w:cstheme="majorBidi"/>
                <w:lang w:val="en-US" w:bidi="ar-EG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t>Duration: for 3 months after recovery of hemoglobin</w:t>
            </w:r>
            <w:r w:rsidRPr="0094050B">
              <w:rPr>
                <w:rFonts w:asciiTheme="majorBidi" w:hAnsiTheme="majorBidi" w:cstheme="majorBidi"/>
                <w:lang w:val="en-US" w:bidi="ar-EG"/>
              </w:rPr>
              <w:t>.</w:t>
            </w:r>
          </w:p>
          <w:p w14:paraId="2A6EDFF9" w14:textId="77777777" w:rsidR="0094050B" w:rsidRPr="0094050B" w:rsidRDefault="0094050B" w:rsidP="0080630E">
            <w:pPr>
              <w:rPr>
                <w:rFonts w:asciiTheme="majorBidi" w:hAnsiTheme="majorBidi" w:cstheme="majorBidi"/>
                <w:lang w:bidi="ar-EG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lastRenderedPageBreak/>
              <w:t>Tips for Oral iron intake</w:t>
            </w:r>
          </w:p>
          <w:p w14:paraId="7A93280C" w14:textId="77777777" w:rsidR="0094050B" w:rsidRPr="0094050B" w:rsidRDefault="0094050B" w:rsidP="0080630E">
            <w:pPr>
              <w:rPr>
                <w:rFonts w:asciiTheme="majorBidi" w:hAnsiTheme="majorBidi" w:cstheme="majorBidi"/>
                <w:lang w:val="en-US" w:bidi="ar-EG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t>- Lower and intermittent dose may be as effective and better tolerated</w:t>
            </w:r>
            <w:r w:rsidRPr="0094050B">
              <w:rPr>
                <w:rFonts w:asciiTheme="majorBidi" w:hAnsiTheme="majorBidi" w:cstheme="majorBidi"/>
                <w:lang w:val="en-US" w:bidi="ar-EG"/>
              </w:rPr>
              <w:t>.</w:t>
            </w:r>
          </w:p>
          <w:p w14:paraId="7A745755" w14:textId="77777777" w:rsidR="0094050B" w:rsidRPr="0094050B" w:rsidRDefault="0094050B" w:rsidP="0080630E">
            <w:pPr>
              <w:rPr>
                <w:rFonts w:asciiTheme="majorBidi" w:hAnsiTheme="majorBidi" w:cstheme="majorBidi"/>
                <w:lang w:val="en-US" w:bidi="ar-EG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t>- To avoid gastric upset</w:t>
            </w:r>
            <w:r w:rsidRPr="0094050B">
              <w:rPr>
                <w:rFonts w:asciiTheme="majorBidi" w:hAnsiTheme="majorBidi" w:cstheme="majorBidi"/>
                <w:lang w:val="en-US" w:bidi="ar-EG"/>
              </w:rPr>
              <w:t>,</w:t>
            </w:r>
            <w:r w:rsidRPr="0094050B">
              <w:rPr>
                <w:rFonts w:asciiTheme="majorBidi" w:hAnsiTheme="majorBidi" w:cstheme="majorBidi"/>
                <w:lang w:bidi="ar-EG"/>
              </w:rPr>
              <w:t xml:space="preserve"> can be taken at night</w:t>
            </w:r>
            <w:r w:rsidRPr="0094050B">
              <w:rPr>
                <w:rFonts w:asciiTheme="majorBidi" w:hAnsiTheme="majorBidi" w:cstheme="majorBidi"/>
                <w:lang w:val="en-US" w:bidi="ar-EG"/>
              </w:rPr>
              <w:t>,</w:t>
            </w:r>
            <w:r w:rsidRPr="0094050B">
              <w:rPr>
                <w:rFonts w:asciiTheme="majorBidi" w:hAnsiTheme="majorBidi" w:cstheme="majorBidi"/>
                <w:lang w:bidi="ar-EG"/>
              </w:rPr>
              <w:t xml:space="preserve"> and increasing dose gradually</w:t>
            </w:r>
            <w:r w:rsidRPr="0094050B">
              <w:rPr>
                <w:rFonts w:asciiTheme="majorBidi" w:hAnsiTheme="majorBidi" w:cstheme="majorBidi"/>
                <w:lang w:val="en-US" w:bidi="ar-EG"/>
              </w:rPr>
              <w:t>.</w:t>
            </w:r>
          </w:p>
          <w:p w14:paraId="5C474533" w14:textId="77777777" w:rsidR="0094050B" w:rsidRPr="0094050B" w:rsidRDefault="0094050B" w:rsidP="0080630E">
            <w:pPr>
              <w:rPr>
                <w:rFonts w:asciiTheme="majorBidi" w:hAnsiTheme="majorBidi" w:cstheme="majorBidi"/>
                <w:lang w:val="en-US" w:bidi="ar-EG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t>-  Teeth staining can be avoided by brushing teeth and taking with water</w:t>
            </w:r>
            <w:r w:rsidRPr="0094050B">
              <w:rPr>
                <w:rFonts w:asciiTheme="majorBidi" w:hAnsiTheme="majorBidi" w:cstheme="majorBidi"/>
                <w:lang w:val="en-US" w:bidi="ar-EG"/>
              </w:rPr>
              <w:t>.</w:t>
            </w:r>
          </w:p>
          <w:p w14:paraId="35368FF7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</w:p>
        </w:tc>
      </w:tr>
      <w:tr w:rsidR="0094050B" w:rsidRPr="0094050B" w14:paraId="453DCE48" w14:textId="77777777" w:rsidTr="0080630E">
        <w:tc>
          <w:tcPr>
            <w:tcW w:w="9067" w:type="dxa"/>
          </w:tcPr>
          <w:p w14:paraId="24D8D2CE" w14:textId="77777777" w:rsidR="0094050B" w:rsidRPr="0094050B" w:rsidRDefault="0094050B" w:rsidP="0080630E">
            <w:pPr>
              <w:pStyle w:val="ListParagraph"/>
              <w:numPr>
                <w:ilvl w:val="0"/>
                <w:numId w:val="6"/>
              </w:numPr>
              <w:contextualSpacing w:val="0"/>
              <w:rPr>
                <w:rFonts w:asciiTheme="majorBidi" w:hAnsiTheme="majorBidi" w:cstheme="majorBidi"/>
                <w:lang w:bidi="ar-EG"/>
              </w:rPr>
            </w:pPr>
            <w:r w:rsidRPr="0094050B">
              <w:rPr>
                <w:rFonts w:asciiTheme="majorBidi" w:hAnsiTheme="majorBidi" w:cstheme="majorBidi"/>
                <w:highlight w:val="yellow"/>
                <w:lang w:bidi="ar-EG"/>
              </w:rPr>
              <w:lastRenderedPageBreak/>
              <w:t>If oral iron is ineffective or is not tolerated,</w:t>
            </w:r>
            <w:r w:rsidRPr="0094050B">
              <w:rPr>
                <w:rFonts w:asciiTheme="majorBidi" w:hAnsiTheme="majorBidi" w:cstheme="majorBidi"/>
                <w:lang w:bidi="ar-EG"/>
              </w:rPr>
              <w:t xml:space="preserve"> consider </w:t>
            </w:r>
            <w:r w:rsidRPr="0094050B">
              <w:rPr>
                <w:rFonts w:asciiTheme="majorBidi" w:hAnsiTheme="majorBidi" w:cstheme="majorBidi"/>
                <w:highlight w:val="yellow"/>
                <w:lang w:bidi="ar-EG"/>
              </w:rPr>
              <w:t>other causes of anemia,</w:t>
            </w:r>
            <w:r w:rsidRPr="0094050B">
              <w:rPr>
                <w:rFonts w:asciiTheme="majorBidi" w:hAnsiTheme="majorBidi" w:cstheme="majorBidi"/>
                <w:lang w:bidi="ar-EG"/>
              </w:rPr>
              <w:t xml:space="preserve"> and refer to </w:t>
            </w:r>
            <w:r w:rsidRPr="0094050B">
              <w:rPr>
                <w:rFonts w:asciiTheme="majorBidi" w:hAnsiTheme="majorBidi" w:cstheme="majorBidi"/>
                <w:highlight w:val="yellow"/>
                <w:lang w:bidi="ar-EG"/>
              </w:rPr>
              <w:t>Hematologist</w:t>
            </w:r>
            <w:r w:rsidRPr="0094050B">
              <w:rPr>
                <w:rFonts w:asciiTheme="majorBidi" w:hAnsiTheme="majorBidi" w:cstheme="majorBidi"/>
                <w:lang w:bidi="ar-EG"/>
              </w:rPr>
              <w:t xml:space="preserve"> (avoid parenteral iron therapy).</w:t>
            </w:r>
          </w:p>
          <w:p w14:paraId="2D1BFA0F" w14:textId="77777777" w:rsidR="0094050B" w:rsidRPr="0094050B" w:rsidRDefault="0094050B" w:rsidP="0080630E">
            <w:pPr>
              <w:rPr>
                <w:rFonts w:asciiTheme="majorBidi" w:hAnsiTheme="majorBidi" w:cstheme="majorBidi"/>
                <w:lang w:bidi="ar-EG"/>
              </w:rPr>
            </w:pPr>
          </w:p>
          <w:p w14:paraId="2554E765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t>Packed RBCs should be considered after Hematologist opinion.</w:t>
            </w:r>
          </w:p>
        </w:tc>
      </w:tr>
      <w:tr w:rsidR="0094050B" w:rsidRPr="0094050B" w14:paraId="23255981" w14:textId="77777777" w:rsidTr="0080630E">
        <w:tc>
          <w:tcPr>
            <w:tcW w:w="9067" w:type="dxa"/>
          </w:tcPr>
          <w:p w14:paraId="6F1F69A9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  <w:highlight w:val="yellow"/>
                <w:lang w:bidi="ar-EG"/>
              </w:rPr>
              <w:t>Nutritional support</w:t>
            </w:r>
            <w:r w:rsidRPr="0094050B">
              <w:rPr>
                <w:rFonts w:asciiTheme="majorBidi" w:hAnsiTheme="majorBidi" w:cstheme="majorBidi"/>
                <w:lang w:bidi="ar-EG"/>
              </w:rPr>
              <w:t xml:space="preserve"> with </w:t>
            </w:r>
            <w:r w:rsidRPr="0094050B">
              <w:rPr>
                <w:rFonts w:asciiTheme="majorBidi" w:hAnsiTheme="majorBidi" w:cstheme="majorBidi"/>
                <w:highlight w:val="yellow"/>
                <w:lang w:bidi="ar-EG"/>
              </w:rPr>
              <w:t>iron rich formulas,</w:t>
            </w:r>
            <w:r w:rsidRPr="0094050B">
              <w:rPr>
                <w:rFonts w:asciiTheme="majorBidi" w:hAnsiTheme="majorBidi" w:cstheme="majorBidi"/>
                <w:lang w:bidi="ar-EG"/>
              </w:rPr>
              <w:t xml:space="preserve"> solid food, and oral iron support 1-2 mg/kg/day elemental iron should be used to treat </w:t>
            </w:r>
            <w:r w:rsidRPr="0094050B">
              <w:rPr>
                <w:rFonts w:asciiTheme="majorBidi" w:hAnsiTheme="majorBidi" w:cstheme="majorBidi"/>
                <w:highlight w:val="yellow"/>
                <w:lang w:bidi="ar-EG"/>
              </w:rPr>
              <w:t>asymptomatic iron deficiency anemia in infants.</w:t>
            </w:r>
          </w:p>
        </w:tc>
      </w:tr>
      <w:tr w:rsidR="0094050B" w:rsidRPr="0094050B" w14:paraId="4B4A8961" w14:textId="77777777" w:rsidTr="0080630E">
        <w:tc>
          <w:tcPr>
            <w:tcW w:w="9067" w:type="dxa"/>
          </w:tcPr>
          <w:p w14:paraId="6AE76CEC" w14:textId="77777777" w:rsidR="0094050B" w:rsidRPr="0094050B" w:rsidRDefault="0094050B" w:rsidP="0080630E">
            <w:pPr>
              <w:jc w:val="center"/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  <w:color w:val="FF0000"/>
                <w:kern w:val="24"/>
              </w:rPr>
              <w:t>Referral</w:t>
            </w:r>
          </w:p>
        </w:tc>
      </w:tr>
      <w:tr w:rsidR="0094050B" w:rsidRPr="0094050B" w14:paraId="5E543079" w14:textId="77777777" w:rsidTr="0080630E">
        <w:tc>
          <w:tcPr>
            <w:tcW w:w="9067" w:type="dxa"/>
          </w:tcPr>
          <w:p w14:paraId="05851A72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t xml:space="preserve">Referral to hematologist should be considered in cases of </w:t>
            </w:r>
            <w:r w:rsidRPr="0094050B">
              <w:rPr>
                <w:rFonts w:asciiTheme="majorBidi" w:hAnsiTheme="majorBidi" w:cstheme="majorBidi"/>
                <w:highlight w:val="yellow"/>
                <w:lang w:bidi="ar-EG"/>
              </w:rPr>
              <w:t>severe anemia,</w:t>
            </w:r>
            <w:r w:rsidRPr="0094050B">
              <w:rPr>
                <w:rFonts w:asciiTheme="majorBidi" w:hAnsiTheme="majorBidi" w:cstheme="majorBidi"/>
                <w:lang w:bidi="ar-EG"/>
              </w:rPr>
              <w:t xml:space="preserve"> history of </w:t>
            </w:r>
            <w:r w:rsidRPr="0094050B">
              <w:rPr>
                <w:rFonts w:asciiTheme="majorBidi" w:hAnsiTheme="majorBidi" w:cstheme="majorBidi"/>
                <w:highlight w:val="yellow"/>
                <w:lang w:bidi="ar-EG"/>
              </w:rPr>
              <w:t>recurrent bleeding</w:t>
            </w:r>
            <w:r w:rsidRPr="0094050B">
              <w:rPr>
                <w:rFonts w:asciiTheme="majorBidi" w:hAnsiTheme="majorBidi" w:cstheme="majorBidi"/>
                <w:lang w:bidi="ar-EG"/>
              </w:rPr>
              <w:t xml:space="preserve"> or with </w:t>
            </w:r>
            <w:r w:rsidRPr="0094050B">
              <w:rPr>
                <w:rFonts w:asciiTheme="majorBidi" w:hAnsiTheme="majorBidi" w:cstheme="majorBidi"/>
                <w:highlight w:val="yellow"/>
                <w:lang w:bidi="ar-EG"/>
              </w:rPr>
              <w:t>failure of increase in the hemoglobin concentration</w:t>
            </w:r>
            <w:r w:rsidRPr="0094050B">
              <w:rPr>
                <w:rFonts w:asciiTheme="majorBidi" w:hAnsiTheme="majorBidi" w:cstheme="majorBidi"/>
                <w:lang w:bidi="ar-EG"/>
              </w:rPr>
              <w:t xml:space="preserve"> after proper iron dose and proper way of administration</w:t>
            </w:r>
          </w:p>
        </w:tc>
      </w:tr>
      <w:tr w:rsidR="0094050B" w:rsidRPr="0094050B" w14:paraId="19519F17" w14:textId="77777777" w:rsidTr="0080630E">
        <w:tc>
          <w:tcPr>
            <w:tcW w:w="9067" w:type="dxa"/>
          </w:tcPr>
          <w:p w14:paraId="5ED4807A" w14:textId="77777777" w:rsidR="0094050B" w:rsidRPr="0094050B" w:rsidRDefault="0094050B" w:rsidP="0080630E">
            <w:pPr>
              <w:jc w:val="center"/>
              <w:rPr>
                <w:rFonts w:asciiTheme="majorBidi" w:hAnsiTheme="majorBidi" w:cstheme="majorBidi"/>
                <w:color w:val="FF0000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  <w:color w:val="FF0000"/>
                <w:kern w:val="24"/>
              </w:rPr>
              <w:t>Prevention of ID and IDA</w:t>
            </w:r>
          </w:p>
        </w:tc>
      </w:tr>
      <w:tr w:rsidR="0094050B" w:rsidRPr="0094050B" w14:paraId="1BF52E8D" w14:textId="77777777" w:rsidTr="0080630E">
        <w:tc>
          <w:tcPr>
            <w:tcW w:w="9067" w:type="dxa"/>
          </w:tcPr>
          <w:p w14:paraId="6B50F5DE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Daily iron supplementation of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</w:rPr>
              <w:t>10-12.5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</w:rPr>
              <w:t xml:space="preserve">mg elemental iron </w:t>
            </w:r>
            <w:r w:rsidRPr="0094050B">
              <w:rPr>
                <w:rFonts w:asciiTheme="majorBidi" w:hAnsiTheme="majorBidi" w:cstheme="majorBidi"/>
                <w:color w:val="000000"/>
                <w:kern w:val="0"/>
                <w:highlight w:val="yellow"/>
                <w:lang w:val="en-US"/>
              </w:rPr>
              <w:t>daily</w:t>
            </w:r>
            <w:r w:rsidRPr="0094050B">
              <w:rPr>
                <w:rFonts w:asciiTheme="majorBidi" w:hAnsiTheme="majorBidi" w:cstheme="majorBidi"/>
                <w:color w:val="000000"/>
                <w:kern w:val="0"/>
                <w:lang w:val="en-US"/>
              </w:rPr>
              <w:t xml:space="preserve"> (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Drops/syrups)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for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</w:rPr>
              <w:t>three consecutive months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 is recommended as a public health intervention in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</w:rPr>
              <w:t>infants and young children aged 6-23 months,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 living in settings where anemia is highly prevalent*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lang w:val="en-US"/>
              </w:rPr>
              <w:t>***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>.</w:t>
            </w:r>
          </w:p>
        </w:tc>
      </w:tr>
      <w:tr w:rsidR="0094050B" w:rsidRPr="0094050B" w14:paraId="4615B30B" w14:textId="77777777" w:rsidTr="0080630E">
        <w:tc>
          <w:tcPr>
            <w:tcW w:w="9067" w:type="dxa"/>
          </w:tcPr>
          <w:p w14:paraId="28079617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Daily iron supplementation of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</w:rPr>
              <w:t>30 mg elemental iron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color w:val="000000"/>
                <w:kern w:val="0"/>
                <w:highlight w:val="yellow"/>
                <w:lang w:val="en-US"/>
              </w:rPr>
              <w:t>daily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lang w:val="en-US"/>
              </w:rPr>
              <w:t>(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Drops/syrups/tablets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lang w:val="en-US"/>
              </w:rPr>
              <w:t xml:space="preserve">)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for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</w:rPr>
              <w:t>three consecutive months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 is recommended as a public health intervention in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</w:rPr>
              <w:t>preschool children aged 24 to 59 months,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 living in settings where anemia is highly prevalent*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lang w:val="en-US"/>
              </w:rPr>
              <w:t>***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>.</w:t>
            </w:r>
          </w:p>
        </w:tc>
      </w:tr>
      <w:tr w:rsidR="0094050B" w:rsidRPr="0094050B" w14:paraId="2B948A80" w14:textId="77777777" w:rsidTr="0080630E">
        <w:tc>
          <w:tcPr>
            <w:tcW w:w="9067" w:type="dxa"/>
          </w:tcPr>
          <w:p w14:paraId="498279CC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/>
                <w:kern w:val="24"/>
              </w:rPr>
            </w:pP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Daily iron supplementation of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</w:rPr>
              <w:t>30-60 mg elemental iron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color w:val="000000"/>
                <w:kern w:val="0"/>
                <w:highlight w:val="yellow"/>
                <w:lang w:val="en-US"/>
              </w:rPr>
              <w:t>daily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lang w:val="en-US"/>
              </w:rPr>
              <w:t>(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Drops/syrups/tablets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lang w:val="en-US"/>
              </w:rPr>
              <w:t xml:space="preserve">)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for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</w:rPr>
              <w:t>three consecutive months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 is recommended as a public health intervention in 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highlight w:val="yellow"/>
              </w:rPr>
              <w:t>school aged children aged 5-12 years,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 xml:space="preserve"> living in settings where anemia is highly prevalent**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lang w:val="en-US"/>
              </w:rPr>
              <w:t>***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>.</w:t>
            </w:r>
          </w:p>
          <w:p w14:paraId="2D8767EB" w14:textId="77777777" w:rsidR="0094050B" w:rsidRPr="0094050B" w:rsidRDefault="0094050B" w:rsidP="0080630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Daily iron supplementation </w:t>
            </w:r>
            <w:r w:rsidRPr="0094050B">
              <w:rPr>
                <w:rFonts w:asciiTheme="majorBidi" w:hAnsiTheme="majorBidi" w:cstheme="majorBidi"/>
                <w:kern w:val="0"/>
                <w:highlight w:val="yellow"/>
                <w:lang w:val="en-US"/>
              </w:rPr>
              <w:t>30–60 mg elemental iron</w:t>
            </w:r>
            <w:r w:rsidRPr="0094050B">
              <w:rPr>
                <w:rFonts w:asciiTheme="majorBidi" w:hAnsiTheme="majorBidi" w:cstheme="majorBidi"/>
                <w:color w:val="000000"/>
                <w:kern w:val="0"/>
                <w:highlight w:val="yellow"/>
                <w:lang w:val="en-US"/>
              </w:rPr>
              <w:t xml:space="preserve"> daily</w:t>
            </w:r>
            <w:r w:rsidRPr="0094050B">
              <w:rPr>
                <w:rFonts w:asciiTheme="majorBidi" w:hAnsiTheme="majorBidi" w:cstheme="majorBidi"/>
                <w:color w:val="000000"/>
                <w:kern w:val="0"/>
                <w:lang w:val="en-US"/>
              </w:rPr>
              <w:t xml:space="preserve"> (Tablets), for </w:t>
            </w:r>
            <w:r w:rsidRPr="0094050B">
              <w:rPr>
                <w:rFonts w:asciiTheme="majorBidi" w:hAnsiTheme="majorBidi" w:cstheme="majorBidi"/>
                <w:color w:val="000000"/>
                <w:kern w:val="0"/>
                <w:highlight w:val="yellow"/>
                <w:lang w:val="en-US"/>
              </w:rPr>
              <w:t>three consecutive months</w:t>
            </w:r>
            <w:r w:rsidRPr="0094050B">
              <w:rPr>
                <w:rFonts w:asciiTheme="majorBidi" w:hAnsiTheme="majorBidi" w:cstheme="majorBidi"/>
                <w:color w:val="000000"/>
                <w:kern w:val="0"/>
                <w:lang w:val="en-US"/>
              </w:rPr>
              <w:t xml:space="preserve"> in a year, i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s recommended as a public health intervention in </w:t>
            </w:r>
            <w:r w:rsidRPr="0094050B">
              <w:rPr>
                <w:rFonts w:asciiTheme="majorBidi" w:hAnsiTheme="majorBidi" w:cstheme="majorBidi"/>
                <w:kern w:val="0"/>
                <w:highlight w:val="yellow"/>
                <w:lang w:val="en-US"/>
              </w:rPr>
              <w:t>menstruating adult women and adolescent girls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, living in settings where anemia is highly prevalent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>*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lang w:val="en-US"/>
              </w:rPr>
              <w:t>*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</w:rPr>
              <w:t>*</w:t>
            </w:r>
            <w:r w:rsidRPr="0094050B">
              <w:rPr>
                <w:rFonts w:asciiTheme="majorBidi" w:hAnsiTheme="majorBidi" w:cstheme="majorBidi"/>
                <w:color w:val="000000"/>
                <w:kern w:val="24"/>
                <w:lang w:val="en-US"/>
              </w:rPr>
              <w:t>**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, for the prevention of anemia and iron deficiency.</w:t>
            </w:r>
          </w:p>
          <w:p w14:paraId="3EAA6FEC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</w:p>
        </w:tc>
      </w:tr>
      <w:tr w:rsidR="0094050B" w:rsidRPr="0094050B" w14:paraId="4D533B8A" w14:textId="77777777" w:rsidTr="0080630E">
        <w:tc>
          <w:tcPr>
            <w:tcW w:w="9067" w:type="dxa"/>
          </w:tcPr>
          <w:p w14:paraId="7C921B33" w14:textId="77777777" w:rsidR="0094050B" w:rsidRPr="0094050B" w:rsidRDefault="0094050B" w:rsidP="0080630E">
            <w:pPr>
              <w:pStyle w:val="ListParagraph"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highlight w:val="yellow"/>
              </w:rPr>
              <w:t>Dietary prevention</w:t>
            </w:r>
          </w:p>
          <w:p w14:paraId="0C2A7768" w14:textId="77777777" w:rsidR="0094050B" w:rsidRPr="0094050B" w:rsidRDefault="0094050B" w:rsidP="0080630E">
            <w:pPr>
              <w:pStyle w:val="ListParagraph"/>
              <w:numPr>
                <w:ilvl w:val="0"/>
                <w:numId w:val="7"/>
              </w:numPr>
              <w:contextualSpacing w:val="0"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Start complementary feeding with iron rich food.</w:t>
            </w:r>
          </w:p>
          <w:p w14:paraId="54337844" w14:textId="77777777" w:rsidR="0094050B" w:rsidRPr="0094050B" w:rsidRDefault="0094050B" w:rsidP="0080630E">
            <w:pPr>
              <w:pStyle w:val="ListParagraph"/>
              <w:numPr>
                <w:ilvl w:val="0"/>
                <w:numId w:val="7"/>
              </w:numPr>
              <w:contextualSpacing w:val="0"/>
              <w:rPr>
                <w:rFonts w:asciiTheme="majorBidi" w:hAnsiTheme="majorBidi" w:cstheme="majorBidi"/>
                <w:lang w:bidi="ar-EG"/>
              </w:rPr>
            </w:pPr>
            <w:r w:rsidRPr="0094050B">
              <w:rPr>
                <w:rFonts w:asciiTheme="majorBidi" w:hAnsiTheme="majorBidi" w:cstheme="majorBidi"/>
              </w:rPr>
              <w:t xml:space="preserve">Avoid cow milk, goat milk, soy to infants </w:t>
            </w:r>
            <w:r w:rsidRPr="0094050B">
              <w:rPr>
                <w:rFonts w:asciiTheme="majorBidi" w:hAnsiTheme="majorBidi" w:cstheme="majorBidi"/>
                <w:lang w:bidi="ar-EG"/>
              </w:rPr>
              <w:t>under12 months of age.</w:t>
            </w:r>
          </w:p>
          <w:p w14:paraId="5599BE57" w14:textId="77777777" w:rsidR="0094050B" w:rsidRPr="0094050B" w:rsidRDefault="0094050B" w:rsidP="0080630E">
            <w:pPr>
              <w:pStyle w:val="ListParagraph"/>
              <w:numPr>
                <w:ilvl w:val="0"/>
                <w:numId w:val="7"/>
              </w:numPr>
              <w:contextualSpacing w:val="0"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t>From 12 months, cow milk should not exceed 500 ml per day.</w:t>
            </w:r>
          </w:p>
          <w:p w14:paraId="0627F031" w14:textId="77777777" w:rsidR="0094050B" w:rsidRPr="0094050B" w:rsidRDefault="0094050B" w:rsidP="0080630E">
            <w:pPr>
              <w:pStyle w:val="ListParagraph"/>
              <w:numPr>
                <w:ilvl w:val="0"/>
                <w:numId w:val="7"/>
              </w:numPr>
              <w:contextualSpacing w:val="0"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lang w:bidi="ar-EG"/>
              </w:rPr>
              <w:t>For non-breast-fed infants, iron fortified formula can play a role in prevention and treatment of IDA.</w:t>
            </w:r>
          </w:p>
          <w:p w14:paraId="45364072" w14:textId="77777777" w:rsidR="0094050B" w:rsidRPr="0094050B" w:rsidRDefault="0094050B" w:rsidP="0080630E">
            <w:pPr>
              <w:rPr>
                <w:rFonts w:asciiTheme="majorBidi" w:hAnsiTheme="majorBidi" w:cstheme="majorBidi"/>
                <w:u w:val="single"/>
                <w:lang w:val="en-US"/>
              </w:rPr>
            </w:pPr>
          </w:p>
        </w:tc>
      </w:tr>
    </w:tbl>
    <w:p w14:paraId="3FD2441A" w14:textId="48720C02" w:rsidR="00B30CA4" w:rsidRPr="00B30CA4" w:rsidRDefault="00B30CA4" w:rsidP="00B30CA4">
      <w:pPr>
        <w:pStyle w:val="Default"/>
        <w:rPr>
          <w:rFonts w:asciiTheme="majorBidi" w:hAnsiTheme="majorBidi" w:cstheme="majorBidi"/>
          <w:color w:val="auto"/>
        </w:rPr>
      </w:pPr>
      <w:r w:rsidRPr="00B30CA4">
        <w:rPr>
          <w:rFonts w:asciiTheme="majorBidi" w:hAnsiTheme="majorBidi" w:cstheme="majorBidi"/>
          <w:color w:val="auto"/>
        </w:rPr>
        <w:t>Adapted from: “</w:t>
      </w:r>
      <w:r w:rsidRPr="00B30CA4">
        <w:rPr>
          <w:rFonts w:asciiTheme="majorBidi" w:hAnsiTheme="majorBidi" w:cstheme="majorBidi"/>
          <w:color w:val="auto"/>
        </w:rPr>
        <w:t>World Health Organization.</w:t>
      </w:r>
      <w:r w:rsidRPr="00B30CA4">
        <w:rPr>
          <w:rStyle w:val="apple-converted-space"/>
          <w:rFonts w:asciiTheme="majorBidi" w:hAnsiTheme="majorBidi" w:cstheme="majorBidi"/>
          <w:color w:val="auto"/>
        </w:rPr>
        <w:t> </w:t>
      </w:r>
      <w:r w:rsidRPr="00B30CA4">
        <w:rPr>
          <w:rFonts w:asciiTheme="majorBidi" w:hAnsiTheme="majorBidi" w:cstheme="majorBidi"/>
          <w:color w:val="auto"/>
        </w:rPr>
        <w:t>(</w:t>
      </w:r>
      <w:r w:rsidRPr="00B30CA4">
        <w:rPr>
          <w:rFonts w:asciiTheme="majorBidi" w:hAnsiTheme="majorBidi" w:cstheme="majorBidi"/>
          <w:color w:val="auto"/>
          <w:cs/>
        </w:rPr>
        <w:t>‎</w:t>
      </w:r>
      <w:r w:rsidRPr="00B30CA4">
        <w:rPr>
          <w:rFonts w:asciiTheme="majorBidi" w:hAnsiTheme="majorBidi" w:cstheme="majorBidi"/>
          <w:color w:val="auto"/>
        </w:rPr>
        <w:t>2016)</w:t>
      </w:r>
      <w:r w:rsidRPr="00B30CA4">
        <w:rPr>
          <w:rFonts w:asciiTheme="majorBidi" w:hAnsiTheme="majorBidi" w:cstheme="majorBidi"/>
          <w:color w:val="auto"/>
          <w:cs/>
        </w:rPr>
        <w:t>‎</w:t>
      </w:r>
      <w:r w:rsidRPr="00B30CA4">
        <w:rPr>
          <w:rFonts w:asciiTheme="majorBidi" w:hAnsiTheme="majorBidi" w:cstheme="majorBidi"/>
          <w:color w:val="auto"/>
        </w:rPr>
        <w:t>.</w:t>
      </w:r>
      <w:r w:rsidRPr="00B30CA4">
        <w:rPr>
          <w:rStyle w:val="apple-converted-space"/>
          <w:rFonts w:asciiTheme="majorBidi" w:hAnsiTheme="majorBidi" w:cstheme="majorBidi"/>
          <w:color w:val="auto"/>
        </w:rPr>
        <w:t> </w:t>
      </w:r>
      <w:r w:rsidRPr="00B30CA4">
        <w:rPr>
          <w:rFonts w:asciiTheme="majorBidi" w:hAnsiTheme="majorBidi" w:cstheme="majorBidi"/>
          <w:color w:val="auto"/>
        </w:rPr>
        <w:t>Guideline: daily iron supplementation in adult women and adolescent girls.</w:t>
      </w:r>
      <w:r w:rsidRPr="00B30CA4">
        <w:rPr>
          <w:rStyle w:val="apple-converted-space"/>
          <w:rFonts w:asciiTheme="majorBidi" w:hAnsiTheme="majorBidi" w:cstheme="majorBidi"/>
          <w:color w:val="auto"/>
        </w:rPr>
        <w:t> </w:t>
      </w:r>
      <w:r w:rsidRPr="00B30CA4">
        <w:rPr>
          <w:rFonts w:asciiTheme="majorBidi" w:hAnsiTheme="majorBidi" w:cstheme="majorBidi"/>
          <w:color w:val="auto"/>
        </w:rPr>
        <w:t>World Health</w:t>
      </w:r>
      <w:r w:rsidRPr="00B30CA4">
        <w:rPr>
          <w:rFonts w:asciiTheme="majorBidi" w:hAnsiTheme="majorBidi" w:cstheme="majorBidi"/>
          <w:color w:val="auto"/>
        </w:rPr>
        <w:t xml:space="preserve"> </w:t>
      </w:r>
      <w:r w:rsidRPr="00B30CA4">
        <w:rPr>
          <w:rFonts w:asciiTheme="majorBidi" w:hAnsiTheme="majorBidi" w:cstheme="majorBidi"/>
          <w:color w:val="auto"/>
        </w:rPr>
        <w:t>Organization.</w:t>
      </w:r>
      <w:r w:rsidRPr="00B30CA4">
        <w:rPr>
          <w:rStyle w:val="apple-converted-space"/>
          <w:rFonts w:asciiTheme="majorBidi" w:hAnsiTheme="majorBidi" w:cstheme="majorBidi"/>
          <w:color w:val="auto"/>
        </w:rPr>
        <w:t> </w:t>
      </w:r>
      <w:hyperlink r:id="rId5" w:history="1">
        <w:r w:rsidRPr="00B30CA4">
          <w:rPr>
            <w:rStyle w:val="Hyperlink"/>
            <w:rFonts w:asciiTheme="majorBidi" w:hAnsiTheme="majorBidi" w:cstheme="majorBidi"/>
            <w:color w:val="auto"/>
            <w:u w:val="none"/>
          </w:rPr>
          <w:t>https://apps.who.int/iris/handle/10665/204761</w:t>
        </w:r>
      </w:hyperlink>
      <w:r w:rsidRPr="00B30CA4">
        <w:rPr>
          <w:rStyle w:val="Hyperlink"/>
          <w:rFonts w:asciiTheme="majorBidi" w:hAnsiTheme="majorBidi" w:cstheme="majorBidi"/>
          <w:color w:val="auto"/>
          <w:u w:val="none"/>
        </w:rPr>
        <w:t>”, “</w:t>
      </w:r>
      <w:r w:rsidRPr="00B30CA4">
        <w:rPr>
          <w:rFonts w:asciiTheme="majorBidi" w:hAnsiTheme="majorBidi" w:cstheme="majorBidi"/>
          <w:color w:val="auto"/>
        </w:rPr>
        <w:t>Guideline: Daily iron supplementation in infants and children. Geneva: World Health Organization; 2016.</w:t>
      </w:r>
      <w:r w:rsidRPr="00B30CA4">
        <w:rPr>
          <w:rFonts w:asciiTheme="majorBidi" w:hAnsiTheme="majorBidi" w:cstheme="majorBidi"/>
          <w:color w:val="auto"/>
        </w:rPr>
        <w:t>”, “</w:t>
      </w:r>
      <w:r w:rsidRPr="00B30CA4">
        <w:rPr>
          <w:rFonts w:asciiTheme="majorBidi" w:hAnsiTheme="majorBidi" w:cstheme="majorBidi"/>
          <w:color w:val="auto"/>
        </w:rPr>
        <w:t xml:space="preserve">National Blood Authority (NBA) (2016). Patient Blood Management Guidelines: Module 6 – Neonatal and </w:t>
      </w:r>
      <w:proofErr w:type="spellStart"/>
      <w:r w:rsidRPr="00B30CA4">
        <w:rPr>
          <w:rFonts w:asciiTheme="majorBidi" w:hAnsiTheme="majorBidi" w:cstheme="majorBidi"/>
          <w:color w:val="auto"/>
        </w:rPr>
        <w:t>Paediatrics</w:t>
      </w:r>
      <w:proofErr w:type="spellEnd"/>
      <w:r w:rsidRPr="00B30CA4">
        <w:rPr>
          <w:rFonts w:asciiTheme="majorBidi" w:hAnsiTheme="majorBidi" w:cstheme="majorBidi"/>
          <w:color w:val="auto"/>
        </w:rPr>
        <w:t>. NBA, Canberra, Australia.</w:t>
      </w:r>
      <w:r w:rsidRPr="00B30CA4">
        <w:rPr>
          <w:rFonts w:asciiTheme="majorBidi" w:hAnsiTheme="majorBidi" w:cstheme="majorBidi"/>
          <w:color w:val="auto"/>
        </w:rPr>
        <w:t>”</w:t>
      </w:r>
    </w:p>
    <w:p w14:paraId="5C2EE10C" w14:textId="323A459D" w:rsidR="0094050B" w:rsidRDefault="0094050B" w:rsidP="0094050B">
      <w:pPr>
        <w:rPr>
          <w:rFonts w:asciiTheme="majorBidi" w:hAnsiTheme="majorBidi" w:cstheme="majorBidi"/>
          <w:kern w:val="0"/>
          <w:lang w:val="en-US"/>
        </w:rPr>
      </w:pPr>
    </w:p>
    <w:p w14:paraId="69625873" w14:textId="77777777" w:rsidR="00B30CA4" w:rsidRPr="0094050B" w:rsidRDefault="00B30CA4" w:rsidP="0094050B">
      <w:pPr>
        <w:rPr>
          <w:rFonts w:asciiTheme="majorBidi" w:hAnsiTheme="majorBidi" w:cstheme="majorBidi"/>
          <w:kern w:val="0"/>
          <w:lang w:val="en-US"/>
        </w:rPr>
      </w:pPr>
    </w:p>
    <w:p w14:paraId="39D525B6" w14:textId="303BB507" w:rsidR="0094050B" w:rsidRPr="0094050B" w:rsidRDefault="0094050B" w:rsidP="0094050B">
      <w:pPr>
        <w:pStyle w:val="NormalWeb"/>
        <w:contextualSpacing/>
        <w:rPr>
          <w:rFonts w:asciiTheme="majorBidi" w:hAnsiTheme="majorBidi" w:cstheme="majorBidi"/>
          <w:b/>
          <w:bCs/>
          <w:lang w:val="en-US"/>
        </w:rPr>
      </w:pPr>
      <w:r w:rsidRPr="0094050B">
        <w:rPr>
          <w:rFonts w:asciiTheme="majorBidi" w:hAnsiTheme="majorBidi" w:cstheme="majorBidi"/>
          <w:b/>
          <w:bCs/>
        </w:rPr>
        <w:lastRenderedPageBreak/>
        <w:t xml:space="preserve">Table </w:t>
      </w:r>
      <w:r w:rsidRPr="0094050B">
        <w:rPr>
          <w:rFonts w:asciiTheme="majorBidi" w:hAnsiTheme="majorBidi" w:cstheme="majorBidi"/>
          <w:b/>
          <w:bCs/>
          <w:lang w:val="en-US"/>
        </w:rPr>
        <w:t>2</w:t>
      </w:r>
      <w:r w:rsidRPr="0094050B">
        <w:rPr>
          <w:rFonts w:asciiTheme="majorBidi" w:hAnsiTheme="majorBidi" w:cstheme="majorBidi"/>
          <w:b/>
          <w:bCs/>
          <w:lang w:val="en-US"/>
        </w:rPr>
        <w:t>:</w:t>
      </w:r>
      <w:r w:rsidRPr="0094050B">
        <w:rPr>
          <w:rFonts w:asciiTheme="majorBidi" w:hAnsiTheme="majorBidi" w:cstheme="majorBidi"/>
          <w:b/>
          <w:bCs/>
        </w:rPr>
        <w:t xml:space="preserve"> </w:t>
      </w:r>
      <w:r w:rsidRPr="0094050B">
        <w:rPr>
          <w:rFonts w:asciiTheme="majorBidi" w:hAnsiTheme="majorBidi" w:cstheme="majorBidi"/>
          <w:b/>
          <w:bCs/>
          <w:lang w:val="en-US"/>
        </w:rPr>
        <w:t xml:space="preserve">Clinical </w:t>
      </w:r>
      <w:r w:rsidRPr="0094050B">
        <w:rPr>
          <w:rFonts w:asciiTheme="majorBidi" w:hAnsiTheme="majorBidi" w:cstheme="majorBidi"/>
          <w:b/>
          <w:bCs/>
        </w:rPr>
        <w:t xml:space="preserve">findings </w:t>
      </w:r>
      <w:r w:rsidRPr="0094050B">
        <w:rPr>
          <w:rFonts w:asciiTheme="majorBidi" w:hAnsiTheme="majorBidi" w:cstheme="majorBidi"/>
          <w:b/>
          <w:bCs/>
          <w:lang w:val="en-US"/>
        </w:rPr>
        <w:t xml:space="preserve">in </w:t>
      </w:r>
      <w:proofErr w:type="spellStart"/>
      <w:r w:rsidRPr="0094050B">
        <w:rPr>
          <w:rFonts w:asciiTheme="majorBidi" w:hAnsiTheme="majorBidi" w:cstheme="majorBidi"/>
          <w:b/>
          <w:bCs/>
          <w:lang w:val="en-US"/>
        </w:rPr>
        <w:t>i</w:t>
      </w:r>
      <w:proofErr w:type="spellEnd"/>
      <w:r w:rsidRPr="0094050B">
        <w:rPr>
          <w:rFonts w:asciiTheme="majorBidi" w:hAnsiTheme="majorBidi" w:cstheme="majorBidi"/>
          <w:b/>
          <w:bCs/>
        </w:rPr>
        <w:t>ron deficiency</w:t>
      </w:r>
      <w:r w:rsidRPr="0094050B">
        <w:rPr>
          <w:rFonts w:asciiTheme="majorBidi" w:hAnsiTheme="majorBidi" w:cstheme="majorBidi"/>
          <w:b/>
          <w:bCs/>
          <w:lang w:val="en-US"/>
        </w:rPr>
        <w:t>/iron deficiency anemia.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4050B" w:rsidRPr="0094050B" w14:paraId="52AF48B8" w14:textId="77777777" w:rsidTr="0080630E">
        <w:tc>
          <w:tcPr>
            <w:tcW w:w="4148" w:type="dxa"/>
          </w:tcPr>
          <w:p w14:paraId="411481D2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t xml:space="preserve">Skin </w:t>
            </w:r>
          </w:p>
          <w:p w14:paraId="4AC532CD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Pallor </w:t>
            </w:r>
          </w:p>
          <w:p w14:paraId="0A3AB054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4148" w:type="dxa"/>
          </w:tcPr>
          <w:p w14:paraId="088B2F6E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t xml:space="preserve">Nails </w:t>
            </w:r>
          </w:p>
          <w:p w14:paraId="5EA7492E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Koilonychia </w:t>
            </w:r>
          </w:p>
        </w:tc>
      </w:tr>
      <w:tr w:rsidR="0094050B" w:rsidRPr="0094050B" w14:paraId="4EE2D6AA" w14:textId="77777777" w:rsidTr="0080630E">
        <w:tc>
          <w:tcPr>
            <w:tcW w:w="4148" w:type="dxa"/>
          </w:tcPr>
          <w:p w14:paraId="2985A0F9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t xml:space="preserve">Musculoskletal system </w:t>
            </w:r>
          </w:p>
          <w:p w14:paraId="067D3A0A" w14:textId="77777777" w:rsidR="0094050B" w:rsidRPr="0094050B" w:rsidRDefault="0094050B" w:rsidP="0080630E">
            <w:pPr>
              <w:pStyle w:val="NormalWeb"/>
              <w:spacing w:before="0" w:beforeAutospacing="0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Decreased effort capacity</w:t>
            </w:r>
          </w:p>
          <w:p w14:paraId="0D285359" w14:textId="77777777" w:rsidR="0094050B" w:rsidRPr="0094050B" w:rsidRDefault="0094050B" w:rsidP="0080630E">
            <w:pPr>
              <w:pStyle w:val="NormalWeb"/>
              <w:spacing w:before="0" w:beforeAutospacing="0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Exercise limitation </w:t>
            </w:r>
          </w:p>
        </w:tc>
        <w:tc>
          <w:tcPr>
            <w:tcW w:w="4148" w:type="dxa"/>
          </w:tcPr>
          <w:p w14:paraId="5F123C45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t>Increased absorption of heavy metals</w:t>
            </w:r>
          </w:p>
          <w:p w14:paraId="599F1315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Lead intoxication </w:t>
            </w:r>
          </w:p>
          <w:p w14:paraId="46ABFBAC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</w:tr>
      <w:tr w:rsidR="0094050B" w:rsidRPr="0094050B" w14:paraId="58BDE6E6" w14:textId="77777777" w:rsidTr="0080630E">
        <w:tc>
          <w:tcPr>
            <w:tcW w:w="4148" w:type="dxa"/>
          </w:tcPr>
          <w:p w14:paraId="6F522826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t xml:space="preserve">Cardiovascular system </w:t>
            </w:r>
          </w:p>
          <w:p w14:paraId="3DDB2554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Increased cardiac output </w:t>
            </w:r>
          </w:p>
          <w:p w14:paraId="1B33D42B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Tachycardia </w:t>
            </w:r>
          </w:p>
          <w:p w14:paraId="2E5F487E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Cardiomegaly</w:t>
            </w:r>
            <w:r w:rsidRPr="0094050B">
              <w:rPr>
                <w:rFonts w:asciiTheme="majorBidi" w:hAnsiTheme="majorBidi" w:cstheme="majorBidi"/>
              </w:rPr>
              <w:br/>
              <w:t xml:space="preserve">Heart failure </w:t>
            </w:r>
          </w:p>
          <w:p w14:paraId="186CDF92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4148" w:type="dxa"/>
          </w:tcPr>
          <w:p w14:paraId="23C996B1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t xml:space="preserve">Gastrointestinal system </w:t>
            </w:r>
          </w:p>
          <w:p w14:paraId="07A6D60D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Loss of appetite </w:t>
            </w:r>
          </w:p>
          <w:p w14:paraId="266E6AB8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Angular stomatitis </w:t>
            </w:r>
          </w:p>
          <w:p w14:paraId="7500DEF2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Atrofic glossitis </w:t>
            </w:r>
          </w:p>
          <w:p w14:paraId="3D75DC68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Dysphagia </w:t>
            </w:r>
          </w:p>
          <w:p w14:paraId="6D954A3C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Pica </w:t>
            </w:r>
          </w:p>
          <w:p w14:paraId="134DD271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Gluten enteropathy </w:t>
            </w:r>
          </w:p>
          <w:p w14:paraId="2B8EE915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Plummer-Vinson syndrome </w:t>
            </w:r>
          </w:p>
          <w:p w14:paraId="24908EAA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</w:tr>
      <w:tr w:rsidR="0094050B" w:rsidRPr="0094050B" w14:paraId="0F2FA627" w14:textId="77777777" w:rsidTr="0080630E">
        <w:tc>
          <w:tcPr>
            <w:tcW w:w="4148" w:type="dxa"/>
          </w:tcPr>
          <w:p w14:paraId="084FE8EA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t xml:space="preserve">Central nervous system </w:t>
            </w:r>
          </w:p>
          <w:p w14:paraId="7CA706EF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Irritability-malaise Fainting</w:t>
            </w:r>
            <w:r w:rsidRPr="0094050B">
              <w:rPr>
                <w:rFonts w:asciiTheme="majorBidi" w:hAnsiTheme="majorBidi" w:cstheme="majorBidi"/>
              </w:rPr>
              <w:br/>
              <w:t>Papilledema Pseudotumor cerebri</w:t>
            </w:r>
            <w:r w:rsidRPr="0094050B">
              <w:rPr>
                <w:rFonts w:asciiTheme="majorBidi" w:hAnsiTheme="majorBidi" w:cstheme="majorBidi"/>
              </w:rPr>
              <w:br/>
              <w:t>6th nerve palsy</w:t>
            </w:r>
            <w:r w:rsidRPr="0094050B">
              <w:rPr>
                <w:rFonts w:asciiTheme="majorBidi" w:hAnsiTheme="majorBidi" w:cstheme="majorBidi"/>
              </w:rPr>
              <w:br/>
              <w:t xml:space="preserve">Restless leg syndrome </w:t>
            </w:r>
          </w:p>
          <w:p w14:paraId="2EC20C4A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Breath holding spell </w:t>
            </w:r>
          </w:p>
          <w:p w14:paraId="655E4A52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Sleep disturbance </w:t>
            </w:r>
          </w:p>
          <w:p w14:paraId="6D562B04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Attention deficit Learning difficulty Behavioral disorder </w:t>
            </w:r>
          </w:p>
          <w:p w14:paraId="1DBD22A1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Decrease in perception functions </w:t>
            </w:r>
          </w:p>
          <w:p w14:paraId="7BE63CCC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Retardation in motor and mental developmental tests </w:t>
            </w:r>
          </w:p>
          <w:p w14:paraId="4AB754CC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4148" w:type="dxa"/>
          </w:tcPr>
          <w:p w14:paraId="763CE528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t>Immune system disorders</w:t>
            </w:r>
            <w:r w:rsidRPr="0094050B">
              <w:rPr>
                <w:rFonts w:asciiTheme="majorBidi" w:hAnsiTheme="majorBidi" w:cstheme="majorBidi"/>
              </w:rPr>
              <w:br/>
              <w:t xml:space="preserve">Decreased resistance against infections </w:t>
            </w:r>
          </w:p>
          <w:p w14:paraId="19302193" w14:textId="77777777" w:rsidR="0094050B" w:rsidRPr="0094050B" w:rsidRDefault="0094050B" w:rsidP="0080630E">
            <w:pPr>
              <w:pStyle w:val="NormalWeb"/>
              <w:shd w:val="clear" w:color="auto" w:fill="FFFFFF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T lymphocyte and polymorphonuclear leukocyte dysfunction </w:t>
            </w:r>
          </w:p>
          <w:p w14:paraId="6684C969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</w:tr>
    </w:tbl>
    <w:p w14:paraId="4C4ED0BC" w14:textId="4CFD76C5" w:rsidR="0094050B" w:rsidRPr="0094050B" w:rsidRDefault="0094050B" w:rsidP="0094050B">
      <w:pPr>
        <w:rPr>
          <w:rFonts w:asciiTheme="majorBidi" w:hAnsiTheme="majorBidi" w:cstheme="majorBidi"/>
          <w:lang w:val="en-US"/>
        </w:rPr>
      </w:pPr>
      <w:r w:rsidRPr="008D2139">
        <w:rPr>
          <w:rFonts w:asciiTheme="majorBidi" w:eastAsia="Times New Roman" w:hAnsiTheme="majorBidi" w:cstheme="majorBidi"/>
        </w:rPr>
        <w:t>Aladhadhi</w:t>
      </w:r>
      <w:r w:rsidRPr="0094050B">
        <w:rPr>
          <w:rFonts w:asciiTheme="majorBidi" w:eastAsia="Times New Roman" w:hAnsiTheme="majorBidi" w:cstheme="majorBidi"/>
        </w:rPr>
        <w:t xml:space="preserve"> </w:t>
      </w:r>
      <w:r w:rsidRPr="008D2139">
        <w:rPr>
          <w:rFonts w:asciiTheme="majorBidi" w:eastAsia="Times New Roman" w:hAnsiTheme="majorBidi" w:cstheme="majorBidi"/>
        </w:rPr>
        <w:t>AM, Etaiwi</w:t>
      </w:r>
      <w:r w:rsidRPr="0094050B">
        <w:rPr>
          <w:rFonts w:asciiTheme="majorBidi" w:eastAsia="Times New Roman" w:hAnsiTheme="majorBidi" w:cstheme="majorBidi"/>
        </w:rPr>
        <w:t xml:space="preserve"> ST</w:t>
      </w:r>
      <w:r w:rsidRPr="008D2139">
        <w:rPr>
          <w:rFonts w:asciiTheme="majorBidi" w:eastAsia="Times New Roman" w:hAnsiTheme="majorBidi" w:cstheme="majorBidi"/>
        </w:rPr>
        <w:t>, Alqahtani</w:t>
      </w:r>
      <w:r w:rsidRPr="0094050B">
        <w:rPr>
          <w:rFonts w:asciiTheme="majorBidi" w:eastAsia="Times New Roman" w:hAnsiTheme="majorBidi" w:cstheme="majorBidi"/>
        </w:rPr>
        <w:t xml:space="preserve"> KM</w:t>
      </w:r>
      <w:r w:rsidRPr="008D2139">
        <w:rPr>
          <w:rFonts w:asciiTheme="majorBidi" w:eastAsia="Times New Roman" w:hAnsiTheme="majorBidi" w:cstheme="majorBidi"/>
        </w:rPr>
        <w:t>, Bajafar</w:t>
      </w:r>
      <w:r w:rsidRPr="0094050B">
        <w:rPr>
          <w:rFonts w:asciiTheme="majorBidi" w:eastAsia="Times New Roman" w:hAnsiTheme="majorBidi" w:cstheme="majorBidi"/>
        </w:rPr>
        <w:t xml:space="preserve"> AA</w:t>
      </w:r>
      <w:r w:rsidRPr="008D2139">
        <w:rPr>
          <w:rFonts w:asciiTheme="majorBidi" w:eastAsia="Times New Roman" w:hAnsiTheme="majorBidi" w:cstheme="majorBidi"/>
        </w:rPr>
        <w:t>, Nono</w:t>
      </w:r>
      <w:r w:rsidRPr="0094050B">
        <w:rPr>
          <w:rFonts w:asciiTheme="majorBidi" w:eastAsia="Times New Roman" w:hAnsiTheme="majorBidi" w:cstheme="majorBidi"/>
        </w:rPr>
        <w:t xml:space="preserve"> </w:t>
      </w:r>
      <w:r w:rsidRPr="008D2139">
        <w:rPr>
          <w:rFonts w:asciiTheme="majorBidi" w:eastAsia="Times New Roman" w:hAnsiTheme="majorBidi" w:cstheme="majorBidi"/>
        </w:rPr>
        <w:t>A</w:t>
      </w:r>
      <w:r w:rsidRPr="0094050B">
        <w:rPr>
          <w:rFonts w:asciiTheme="majorBidi" w:eastAsia="Times New Roman" w:hAnsiTheme="majorBidi" w:cstheme="majorBidi"/>
        </w:rPr>
        <w:t>F</w:t>
      </w:r>
      <w:r w:rsidRPr="008D2139">
        <w:rPr>
          <w:rFonts w:asciiTheme="majorBidi" w:eastAsia="Times New Roman" w:hAnsiTheme="majorBidi" w:cstheme="majorBidi"/>
        </w:rPr>
        <w:t>, Aldrees</w:t>
      </w:r>
      <w:r w:rsidRPr="0094050B">
        <w:rPr>
          <w:rFonts w:asciiTheme="majorBidi" w:eastAsia="Times New Roman" w:hAnsiTheme="majorBidi" w:cstheme="majorBidi"/>
        </w:rPr>
        <w:t xml:space="preserve"> SA</w:t>
      </w:r>
      <w:r w:rsidRPr="008D2139">
        <w:rPr>
          <w:rFonts w:asciiTheme="majorBidi" w:eastAsia="Times New Roman" w:hAnsiTheme="majorBidi" w:cstheme="majorBidi"/>
        </w:rPr>
        <w:t>, Almutawa</w:t>
      </w:r>
      <w:r w:rsidRPr="0094050B">
        <w:rPr>
          <w:rFonts w:asciiTheme="majorBidi" w:eastAsia="Times New Roman" w:hAnsiTheme="majorBidi" w:cstheme="majorBidi"/>
        </w:rPr>
        <w:t xml:space="preserve"> SM</w:t>
      </w:r>
      <w:r w:rsidRPr="008D2139">
        <w:rPr>
          <w:rFonts w:asciiTheme="majorBidi" w:eastAsia="Times New Roman" w:hAnsiTheme="majorBidi" w:cstheme="majorBidi"/>
        </w:rPr>
        <w:t xml:space="preserve">, </w:t>
      </w:r>
      <w:r w:rsidRPr="0094050B">
        <w:rPr>
          <w:rFonts w:asciiTheme="majorBidi" w:eastAsia="Times New Roman" w:hAnsiTheme="majorBidi" w:cstheme="majorBidi"/>
        </w:rPr>
        <w:t>A</w:t>
      </w:r>
      <w:r w:rsidRPr="008D2139">
        <w:rPr>
          <w:rFonts w:asciiTheme="majorBidi" w:eastAsia="Times New Roman" w:hAnsiTheme="majorBidi" w:cstheme="majorBidi"/>
        </w:rPr>
        <w:t>lghraibi</w:t>
      </w:r>
      <w:r w:rsidRPr="0094050B">
        <w:rPr>
          <w:rFonts w:asciiTheme="majorBidi" w:eastAsia="Times New Roman" w:hAnsiTheme="majorBidi" w:cstheme="majorBidi"/>
        </w:rPr>
        <w:t xml:space="preserve"> SA. </w:t>
      </w:r>
      <w:r w:rsidRPr="0094050B">
        <w:rPr>
          <w:rFonts w:asciiTheme="majorBidi" w:hAnsiTheme="majorBidi" w:cstheme="majorBidi"/>
          <w:shd w:val="clear" w:color="auto" w:fill="FFFFFF"/>
        </w:rPr>
        <w:t xml:space="preserve">Pediatrics Iron deficiency anemia from diagnosis to treatment. </w:t>
      </w:r>
      <w:r w:rsidRPr="0094050B">
        <w:rPr>
          <w:rFonts w:asciiTheme="majorBidi" w:hAnsiTheme="majorBidi" w:cstheme="majorBidi"/>
        </w:rPr>
        <w:t>The Egyptian Journal of Hospital Medicine (October 2018) Vol. 73 (8), Page 7268-7273</w:t>
      </w:r>
    </w:p>
    <w:p w14:paraId="79C8D1BF" w14:textId="77777777" w:rsidR="0094050B" w:rsidRPr="0094050B" w:rsidRDefault="0094050B" w:rsidP="0094050B">
      <w:pPr>
        <w:rPr>
          <w:rFonts w:asciiTheme="majorBidi" w:hAnsiTheme="majorBidi" w:cstheme="majorBidi"/>
          <w:lang w:val="en-US"/>
        </w:rPr>
      </w:pPr>
    </w:p>
    <w:p w14:paraId="7347340B" w14:textId="77777777" w:rsidR="00B30CA4" w:rsidRDefault="00B30CA4" w:rsidP="0094050B">
      <w:pPr>
        <w:pStyle w:val="NormalWeb"/>
        <w:contextualSpacing/>
        <w:rPr>
          <w:rFonts w:asciiTheme="majorBidi" w:hAnsiTheme="majorBidi" w:cstheme="majorBidi"/>
          <w:b/>
          <w:bCs/>
        </w:rPr>
      </w:pPr>
    </w:p>
    <w:p w14:paraId="795FBA6A" w14:textId="77777777" w:rsidR="00B30CA4" w:rsidRDefault="00B30CA4" w:rsidP="0094050B">
      <w:pPr>
        <w:pStyle w:val="NormalWeb"/>
        <w:contextualSpacing/>
        <w:rPr>
          <w:rFonts w:asciiTheme="majorBidi" w:hAnsiTheme="majorBidi" w:cstheme="majorBidi"/>
          <w:b/>
          <w:bCs/>
        </w:rPr>
      </w:pPr>
    </w:p>
    <w:p w14:paraId="79F87AF4" w14:textId="77777777" w:rsidR="00B30CA4" w:rsidRDefault="00B30CA4" w:rsidP="0094050B">
      <w:pPr>
        <w:pStyle w:val="NormalWeb"/>
        <w:contextualSpacing/>
        <w:rPr>
          <w:rFonts w:asciiTheme="majorBidi" w:hAnsiTheme="majorBidi" w:cstheme="majorBidi"/>
          <w:b/>
          <w:bCs/>
        </w:rPr>
      </w:pPr>
    </w:p>
    <w:p w14:paraId="1303324B" w14:textId="77777777" w:rsidR="00B30CA4" w:rsidRDefault="00B30CA4" w:rsidP="0094050B">
      <w:pPr>
        <w:pStyle w:val="NormalWeb"/>
        <w:contextualSpacing/>
        <w:rPr>
          <w:rFonts w:asciiTheme="majorBidi" w:hAnsiTheme="majorBidi" w:cstheme="majorBidi"/>
          <w:b/>
          <w:bCs/>
        </w:rPr>
      </w:pPr>
    </w:p>
    <w:p w14:paraId="167FAD0C" w14:textId="77777777" w:rsidR="00B30CA4" w:rsidRDefault="00B30CA4" w:rsidP="0094050B">
      <w:pPr>
        <w:pStyle w:val="NormalWeb"/>
        <w:contextualSpacing/>
        <w:rPr>
          <w:rFonts w:asciiTheme="majorBidi" w:hAnsiTheme="majorBidi" w:cstheme="majorBidi"/>
          <w:b/>
          <w:bCs/>
        </w:rPr>
      </w:pPr>
    </w:p>
    <w:p w14:paraId="18A9FFBE" w14:textId="77777777" w:rsidR="00B30CA4" w:rsidRDefault="00B30CA4" w:rsidP="0094050B">
      <w:pPr>
        <w:pStyle w:val="NormalWeb"/>
        <w:contextualSpacing/>
        <w:rPr>
          <w:rFonts w:asciiTheme="majorBidi" w:hAnsiTheme="majorBidi" w:cstheme="majorBidi"/>
          <w:b/>
          <w:bCs/>
        </w:rPr>
      </w:pPr>
    </w:p>
    <w:p w14:paraId="3559332C" w14:textId="77777777" w:rsidR="00B30CA4" w:rsidRDefault="00B30CA4" w:rsidP="0094050B">
      <w:pPr>
        <w:pStyle w:val="NormalWeb"/>
        <w:contextualSpacing/>
        <w:rPr>
          <w:rFonts w:asciiTheme="majorBidi" w:hAnsiTheme="majorBidi" w:cstheme="majorBidi"/>
          <w:b/>
          <w:bCs/>
        </w:rPr>
      </w:pPr>
    </w:p>
    <w:p w14:paraId="1EA1491A" w14:textId="77777777" w:rsidR="00B30CA4" w:rsidRDefault="00B30CA4" w:rsidP="0094050B">
      <w:pPr>
        <w:pStyle w:val="NormalWeb"/>
        <w:contextualSpacing/>
        <w:rPr>
          <w:rFonts w:asciiTheme="majorBidi" w:hAnsiTheme="majorBidi" w:cstheme="majorBidi"/>
          <w:b/>
          <w:bCs/>
        </w:rPr>
      </w:pPr>
    </w:p>
    <w:p w14:paraId="00F20E82" w14:textId="77777777" w:rsidR="00B30CA4" w:rsidRDefault="00B30CA4" w:rsidP="0094050B">
      <w:pPr>
        <w:pStyle w:val="NormalWeb"/>
        <w:contextualSpacing/>
        <w:rPr>
          <w:rFonts w:asciiTheme="majorBidi" w:hAnsiTheme="majorBidi" w:cstheme="majorBidi"/>
          <w:b/>
          <w:bCs/>
        </w:rPr>
      </w:pPr>
    </w:p>
    <w:p w14:paraId="221DB2E9" w14:textId="77777777" w:rsidR="00B30CA4" w:rsidRDefault="00B30CA4" w:rsidP="0094050B">
      <w:pPr>
        <w:pStyle w:val="NormalWeb"/>
        <w:contextualSpacing/>
        <w:rPr>
          <w:rFonts w:asciiTheme="majorBidi" w:hAnsiTheme="majorBidi" w:cstheme="majorBidi"/>
          <w:b/>
          <w:bCs/>
        </w:rPr>
      </w:pPr>
    </w:p>
    <w:p w14:paraId="63489030" w14:textId="61234BBE" w:rsidR="0094050B" w:rsidRPr="0094050B" w:rsidRDefault="0094050B" w:rsidP="0094050B">
      <w:pPr>
        <w:pStyle w:val="NormalWeb"/>
        <w:contextualSpacing/>
        <w:rPr>
          <w:rFonts w:asciiTheme="majorBidi" w:hAnsiTheme="majorBidi" w:cstheme="majorBidi"/>
          <w:b/>
          <w:bCs/>
        </w:rPr>
      </w:pPr>
      <w:r w:rsidRPr="0094050B">
        <w:rPr>
          <w:rFonts w:asciiTheme="majorBidi" w:hAnsiTheme="majorBidi" w:cstheme="majorBidi"/>
          <w:b/>
          <w:bCs/>
        </w:rPr>
        <w:t>Table 3a</w:t>
      </w:r>
      <w:r w:rsidRPr="0094050B">
        <w:rPr>
          <w:rFonts w:asciiTheme="majorBidi" w:hAnsiTheme="majorBidi" w:cstheme="majorBidi"/>
          <w:b/>
          <w:bCs/>
          <w:lang w:val="en-US"/>
        </w:rPr>
        <w:t>:</w:t>
      </w:r>
      <w:r w:rsidRPr="0094050B">
        <w:rPr>
          <w:rFonts w:asciiTheme="majorBidi" w:hAnsiTheme="majorBidi" w:cstheme="majorBidi"/>
          <w:b/>
          <w:bCs/>
        </w:rPr>
        <w:t xml:space="preserve"> Risk factors for IDA by cause.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94050B" w:rsidRPr="0094050B" w14:paraId="15488928" w14:textId="77777777" w:rsidTr="0080630E">
        <w:tc>
          <w:tcPr>
            <w:tcW w:w="8296" w:type="dxa"/>
          </w:tcPr>
          <w:p w14:paraId="71D07400" w14:textId="77777777" w:rsidR="0094050B" w:rsidRPr="0094050B" w:rsidRDefault="0094050B" w:rsidP="0094050B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3.1 Increased iron demands </w:t>
            </w:r>
          </w:p>
          <w:p w14:paraId="31CEDF0D" w14:textId="77777777" w:rsidR="0094050B" w:rsidRDefault="0094050B" w:rsidP="0094050B">
            <w:pPr>
              <w:pStyle w:val="NormalWeb"/>
              <w:numPr>
                <w:ilvl w:val="0"/>
                <w:numId w:val="8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Prematurity</w:t>
            </w:r>
          </w:p>
          <w:p w14:paraId="4F9645DA" w14:textId="77777777" w:rsidR="0094050B" w:rsidRDefault="0094050B" w:rsidP="0094050B">
            <w:pPr>
              <w:pStyle w:val="NormalWeb"/>
              <w:numPr>
                <w:ilvl w:val="0"/>
                <w:numId w:val="8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Infancy</w:t>
            </w:r>
          </w:p>
          <w:p w14:paraId="4271A681" w14:textId="77777777" w:rsidR="0094050B" w:rsidRDefault="0094050B" w:rsidP="0094050B">
            <w:pPr>
              <w:pStyle w:val="NormalWeb"/>
              <w:numPr>
                <w:ilvl w:val="0"/>
                <w:numId w:val="8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Adolescence, especially in females Pregnancy</w:t>
            </w:r>
          </w:p>
          <w:p w14:paraId="01A682F7" w14:textId="77777777" w:rsidR="0094050B" w:rsidRDefault="0094050B" w:rsidP="0094050B">
            <w:pPr>
              <w:pStyle w:val="NormalWeb"/>
              <w:numPr>
                <w:ilvl w:val="0"/>
                <w:numId w:val="8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Lactation</w:t>
            </w:r>
          </w:p>
          <w:p w14:paraId="4CE38DF1" w14:textId="77777777" w:rsidR="0094050B" w:rsidRDefault="0094050B" w:rsidP="0094050B">
            <w:pPr>
              <w:pStyle w:val="NormalWeb"/>
              <w:numPr>
                <w:ilvl w:val="0"/>
                <w:numId w:val="8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Regular blood donation </w:t>
            </w:r>
          </w:p>
          <w:p w14:paraId="64FF19C9" w14:textId="59AFEB52" w:rsidR="0094050B" w:rsidRPr="0094050B" w:rsidRDefault="0094050B" w:rsidP="0094050B">
            <w:pPr>
              <w:pStyle w:val="NormalWeb"/>
              <w:numPr>
                <w:ilvl w:val="0"/>
                <w:numId w:val="8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Competitive athletics </w:t>
            </w:r>
          </w:p>
          <w:p w14:paraId="06FCC39D" w14:textId="77777777" w:rsidR="0094050B" w:rsidRDefault="0094050B" w:rsidP="0094050B">
            <w:pPr>
              <w:pStyle w:val="NormalWeb"/>
              <w:contextualSpacing/>
              <w:rPr>
                <w:rFonts w:asciiTheme="majorBidi" w:hAnsiTheme="majorBidi" w:cstheme="majorBidi"/>
                <w:b/>
                <w:bCs/>
                <w:i/>
                <w:iCs/>
              </w:rPr>
            </w:pPr>
          </w:p>
          <w:p w14:paraId="42E08D00" w14:textId="51E63143" w:rsidR="0094050B" w:rsidRDefault="0094050B" w:rsidP="0094050B">
            <w:pPr>
              <w:pStyle w:val="NormalWeb"/>
              <w:contextualSpacing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94050B">
              <w:rPr>
                <w:rFonts w:asciiTheme="majorBidi" w:hAnsiTheme="majorBidi" w:cstheme="majorBidi"/>
                <w:b/>
                <w:bCs/>
                <w:i/>
                <w:iCs/>
              </w:rPr>
              <w:t>3.2 Diminished iron supply</w:t>
            </w:r>
          </w:p>
          <w:p w14:paraId="6CF19EB4" w14:textId="77777777" w:rsidR="0094050B" w:rsidRDefault="0094050B" w:rsidP="0094050B">
            <w:pPr>
              <w:pStyle w:val="NormalWeb"/>
              <w:numPr>
                <w:ilvl w:val="0"/>
                <w:numId w:val="9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Prolonged breastfeeding without iron supplementation beyond the fourth month of life </w:t>
            </w:r>
          </w:p>
          <w:p w14:paraId="4AD2F74B" w14:textId="77777777" w:rsidR="0094050B" w:rsidRDefault="0094050B" w:rsidP="0094050B">
            <w:pPr>
              <w:pStyle w:val="NormalWeb"/>
              <w:numPr>
                <w:ilvl w:val="0"/>
                <w:numId w:val="9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Consumption of infant formula low in iron</w:t>
            </w:r>
          </w:p>
          <w:p w14:paraId="445B1D80" w14:textId="77777777" w:rsidR="0094050B" w:rsidRDefault="0094050B" w:rsidP="0094050B">
            <w:pPr>
              <w:pStyle w:val="NormalWeb"/>
              <w:numPr>
                <w:ilvl w:val="0"/>
                <w:numId w:val="9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Introduction of fresh cow’s milk before the first birthday</w:t>
            </w:r>
          </w:p>
          <w:p w14:paraId="5022435C" w14:textId="77777777" w:rsidR="0094050B" w:rsidRDefault="0094050B" w:rsidP="0094050B">
            <w:pPr>
              <w:pStyle w:val="NormalWeb"/>
              <w:numPr>
                <w:ilvl w:val="0"/>
                <w:numId w:val="9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Daytime bottle use beyond the twelfth month of life </w:t>
            </w:r>
          </w:p>
          <w:p w14:paraId="16BFEA61" w14:textId="77777777" w:rsidR="0094050B" w:rsidRDefault="0094050B" w:rsidP="0094050B">
            <w:pPr>
              <w:pStyle w:val="NormalWeb"/>
              <w:numPr>
                <w:ilvl w:val="0"/>
                <w:numId w:val="9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Bottle use in bed </w:t>
            </w:r>
          </w:p>
          <w:p w14:paraId="235CD8DD" w14:textId="01904551" w:rsidR="0094050B" w:rsidRPr="0094050B" w:rsidRDefault="0094050B" w:rsidP="0094050B">
            <w:pPr>
              <w:pStyle w:val="NormalWeb"/>
              <w:numPr>
                <w:ilvl w:val="0"/>
                <w:numId w:val="9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Preferred consumption of poultry over red meat, vegan and vegetarian diets </w:t>
            </w:r>
          </w:p>
          <w:p w14:paraId="70066117" w14:textId="77777777" w:rsidR="0094050B" w:rsidRDefault="0094050B" w:rsidP="0094050B">
            <w:pPr>
              <w:pStyle w:val="NormalWeb"/>
              <w:contextualSpacing/>
              <w:rPr>
                <w:rFonts w:asciiTheme="majorBidi" w:hAnsiTheme="majorBidi" w:cstheme="majorBidi"/>
                <w:b/>
                <w:bCs/>
                <w:i/>
                <w:iCs/>
              </w:rPr>
            </w:pPr>
          </w:p>
          <w:p w14:paraId="3BF85527" w14:textId="29E92392" w:rsidR="0094050B" w:rsidRPr="0094050B" w:rsidRDefault="0094050B" w:rsidP="0094050B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3.3 Blood loss </w:t>
            </w:r>
          </w:p>
          <w:p w14:paraId="4C4FF33D" w14:textId="77777777" w:rsidR="0094050B" w:rsidRDefault="0094050B" w:rsidP="0094050B">
            <w:pPr>
              <w:pStyle w:val="NormalWeb"/>
              <w:numPr>
                <w:ilvl w:val="0"/>
                <w:numId w:val="10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Traumatic or operative blood loss </w:t>
            </w:r>
          </w:p>
          <w:p w14:paraId="026F32B6" w14:textId="77777777" w:rsidR="0094050B" w:rsidRDefault="0094050B" w:rsidP="0094050B">
            <w:pPr>
              <w:pStyle w:val="NormalWeb"/>
              <w:numPr>
                <w:ilvl w:val="0"/>
                <w:numId w:val="10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Gastrointestinal bleeding: Inflammatory bowel diseases (IBDs), stomach cancer, colon cancer, colonic polyps, non-steroidal anti- inflammatory drugs, chronic </w:t>
            </w:r>
            <w:r w:rsidRPr="0094050B">
              <w:rPr>
                <w:rFonts w:asciiTheme="majorBidi" w:hAnsiTheme="majorBidi" w:cstheme="majorBidi"/>
                <w:i/>
                <w:iCs/>
              </w:rPr>
              <w:t xml:space="preserve">Helicobacter pylori </w:t>
            </w:r>
            <w:r w:rsidRPr="0094050B">
              <w:rPr>
                <w:rFonts w:asciiTheme="majorBidi" w:hAnsiTheme="majorBidi" w:cstheme="majorBidi"/>
              </w:rPr>
              <w:t xml:space="preserve">infection, hookworm infection, angiodysplasia </w:t>
            </w:r>
          </w:p>
          <w:p w14:paraId="673E12BF" w14:textId="77777777" w:rsidR="0094050B" w:rsidRDefault="0094050B" w:rsidP="0094050B">
            <w:pPr>
              <w:pStyle w:val="NormalWeb"/>
              <w:numPr>
                <w:ilvl w:val="0"/>
                <w:numId w:val="10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Gynecological bleeding: Menorrhagia, uterine fibroids, endometrial carcinoma, use of intrauterine devices over contraceptive pills for birth control </w:t>
            </w:r>
          </w:p>
          <w:p w14:paraId="6D06A41E" w14:textId="77777777" w:rsidR="0094050B" w:rsidRDefault="0094050B" w:rsidP="0094050B">
            <w:pPr>
              <w:pStyle w:val="NormalWeb"/>
              <w:numPr>
                <w:ilvl w:val="0"/>
                <w:numId w:val="10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Urological bleeding: Schistosomiasis, bladder cancer, glomerulonephritis, kidney trauma </w:t>
            </w:r>
          </w:p>
          <w:p w14:paraId="1F4F89BF" w14:textId="77777777" w:rsidR="0094050B" w:rsidRDefault="0094050B" w:rsidP="0094050B">
            <w:pPr>
              <w:pStyle w:val="NormalWeb"/>
              <w:numPr>
                <w:ilvl w:val="0"/>
                <w:numId w:val="10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Pulmonary bleeding: Lung tuberculosis, congenital lung malformations, lung cancer, idiopathic pulmonary hemosiderosis, Goodpasture’s syndrome, etc. </w:t>
            </w:r>
          </w:p>
          <w:p w14:paraId="42FF242B" w14:textId="25F767A2" w:rsidR="0094050B" w:rsidRPr="0094050B" w:rsidRDefault="0094050B" w:rsidP="0094050B">
            <w:pPr>
              <w:pStyle w:val="NormalWeb"/>
              <w:numPr>
                <w:ilvl w:val="0"/>
                <w:numId w:val="10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Bleeding diathesis (congenital or acquired)</w:t>
            </w:r>
          </w:p>
          <w:p w14:paraId="0DA1C3C5" w14:textId="502BFFBF" w:rsidR="0094050B" w:rsidRPr="0094050B" w:rsidRDefault="0094050B" w:rsidP="0094050B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 </w:t>
            </w:r>
          </w:p>
          <w:p w14:paraId="11E013B7" w14:textId="77777777" w:rsidR="0094050B" w:rsidRPr="0094050B" w:rsidRDefault="0094050B" w:rsidP="0094050B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3.4 Malabsorption of iron </w:t>
            </w:r>
          </w:p>
          <w:p w14:paraId="0899617A" w14:textId="77777777" w:rsidR="0094050B" w:rsidRDefault="0094050B" w:rsidP="0094050B">
            <w:pPr>
              <w:pStyle w:val="NormalWeb"/>
              <w:numPr>
                <w:ilvl w:val="0"/>
                <w:numId w:val="11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Celiac disease (gluten sensitive enteropathy)</w:t>
            </w:r>
          </w:p>
          <w:p w14:paraId="0A98DA97" w14:textId="77777777" w:rsidR="0094050B" w:rsidRDefault="0094050B" w:rsidP="0094050B">
            <w:pPr>
              <w:pStyle w:val="NormalWeb"/>
              <w:numPr>
                <w:ilvl w:val="0"/>
                <w:numId w:val="11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Atrophic gastritis, gastric surgery</w:t>
            </w:r>
          </w:p>
          <w:p w14:paraId="0FF0F365" w14:textId="77777777" w:rsidR="0094050B" w:rsidRDefault="0094050B" w:rsidP="0094050B">
            <w:pPr>
              <w:pStyle w:val="NormalWeb"/>
              <w:numPr>
                <w:ilvl w:val="0"/>
                <w:numId w:val="11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Decreased gastric acidity (e.g., antacids, H2 blockers, protein-pump inhibitors)</w:t>
            </w:r>
          </w:p>
          <w:p w14:paraId="5C612154" w14:textId="42A6B169" w:rsidR="0094050B" w:rsidRPr="0094050B" w:rsidRDefault="0094050B" w:rsidP="0094050B">
            <w:pPr>
              <w:pStyle w:val="NormalWeb"/>
              <w:numPr>
                <w:ilvl w:val="0"/>
                <w:numId w:val="11"/>
              </w:num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Iron Refractory Iron Deficiency Anemia (IRIDA) </w:t>
            </w:r>
          </w:p>
        </w:tc>
      </w:tr>
    </w:tbl>
    <w:p w14:paraId="252B1D19" w14:textId="0D6567C2" w:rsidR="0094050B" w:rsidRPr="0094050B" w:rsidRDefault="0094050B" w:rsidP="0094050B">
      <w:pPr>
        <w:rPr>
          <w:rFonts w:asciiTheme="majorBidi" w:hAnsiTheme="majorBidi" w:cstheme="majorBidi"/>
          <w:color w:val="212121"/>
          <w:shd w:val="clear" w:color="auto" w:fill="FFFFFF"/>
          <w:lang w:val="en-US"/>
        </w:rPr>
      </w:pPr>
      <w:r w:rsidRPr="0094050B">
        <w:rPr>
          <w:rFonts w:asciiTheme="majorBidi" w:hAnsiTheme="majorBidi" w:cstheme="majorBidi"/>
          <w:color w:val="212121"/>
          <w:shd w:val="clear" w:color="auto" w:fill="FFFFFF"/>
        </w:rPr>
        <w:t xml:space="preserve">Mantadakis E, Chatzimichael E, Zikidou P. Iron Deficiency Anemia in Children Residing in High and Low-Income Countries: Risk Factors, Prevention, Diagnosis and Therapy. Mediterr J </w:t>
      </w:r>
      <w:r w:rsidRPr="0094050B">
        <w:rPr>
          <w:rFonts w:asciiTheme="majorBidi" w:hAnsiTheme="majorBidi" w:cstheme="majorBidi"/>
          <w:color w:val="212121"/>
          <w:shd w:val="clear" w:color="auto" w:fill="FFFFFF"/>
        </w:rPr>
        <w:lastRenderedPageBreak/>
        <w:t>Hematol Infect Dis. 2020 Jul 1;12(1):e2020041. doi: 10.4084/MJHID.2020.041. PMID: 32670519; PMCID: PMC7340216.</w:t>
      </w:r>
    </w:p>
    <w:p w14:paraId="1AC27DC1" w14:textId="77777777" w:rsidR="0094050B" w:rsidRPr="0094050B" w:rsidRDefault="0094050B" w:rsidP="0094050B">
      <w:pPr>
        <w:rPr>
          <w:rFonts w:asciiTheme="majorBidi" w:hAnsiTheme="majorBidi" w:cstheme="majorBidi"/>
          <w:lang w:val="en-US"/>
        </w:rPr>
      </w:pPr>
    </w:p>
    <w:p w14:paraId="325F0DC3" w14:textId="6AFA1D3D" w:rsidR="0094050B" w:rsidRPr="0094050B" w:rsidRDefault="0094050B" w:rsidP="0094050B">
      <w:pPr>
        <w:pStyle w:val="NormalWeb"/>
        <w:spacing w:after="0" w:afterAutospacing="0"/>
        <w:contextualSpacing/>
        <w:rPr>
          <w:rFonts w:asciiTheme="majorBidi" w:hAnsiTheme="majorBidi" w:cstheme="majorBidi"/>
          <w:b/>
          <w:bCs/>
        </w:rPr>
      </w:pPr>
      <w:r w:rsidRPr="0094050B">
        <w:rPr>
          <w:rFonts w:asciiTheme="majorBidi" w:hAnsiTheme="majorBidi" w:cstheme="majorBidi"/>
          <w:b/>
          <w:bCs/>
        </w:rPr>
        <w:t>Table 3b</w:t>
      </w:r>
      <w:r w:rsidRPr="0094050B">
        <w:rPr>
          <w:rFonts w:asciiTheme="majorBidi" w:hAnsiTheme="majorBidi" w:cstheme="majorBidi"/>
          <w:b/>
          <w:bCs/>
          <w:lang w:val="en-US"/>
        </w:rPr>
        <w:t>:</w:t>
      </w:r>
      <w:r w:rsidRPr="0094050B">
        <w:rPr>
          <w:rFonts w:asciiTheme="majorBidi" w:hAnsiTheme="majorBidi" w:cstheme="majorBidi"/>
          <w:b/>
          <w:bCs/>
        </w:rPr>
        <w:t xml:space="preserve"> Main risk factors for IDA in low-income and developed countries.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4050B" w:rsidRPr="0094050B" w14:paraId="1CC4FC8B" w14:textId="77777777" w:rsidTr="0080630E">
        <w:tc>
          <w:tcPr>
            <w:tcW w:w="4148" w:type="dxa"/>
          </w:tcPr>
          <w:p w14:paraId="039FB19C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t xml:space="preserve">Low-income countries </w:t>
            </w:r>
          </w:p>
        </w:tc>
        <w:tc>
          <w:tcPr>
            <w:tcW w:w="4148" w:type="dxa"/>
          </w:tcPr>
          <w:p w14:paraId="206D50E4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t xml:space="preserve">Developed countries </w:t>
            </w:r>
          </w:p>
        </w:tc>
      </w:tr>
      <w:tr w:rsidR="0094050B" w:rsidRPr="0094050B" w14:paraId="452059A6" w14:textId="77777777" w:rsidTr="0080630E">
        <w:tc>
          <w:tcPr>
            <w:tcW w:w="4148" w:type="dxa"/>
          </w:tcPr>
          <w:p w14:paraId="4C191F6F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Prolonged breastfeeding without iron supplementation beyond the 4</w:t>
            </w:r>
            <w:r w:rsidRPr="0094050B">
              <w:rPr>
                <w:rFonts w:asciiTheme="majorBidi" w:hAnsiTheme="majorBidi" w:cstheme="majorBidi"/>
                <w:position w:val="8"/>
              </w:rPr>
              <w:t xml:space="preserve">th </w:t>
            </w:r>
            <w:r w:rsidRPr="0094050B">
              <w:rPr>
                <w:rFonts w:asciiTheme="majorBidi" w:hAnsiTheme="majorBidi" w:cstheme="majorBidi"/>
              </w:rPr>
              <w:t xml:space="preserve">month of life </w:t>
            </w:r>
          </w:p>
        </w:tc>
        <w:tc>
          <w:tcPr>
            <w:tcW w:w="4148" w:type="dxa"/>
          </w:tcPr>
          <w:p w14:paraId="7AD7D557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Gastrointestinal bleeding of any etiology as per Table 3a </w:t>
            </w:r>
          </w:p>
        </w:tc>
      </w:tr>
      <w:tr w:rsidR="0094050B" w:rsidRPr="0094050B" w14:paraId="4C9A4B36" w14:textId="77777777" w:rsidTr="0080630E">
        <w:tc>
          <w:tcPr>
            <w:tcW w:w="4148" w:type="dxa"/>
          </w:tcPr>
          <w:p w14:paraId="051C167E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Limited consumption of meat and fish </w:t>
            </w:r>
          </w:p>
        </w:tc>
        <w:tc>
          <w:tcPr>
            <w:tcW w:w="4148" w:type="dxa"/>
          </w:tcPr>
          <w:p w14:paraId="21978371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Genitourinary bleeding of any etiology as per Table 3a </w:t>
            </w:r>
          </w:p>
        </w:tc>
      </w:tr>
      <w:tr w:rsidR="0094050B" w:rsidRPr="0094050B" w14:paraId="1AC0C318" w14:textId="77777777" w:rsidTr="0080630E">
        <w:tc>
          <w:tcPr>
            <w:tcW w:w="4148" w:type="dxa"/>
          </w:tcPr>
          <w:p w14:paraId="56442331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Diets rich on cereal, or legume-based flours, excess dietary fiber</w:t>
            </w:r>
          </w:p>
        </w:tc>
        <w:tc>
          <w:tcPr>
            <w:tcW w:w="4148" w:type="dxa"/>
          </w:tcPr>
          <w:p w14:paraId="0F070112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Iron malabsorption of any etiology as per Table 3a</w:t>
            </w:r>
          </w:p>
        </w:tc>
      </w:tr>
      <w:tr w:rsidR="0094050B" w:rsidRPr="0094050B" w14:paraId="63E47AE1" w14:textId="77777777" w:rsidTr="0080630E">
        <w:tc>
          <w:tcPr>
            <w:tcW w:w="4148" w:type="dxa"/>
          </w:tcPr>
          <w:p w14:paraId="700921FE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tea </w:t>
            </w:r>
          </w:p>
        </w:tc>
        <w:tc>
          <w:tcPr>
            <w:tcW w:w="4148" w:type="dxa"/>
          </w:tcPr>
          <w:p w14:paraId="296A08E8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</w:tr>
      <w:tr w:rsidR="0094050B" w:rsidRPr="0094050B" w14:paraId="634213CA" w14:textId="77777777" w:rsidTr="0080630E">
        <w:tc>
          <w:tcPr>
            <w:tcW w:w="4148" w:type="dxa"/>
          </w:tcPr>
          <w:p w14:paraId="4F4AF855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shd w:val="clear" w:color="auto" w:fill="FFFFFF"/>
              </w:rPr>
              <w:t xml:space="preserve">Multiparity </w:t>
            </w:r>
          </w:p>
        </w:tc>
        <w:tc>
          <w:tcPr>
            <w:tcW w:w="4148" w:type="dxa"/>
          </w:tcPr>
          <w:p w14:paraId="0A25B29E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</w:tr>
      <w:tr w:rsidR="0094050B" w:rsidRPr="0094050B" w14:paraId="5E0FBA1A" w14:textId="77777777" w:rsidTr="0080630E">
        <w:tc>
          <w:tcPr>
            <w:tcW w:w="4148" w:type="dxa"/>
          </w:tcPr>
          <w:p w14:paraId="78FE15A7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Hookworm infestation </w:t>
            </w:r>
          </w:p>
        </w:tc>
        <w:tc>
          <w:tcPr>
            <w:tcW w:w="4148" w:type="dxa"/>
          </w:tcPr>
          <w:p w14:paraId="4691AFBD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</w:tr>
      <w:tr w:rsidR="0094050B" w:rsidRPr="0094050B" w14:paraId="63216A80" w14:textId="77777777" w:rsidTr="0080630E">
        <w:tc>
          <w:tcPr>
            <w:tcW w:w="4148" w:type="dxa"/>
          </w:tcPr>
          <w:p w14:paraId="1C636C7C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Schistosomiasis </w:t>
            </w:r>
          </w:p>
        </w:tc>
        <w:tc>
          <w:tcPr>
            <w:tcW w:w="4148" w:type="dxa"/>
          </w:tcPr>
          <w:p w14:paraId="2D45A03F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</w:tr>
      <w:tr w:rsidR="0094050B" w:rsidRPr="0094050B" w14:paraId="069EB0A1" w14:textId="77777777" w:rsidTr="0080630E">
        <w:tc>
          <w:tcPr>
            <w:tcW w:w="4148" w:type="dxa"/>
          </w:tcPr>
          <w:p w14:paraId="13FF93A2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Malaria (contributes to IDA by causing intravascular hemolysis with hemoglobinuria)</w:t>
            </w:r>
            <w:r w:rsidRPr="0094050B">
              <w:rPr>
                <w:rFonts w:asciiTheme="majorBidi" w:hAnsiTheme="majorBidi" w:cstheme="majorBidi"/>
              </w:rPr>
              <w:br/>
            </w:r>
          </w:p>
        </w:tc>
        <w:tc>
          <w:tcPr>
            <w:tcW w:w="4148" w:type="dxa"/>
          </w:tcPr>
          <w:p w14:paraId="4ECF6D3E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</w:tr>
      <w:tr w:rsidR="0094050B" w:rsidRPr="0094050B" w14:paraId="3A3153F2" w14:textId="77777777" w:rsidTr="0080630E">
        <w:tc>
          <w:tcPr>
            <w:tcW w:w="4148" w:type="dxa"/>
          </w:tcPr>
          <w:p w14:paraId="10EAC072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Chronic or repeated infections (functional iron deficiency due to chronic inflammation)</w:t>
            </w:r>
          </w:p>
        </w:tc>
        <w:tc>
          <w:tcPr>
            <w:tcW w:w="4148" w:type="dxa"/>
          </w:tcPr>
          <w:p w14:paraId="18E5927C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</w:tr>
    </w:tbl>
    <w:p w14:paraId="238DB573" w14:textId="2A7CD0F4" w:rsidR="0094050B" w:rsidRPr="0094050B" w:rsidRDefault="0094050B" w:rsidP="0094050B">
      <w:pPr>
        <w:rPr>
          <w:rFonts w:asciiTheme="majorBidi" w:hAnsiTheme="majorBidi" w:cstheme="majorBidi"/>
          <w:color w:val="212121"/>
          <w:shd w:val="clear" w:color="auto" w:fill="FFFFFF"/>
          <w:lang w:val="en-US"/>
        </w:rPr>
      </w:pPr>
      <w:r w:rsidRPr="0094050B">
        <w:rPr>
          <w:rFonts w:asciiTheme="majorBidi" w:hAnsiTheme="majorBidi" w:cstheme="majorBidi"/>
          <w:color w:val="212121"/>
          <w:shd w:val="clear" w:color="auto" w:fill="FFFFFF"/>
        </w:rPr>
        <w:t>Mantadakis E, Chatzimichael E, Zikidou P. Iron Deficiency Anemia in Children Residing in High and Low-Income Countries: Risk Factors, Prevention, Diagnosis and Therapy. Mediterr J Hematol Infect Dis. 2020 Jul 1;12(1):e2020041. doi: 10.4084/MJHID.2020.041. PMID: 32670519; PMCID: PMC7340216.</w:t>
      </w:r>
    </w:p>
    <w:p w14:paraId="116E4DE6" w14:textId="0E76CA68" w:rsidR="0094050B" w:rsidRPr="0094050B" w:rsidRDefault="0094050B" w:rsidP="0094050B">
      <w:pPr>
        <w:rPr>
          <w:rFonts w:asciiTheme="majorBidi" w:hAnsiTheme="majorBidi" w:cstheme="majorBidi"/>
        </w:rPr>
      </w:pPr>
    </w:p>
    <w:p w14:paraId="06AA946B" w14:textId="77777777" w:rsidR="0094050B" w:rsidRPr="0094050B" w:rsidRDefault="0094050B" w:rsidP="0094050B">
      <w:pPr>
        <w:rPr>
          <w:rFonts w:asciiTheme="majorBidi" w:hAnsiTheme="majorBidi" w:cstheme="majorBidi"/>
        </w:rPr>
      </w:pPr>
    </w:p>
    <w:p w14:paraId="6926F042" w14:textId="0EB6BFF7" w:rsidR="0094050B" w:rsidRPr="002A676F" w:rsidRDefault="0094050B" w:rsidP="002A676F">
      <w:pPr>
        <w:autoSpaceDE w:val="0"/>
        <w:autoSpaceDN w:val="0"/>
        <w:adjustRightInd w:val="0"/>
        <w:rPr>
          <w:rFonts w:asciiTheme="majorBidi" w:hAnsiTheme="majorBidi" w:cstheme="majorBidi"/>
          <w:b/>
          <w:bCs/>
        </w:rPr>
      </w:pPr>
      <w:r w:rsidRPr="0094050B">
        <w:rPr>
          <w:rFonts w:asciiTheme="majorBidi" w:hAnsiTheme="majorBidi" w:cstheme="majorBidi"/>
          <w:b/>
          <w:bCs/>
          <w:color w:val="000000"/>
        </w:rPr>
        <w:t>Table</w:t>
      </w:r>
      <w:r w:rsidRPr="0094050B">
        <w:rPr>
          <w:rFonts w:asciiTheme="majorBidi" w:hAnsiTheme="majorBidi" w:cstheme="majorBidi"/>
          <w:b/>
          <w:bCs/>
          <w:color w:val="000000"/>
          <w:lang w:val="en-US"/>
        </w:rPr>
        <w:t xml:space="preserve"> </w:t>
      </w:r>
      <w:r w:rsidRPr="0094050B">
        <w:rPr>
          <w:rFonts w:asciiTheme="majorBidi" w:hAnsiTheme="majorBidi" w:cstheme="majorBidi"/>
          <w:b/>
          <w:bCs/>
          <w:color w:val="000000"/>
          <w:lang w:val="en-US"/>
        </w:rPr>
        <w:t>4</w:t>
      </w:r>
      <w:r w:rsidRPr="0094050B">
        <w:rPr>
          <w:rFonts w:asciiTheme="majorBidi" w:hAnsiTheme="majorBidi" w:cstheme="majorBidi"/>
          <w:b/>
          <w:bCs/>
          <w:color w:val="000000"/>
        </w:rPr>
        <w:t xml:space="preserve">: </w:t>
      </w:r>
      <w:r w:rsidRPr="0094050B">
        <w:rPr>
          <w:rFonts w:asciiTheme="majorBidi" w:hAnsiTheme="majorBidi" w:cstheme="majorBidi"/>
          <w:b/>
          <w:bCs/>
        </w:rPr>
        <w:t>Normal age- and gender-related red cell indices for children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03"/>
        <w:gridCol w:w="751"/>
        <w:gridCol w:w="752"/>
        <w:gridCol w:w="752"/>
        <w:gridCol w:w="752"/>
        <w:gridCol w:w="751"/>
        <w:gridCol w:w="774"/>
        <w:gridCol w:w="649"/>
        <w:gridCol w:w="646"/>
        <w:gridCol w:w="646"/>
        <w:gridCol w:w="646"/>
      </w:tblGrid>
      <w:tr w:rsidR="0094050B" w:rsidRPr="0094050B" w14:paraId="57C7206E" w14:textId="77777777" w:rsidTr="0080630E">
        <w:trPr>
          <w:jc w:val="center"/>
        </w:trPr>
        <w:tc>
          <w:tcPr>
            <w:tcW w:w="1403" w:type="dxa"/>
          </w:tcPr>
          <w:p w14:paraId="15DC09D8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</w:p>
        </w:tc>
        <w:tc>
          <w:tcPr>
            <w:tcW w:w="3007" w:type="dxa"/>
            <w:gridSpan w:val="4"/>
          </w:tcPr>
          <w:p w14:paraId="357257B2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Females and males</w:t>
            </w:r>
          </w:p>
        </w:tc>
        <w:tc>
          <w:tcPr>
            <w:tcW w:w="2174" w:type="dxa"/>
            <w:gridSpan w:val="3"/>
          </w:tcPr>
          <w:p w14:paraId="7E9B124A" w14:textId="77777777" w:rsidR="0094050B" w:rsidRPr="0094050B" w:rsidRDefault="0094050B" w:rsidP="0080630E">
            <w:pPr>
              <w:jc w:val="center"/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  <w:lang w:bidi="ar-EG"/>
              </w:rPr>
              <w:t>females</w:t>
            </w:r>
          </w:p>
        </w:tc>
        <w:tc>
          <w:tcPr>
            <w:tcW w:w="1938" w:type="dxa"/>
            <w:gridSpan w:val="3"/>
          </w:tcPr>
          <w:p w14:paraId="1E199DCA" w14:textId="77777777" w:rsidR="0094050B" w:rsidRPr="0094050B" w:rsidRDefault="0094050B" w:rsidP="0080630E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males</w:t>
            </w:r>
          </w:p>
        </w:tc>
      </w:tr>
      <w:tr w:rsidR="0094050B" w:rsidRPr="0094050B" w14:paraId="6089AB2A" w14:textId="77777777" w:rsidTr="0080630E">
        <w:trPr>
          <w:jc w:val="center"/>
        </w:trPr>
        <w:tc>
          <w:tcPr>
            <w:tcW w:w="1403" w:type="dxa"/>
          </w:tcPr>
          <w:p w14:paraId="0D33F1D5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  <w:lang w:bidi="ar-EG"/>
              </w:rPr>
              <w:t>Age (years)</w:t>
            </w:r>
          </w:p>
        </w:tc>
        <w:tc>
          <w:tcPr>
            <w:tcW w:w="751" w:type="dxa"/>
          </w:tcPr>
          <w:p w14:paraId="1CD13200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1–1.9 </w:t>
            </w:r>
          </w:p>
        </w:tc>
        <w:tc>
          <w:tcPr>
            <w:tcW w:w="752" w:type="dxa"/>
          </w:tcPr>
          <w:p w14:paraId="2077F7A1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2–4.9 </w:t>
            </w:r>
          </w:p>
        </w:tc>
        <w:tc>
          <w:tcPr>
            <w:tcW w:w="752" w:type="dxa"/>
          </w:tcPr>
          <w:p w14:paraId="356395DC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5–7.9 </w:t>
            </w:r>
          </w:p>
        </w:tc>
        <w:tc>
          <w:tcPr>
            <w:tcW w:w="752" w:type="dxa"/>
          </w:tcPr>
          <w:p w14:paraId="4878DF81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8–11.9</w:t>
            </w:r>
          </w:p>
        </w:tc>
        <w:tc>
          <w:tcPr>
            <w:tcW w:w="751" w:type="dxa"/>
          </w:tcPr>
          <w:p w14:paraId="602335BF" w14:textId="77777777" w:rsidR="0094050B" w:rsidRPr="0094050B" w:rsidRDefault="0094050B" w:rsidP="0080630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12-14.9 </w:t>
            </w:r>
          </w:p>
        </w:tc>
        <w:tc>
          <w:tcPr>
            <w:tcW w:w="774" w:type="dxa"/>
          </w:tcPr>
          <w:p w14:paraId="41D1D114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15-17.9</w:t>
            </w:r>
          </w:p>
        </w:tc>
        <w:tc>
          <w:tcPr>
            <w:tcW w:w="649" w:type="dxa"/>
          </w:tcPr>
          <w:p w14:paraId="294ECD4D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&gt;18</w:t>
            </w:r>
          </w:p>
        </w:tc>
        <w:tc>
          <w:tcPr>
            <w:tcW w:w="646" w:type="dxa"/>
          </w:tcPr>
          <w:p w14:paraId="4F26BF11" w14:textId="77777777" w:rsidR="0094050B" w:rsidRPr="0094050B" w:rsidRDefault="0094050B" w:rsidP="0080630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12-14.9 </w:t>
            </w:r>
          </w:p>
        </w:tc>
        <w:tc>
          <w:tcPr>
            <w:tcW w:w="646" w:type="dxa"/>
          </w:tcPr>
          <w:p w14:paraId="1C7CBC94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15-17.9</w:t>
            </w:r>
          </w:p>
        </w:tc>
        <w:tc>
          <w:tcPr>
            <w:tcW w:w="646" w:type="dxa"/>
          </w:tcPr>
          <w:p w14:paraId="785B4597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&gt;18</w:t>
            </w:r>
          </w:p>
        </w:tc>
      </w:tr>
      <w:tr w:rsidR="0094050B" w:rsidRPr="0094050B" w14:paraId="40B7C7D4" w14:textId="77777777" w:rsidTr="0080630E">
        <w:trPr>
          <w:jc w:val="center"/>
        </w:trPr>
        <w:tc>
          <w:tcPr>
            <w:tcW w:w="1403" w:type="dxa"/>
          </w:tcPr>
          <w:p w14:paraId="1C784719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  <w:lang w:bidi="ar-EG"/>
              </w:rPr>
              <w:t>RBC count</w:t>
            </w:r>
          </w:p>
          <w:p w14:paraId="4D4C3F95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  <w:lang w:bidi="ar-EG"/>
              </w:rPr>
              <w:t>Mean</w:t>
            </w:r>
          </w:p>
        </w:tc>
        <w:tc>
          <w:tcPr>
            <w:tcW w:w="751" w:type="dxa"/>
          </w:tcPr>
          <w:p w14:paraId="01300522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4.34 </w:t>
            </w:r>
          </w:p>
        </w:tc>
        <w:tc>
          <w:tcPr>
            <w:tcW w:w="752" w:type="dxa"/>
          </w:tcPr>
          <w:p w14:paraId="2A41A033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4.34 </w:t>
            </w:r>
          </w:p>
        </w:tc>
        <w:tc>
          <w:tcPr>
            <w:tcW w:w="752" w:type="dxa"/>
          </w:tcPr>
          <w:p w14:paraId="32AB9CDF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4.41 </w:t>
            </w:r>
          </w:p>
        </w:tc>
        <w:tc>
          <w:tcPr>
            <w:tcW w:w="752" w:type="dxa"/>
          </w:tcPr>
          <w:p w14:paraId="7CADDBE8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4.52</w:t>
            </w:r>
          </w:p>
        </w:tc>
        <w:tc>
          <w:tcPr>
            <w:tcW w:w="751" w:type="dxa"/>
          </w:tcPr>
          <w:p w14:paraId="34DA4104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4.47 </w:t>
            </w:r>
          </w:p>
        </w:tc>
        <w:tc>
          <w:tcPr>
            <w:tcW w:w="774" w:type="dxa"/>
          </w:tcPr>
          <w:p w14:paraId="33FCFD90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4.48 </w:t>
            </w:r>
          </w:p>
        </w:tc>
        <w:tc>
          <w:tcPr>
            <w:tcW w:w="649" w:type="dxa"/>
          </w:tcPr>
          <w:p w14:paraId="0B983F41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4.42</w:t>
            </w:r>
          </w:p>
        </w:tc>
        <w:tc>
          <w:tcPr>
            <w:tcW w:w="646" w:type="dxa"/>
          </w:tcPr>
          <w:p w14:paraId="6ABF4E18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4.71 </w:t>
            </w:r>
          </w:p>
        </w:tc>
        <w:tc>
          <w:tcPr>
            <w:tcW w:w="646" w:type="dxa"/>
          </w:tcPr>
          <w:p w14:paraId="4823D260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4.92 </w:t>
            </w:r>
          </w:p>
        </w:tc>
        <w:tc>
          <w:tcPr>
            <w:tcW w:w="646" w:type="dxa"/>
          </w:tcPr>
          <w:p w14:paraId="214A76AE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4.99</w:t>
            </w:r>
          </w:p>
        </w:tc>
      </w:tr>
      <w:tr w:rsidR="0094050B" w:rsidRPr="0094050B" w14:paraId="76F516DC" w14:textId="77777777" w:rsidTr="0080630E">
        <w:trPr>
          <w:jc w:val="center"/>
        </w:trPr>
        <w:tc>
          <w:tcPr>
            <w:tcW w:w="1403" w:type="dxa"/>
            <w:shd w:val="clear" w:color="auto" w:fill="BFBFBF" w:themeFill="background1" w:themeFillShade="BF"/>
          </w:tcPr>
          <w:p w14:paraId="6579E8F4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  <w:lang w:bidi="ar-EG"/>
              </w:rPr>
              <w:t>-2SD</w:t>
            </w:r>
          </w:p>
        </w:tc>
        <w:tc>
          <w:tcPr>
            <w:tcW w:w="751" w:type="dxa"/>
            <w:shd w:val="clear" w:color="auto" w:fill="BFBFBF" w:themeFill="background1" w:themeFillShade="BF"/>
          </w:tcPr>
          <w:p w14:paraId="10EAC9C9" w14:textId="77777777" w:rsidR="0094050B" w:rsidRPr="0094050B" w:rsidRDefault="0094050B" w:rsidP="0080630E">
            <w:pPr>
              <w:jc w:val="center"/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  <w:lang w:bidi="ar-EG"/>
              </w:rPr>
              <w:t>3.8</w:t>
            </w:r>
          </w:p>
        </w:tc>
        <w:tc>
          <w:tcPr>
            <w:tcW w:w="752" w:type="dxa"/>
            <w:shd w:val="clear" w:color="auto" w:fill="BFBFBF" w:themeFill="background1" w:themeFillShade="BF"/>
          </w:tcPr>
          <w:p w14:paraId="1A4BE223" w14:textId="77777777" w:rsidR="0094050B" w:rsidRPr="0094050B" w:rsidRDefault="0094050B" w:rsidP="0080630E">
            <w:pPr>
              <w:jc w:val="center"/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  <w:lang w:bidi="ar-EG"/>
              </w:rPr>
              <w:t>3.7</w:t>
            </w:r>
          </w:p>
        </w:tc>
        <w:tc>
          <w:tcPr>
            <w:tcW w:w="752" w:type="dxa"/>
            <w:shd w:val="clear" w:color="auto" w:fill="BFBFBF" w:themeFill="background1" w:themeFillShade="BF"/>
          </w:tcPr>
          <w:p w14:paraId="6C2F2271" w14:textId="77777777" w:rsidR="0094050B" w:rsidRPr="0094050B" w:rsidRDefault="0094050B" w:rsidP="0080630E">
            <w:pPr>
              <w:jc w:val="center"/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  <w:lang w:bidi="ar-EG"/>
              </w:rPr>
              <w:t>3.1</w:t>
            </w:r>
          </w:p>
        </w:tc>
        <w:tc>
          <w:tcPr>
            <w:tcW w:w="752" w:type="dxa"/>
            <w:shd w:val="clear" w:color="auto" w:fill="BFBFBF" w:themeFill="background1" w:themeFillShade="BF"/>
          </w:tcPr>
          <w:p w14:paraId="67493F10" w14:textId="77777777" w:rsidR="0094050B" w:rsidRPr="0094050B" w:rsidRDefault="0094050B" w:rsidP="0080630E">
            <w:pPr>
              <w:jc w:val="center"/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  <w:lang w:bidi="ar-EG"/>
              </w:rPr>
              <w:t>3.8</w:t>
            </w:r>
          </w:p>
        </w:tc>
        <w:tc>
          <w:tcPr>
            <w:tcW w:w="751" w:type="dxa"/>
            <w:shd w:val="clear" w:color="auto" w:fill="BFBFBF" w:themeFill="background1" w:themeFillShade="BF"/>
          </w:tcPr>
          <w:p w14:paraId="000525F4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3.9 </w:t>
            </w:r>
          </w:p>
        </w:tc>
        <w:tc>
          <w:tcPr>
            <w:tcW w:w="774" w:type="dxa"/>
            <w:shd w:val="clear" w:color="auto" w:fill="BFBFBF" w:themeFill="background1" w:themeFillShade="BF"/>
          </w:tcPr>
          <w:p w14:paraId="608DACA6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3.9 </w:t>
            </w:r>
          </w:p>
        </w:tc>
        <w:tc>
          <w:tcPr>
            <w:tcW w:w="649" w:type="dxa"/>
            <w:shd w:val="clear" w:color="auto" w:fill="BFBFBF" w:themeFill="background1" w:themeFillShade="BF"/>
          </w:tcPr>
          <w:p w14:paraId="36254030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3.8</w:t>
            </w:r>
          </w:p>
        </w:tc>
        <w:tc>
          <w:tcPr>
            <w:tcW w:w="646" w:type="dxa"/>
            <w:shd w:val="clear" w:color="auto" w:fill="BFBFBF" w:themeFill="background1" w:themeFillShade="BF"/>
          </w:tcPr>
          <w:p w14:paraId="4E1C37A5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4.1 </w:t>
            </w:r>
          </w:p>
        </w:tc>
        <w:tc>
          <w:tcPr>
            <w:tcW w:w="646" w:type="dxa"/>
            <w:shd w:val="clear" w:color="auto" w:fill="BFBFBF" w:themeFill="background1" w:themeFillShade="BF"/>
          </w:tcPr>
          <w:p w14:paraId="2B8F965A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4.2 </w:t>
            </w:r>
          </w:p>
        </w:tc>
        <w:tc>
          <w:tcPr>
            <w:tcW w:w="646" w:type="dxa"/>
            <w:shd w:val="clear" w:color="auto" w:fill="BFBFBF" w:themeFill="background1" w:themeFillShade="BF"/>
          </w:tcPr>
          <w:p w14:paraId="3E87B344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4.3</w:t>
            </w:r>
          </w:p>
        </w:tc>
      </w:tr>
      <w:tr w:rsidR="0094050B" w:rsidRPr="0094050B" w14:paraId="1E5ACBF9" w14:textId="77777777" w:rsidTr="0080630E">
        <w:trPr>
          <w:jc w:val="center"/>
        </w:trPr>
        <w:tc>
          <w:tcPr>
            <w:tcW w:w="1403" w:type="dxa"/>
          </w:tcPr>
          <w:p w14:paraId="337AE9FD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  <w:lang w:bidi="ar-EG"/>
              </w:rPr>
              <w:t>Mean Corpuscular volume</w:t>
            </w:r>
          </w:p>
          <w:p w14:paraId="0D6F5053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  <w:lang w:bidi="ar-EG"/>
              </w:rPr>
              <w:t>Mean  (fl)</w:t>
            </w:r>
          </w:p>
        </w:tc>
        <w:tc>
          <w:tcPr>
            <w:tcW w:w="751" w:type="dxa"/>
          </w:tcPr>
          <w:p w14:paraId="02694996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79 </w:t>
            </w:r>
          </w:p>
        </w:tc>
        <w:tc>
          <w:tcPr>
            <w:tcW w:w="752" w:type="dxa"/>
          </w:tcPr>
          <w:p w14:paraId="1C38B345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81</w:t>
            </w:r>
          </w:p>
        </w:tc>
        <w:tc>
          <w:tcPr>
            <w:tcW w:w="752" w:type="dxa"/>
          </w:tcPr>
          <w:p w14:paraId="46422540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 82 </w:t>
            </w:r>
          </w:p>
        </w:tc>
        <w:tc>
          <w:tcPr>
            <w:tcW w:w="752" w:type="dxa"/>
          </w:tcPr>
          <w:p w14:paraId="729BE828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 84</w:t>
            </w:r>
          </w:p>
        </w:tc>
        <w:tc>
          <w:tcPr>
            <w:tcW w:w="751" w:type="dxa"/>
          </w:tcPr>
          <w:p w14:paraId="6226338D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86 </w:t>
            </w:r>
          </w:p>
        </w:tc>
        <w:tc>
          <w:tcPr>
            <w:tcW w:w="774" w:type="dxa"/>
          </w:tcPr>
          <w:p w14:paraId="6E948D26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88 </w:t>
            </w:r>
          </w:p>
        </w:tc>
        <w:tc>
          <w:tcPr>
            <w:tcW w:w="649" w:type="dxa"/>
          </w:tcPr>
          <w:p w14:paraId="53F7DE58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90</w:t>
            </w:r>
          </w:p>
        </w:tc>
        <w:tc>
          <w:tcPr>
            <w:tcW w:w="646" w:type="dxa"/>
          </w:tcPr>
          <w:p w14:paraId="6719B341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85 </w:t>
            </w:r>
          </w:p>
        </w:tc>
        <w:tc>
          <w:tcPr>
            <w:tcW w:w="646" w:type="dxa"/>
          </w:tcPr>
          <w:p w14:paraId="5FFEA3EC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87 </w:t>
            </w:r>
          </w:p>
        </w:tc>
        <w:tc>
          <w:tcPr>
            <w:tcW w:w="646" w:type="dxa"/>
          </w:tcPr>
          <w:p w14:paraId="46E3705F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89</w:t>
            </w:r>
          </w:p>
        </w:tc>
      </w:tr>
      <w:tr w:rsidR="0094050B" w:rsidRPr="0094050B" w14:paraId="6E689800" w14:textId="77777777" w:rsidTr="0080630E">
        <w:trPr>
          <w:jc w:val="center"/>
        </w:trPr>
        <w:tc>
          <w:tcPr>
            <w:tcW w:w="1403" w:type="dxa"/>
            <w:shd w:val="clear" w:color="auto" w:fill="BFBFBF" w:themeFill="background1" w:themeFillShade="BF"/>
          </w:tcPr>
          <w:p w14:paraId="1C4FD2AC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  <w:lang w:bidi="ar-EG"/>
              </w:rPr>
              <w:t>-2SD</w:t>
            </w:r>
          </w:p>
        </w:tc>
        <w:tc>
          <w:tcPr>
            <w:tcW w:w="751" w:type="dxa"/>
            <w:shd w:val="clear" w:color="auto" w:fill="BFBFBF" w:themeFill="background1" w:themeFillShade="BF"/>
          </w:tcPr>
          <w:p w14:paraId="3D51C157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67 </w:t>
            </w:r>
          </w:p>
        </w:tc>
        <w:tc>
          <w:tcPr>
            <w:tcW w:w="752" w:type="dxa"/>
            <w:shd w:val="clear" w:color="auto" w:fill="BFBFBF" w:themeFill="background1" w:themeFillShade="BF"/>
          </w:tcPr>
          <w:p w14:paraId="0472EA92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73 </w:t>
            </w:r>
          </w:p>
        </w:tc>
        <w:tc>
          <w:tcPr>
            <w:tcW w:w="752" w:type="dxa"/>
            <w:shd w:val="clear" w:color="auto" w:fill="BFBFBF" w:themeFill="background1" w:themeFillShade="BF"/>
          </w:tcPr>
          <w:p w14:paraId="479D8CD9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 74 </w:t>
            </w:r>
          </w:p>
        </w:tc>
        <w:tc>
          <w:tcPr>
            <w:tcW w:w="752" w:type="dxa"/>
            <w:shd w:val="clear" w:color="auto" w:fill="BFBFBF" w:themeFill="background1" w:themeFillShade="BF"/>
          </w:tcPr>
          <w:p w14:paraId="02314850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76</w:t>
            </w:r>
          </w:p>
        </w:tc>
        <w:tc>
          <w:tcPr>
            <w:tcW w:w="751" w:type="dxa"/>
            <w:shd w:val="clear" w:color="auto" w:fill="BFBFBF" w:themeFill="background1" w:themeFillShade="BF"/>
          </w:tcPr>
          <w:p w14:paraId="37AFD29F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77 </w:t>
            </w:r>
          </w:p>
        </w:tc>
        <w:tc>
          <w:tcPr>
            <w:tcW w:w="774" w:type="dxa"/>
            <w:shd w:val="clear" w:color="auto" w:fill="BFBFBF" w:themeFill="background1" w:themeFillShade="BF"/>
          </w:tcPr>
          <w:p w14:paraId="6F2FE205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78 </w:t>
            </w:r>
          </w:p>
        </w:tc>
        <w:tc>
          <w:tcPr>
            <w:tcW w:w="649" w:type="dxa"/>
            <w:shd w:val="clear" w:color="auto" w:fill="BFBFBF" w:themeFill="background1" w:themeFillShade="BF"/>
          </w:tcPr>
          <w:p w14:paraId="1AFEDCDE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81</w:t>
            </w:r>
          </w:p>
        </w:tc>
        <w:tc>
          <w:tcPr>
            <w:tcW w:w="646" w:type="dxa"/>
            <w:shd w:val="clear" w:color="auto" w:fill="BFBFBF" w:themeFill="background1" w:themeFillShade="BF"/>
          </w:tcPr>
          <w:p w14:paraId="3E6BFEA6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rtl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77 </w:t>
            </w:r>
          </w:p>
        </w:tc>
        <w:tc>
          <w:tcPr>
            <w:tcW w:w="646" w:type="dxa"/>
            <w:shd w:val="clear" w:color="auto" w:fill="BFBFBF" w:themeFill="background1" w:themeFillShade="BF"/>
          </w:tcPr>
          <w:p w14:paraId="50150384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  <w:lang w:bidi="ar-EG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>79</w:t>
            </w:r>
          </w:p>
        </w:tc>
        <w:tc>
          <w:tcPr>
            <w:tcW w:w="646" w:type="dxa"/>
            <w:shd w:val="clear" w:color="auto" w:fill="BFBFBF" w:themeFill="background1" w:themeFillShade="BF"/>
          </w:tcPr>
          <w:p w14:paraId="5134B74B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4050B">
              <w:rPr>
                <w:rFonts w:asciiTheme="majorBidi" w:hAnsiTheme="majorBidi" w:cstheme="majorBidi"/>
                <w:color w:val="000000" w:themeColor="text1"/>
              </w:rPr>
              <w:t xml:space="preserve"> 80</w:t>
            </w:r>
          </w:p>
        </w:tc>
      </w:tr>
    </w:tbl>
    <w:p w14:paraId="13593C57" w14:textId="4E527588" w:rsidR="0094050B" w:rsidRDefault="0094050B" w:rsidP="0094050B">
      <w:pPr>
        <w:autoSpaceDE w:val="0"/>
        <w:autoSpaceDN w:val="0"/>
        <w:adjustRightInd w:val="0"/>
        <w:rPr>
          <w:rFonts w:asciiTheme="majorBidi" w:hAnsiTheme="majorBidi" w:cstheme="majorBidi"/>
        </w:rPr>
      </w:pPr>
      <w:r w:rsidRPr="0094050B">
        <w:rPr>
          <w:rFonts w:asciiTheme="majorBidi" w:hAnsiTheme="majorBidi" w:cstheme="majorBidi"/>
        </w:rPr>
        <w:t xml:space="preserve">Based on the US second National Health and Nutrition Examination Survey (NHANES II) after excluding those with abnormal tests related to iron; Yip R, Johnson C, Dallman PR. Age-related changes in laboratory values used in the diagnosis of anemia and iron deficiency. </w:t>
      </w:r>
      <w:r w:rsidRPr="0094050B">
        <w:rPr>
          <w:rFonts w:asciiTheme="majorBidi" w:hAnsiTheme="majorBidi" w:cstheme="majorBidi"/>
          <w:i/>
          <w:iCs/>
        </w:rPr>
        <w:t>American Journal of Clinical Nutrition</w:t>
      </w:r>
      <w:r w:rsidRPr="0094050B">
        <w:rPr>
          <w:rFonts w:asciiTheme="majorBidi" w:hAnsiTheme="majorBidi" w:cstheme="majorBidi"/>
        </w:rPr>
        <w:t>, 1984, 39:427-436.</w:t>
      </w:r>
    </w:p>
    <w:p w14:paraId="5023AB46" w14:textId="77777777" w:rsidR="0094050B" w:rsidRPr="0094050B" w:rsidRDefault="0094050B" w:rsidP="0094050B">
      <w:pPr>
        <w:autoSpaceDE w:val="0"/>
        <w:autoSpaceDN w:val="0"/>
        <w:adjustRightInd w:val="0"/>
        <w:rPr>
          <w:rFonts w:asciiTheme="majorBidi" w:hAnsiTheme="majorBidi" w:cstheme="majorBidi"/>
        </w:rPr>
      </w:pPr>
    </w:p>
    <w:p w14:paraId="29B9C310" w14:textId="1168F3F7" w:rsidR="0094050B" w:rsidRPr="008D2139" w:rsidRDefault="0094050B" w:rsidP="0094050B">
      <w:pPr>
        <w:spacing w:before="100" w:beforeAutospacing="1" w:after="100" w:afterAutospacing="1"/>
        <w:contextualSpacing/>
        <w:rPr>
          <w:rFonts w:asciiTheme="majorBidi" w:eastAsia="Times New Roman" w:hAnsiTheme="majorBidi" w:cstheme="majorBidi"/>
        </w:rPr>
      </w:pPr>
      <w:r w:rsidRPr="008D2139">
        <w:rPr>
          <w:rFonts w:asciiTheme="majorBidi" w:eastAsia="Times New Roman" w:hAnsiTheme="majorBidi" w:cstheme="majorBidi"/>
          <w:b/>
          <w:bCs/>
        </w:rPr>
        <w:t xml:space="preserve">Table </w:t>
      </w:r>
      <w:r w:rsidRPr="0094050B">
        <w:rPr>
          <w:rFonts w:asciiTheme="majorBidi" w:eastAsia="Times New Roman" w:hAnsiTheme="majorBidi" w:cstheme="majorBidi"/>
          <w:b/>
          <w:bCs/>
        </w:rPr>
        <w:t xml:space="preserve"> </w:t>
      </w:r>
      <w:r w:rsidRPr="0094050B">
        <w:rPr>
          <w:rFonts w:asciiTheme="majorBidi" w:eastAsia="Times New Roman" w:hAnsiTheme="majorBidi" w:cstheme="majorBidi"/>
          <w:b/>
          <w:bCs/>
          <w:lang w:val="en-US"/>
        </w:rPr>
        <w:t>5</w:t>
      </w:r>
      <w:r w:rsidRPr="0094050B">
        <w:rPr>
          <w:rFonts w:asciiTheme="majorBidi" w:eastAsia="Times New Roman" w:hAnsiTheme="majorBidi" w:cstheme="majorBidi"/>
          <w:b/>
          <w:bCs/>
        </w:rPr>
        <w:t xml:space="preserve"> : </w:t>
      </w:r>
      <w:r w:rsidRPr="008D2139">
        <w:rPr>
          <w:rFonts w:asciiTheme="majorBidi" w:eastAsia="Times New Roman" w:hAnsiTheme="majorBidi" w:cstheme="majorBidi"/>
          <w:b/>
          <w:bCs/>
        </w:rPr>
        <w:t xml:space="preserve">Lower limits for hemoglobin and hematoctrit values specified by the World Health Organization by age and gender </w:t>
      </w:r>
    </w:p>
    <w:tbl>
      <w:tblPr>
        <w:tblStyle w:val="TableGrid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2690"/>
        <w:gridCol w:w="2689"/>
        <w:gridCol w:w="2917"/>
      </w:tblGrid>
      <w:tr w:rsidR="0094050B" w:rsidRPr="0094050B" w14:paraId="2467D4EA" w14:textId="77777777" w:rsidTr="0094050B">
        <w:trPr>
          <w:jc w:val="right"/>
        </w:trPr>
        <w:tc>
          <w:tcPr>
            <w:tcW w:w="2690" w:type="dxa"/>
          </w:tcPr>
          <w:p w14:paraId="567D0D49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</w:rPr>
            </w:pPr>
            <w:r w:rsidRPr="0094050B">
              <w:rPr>
                <w:rFonts w:asciiTheme="majorBidi" w:hAnsiTheme="majorBidi" w:cstheme="majorBidi"/>
              </w:rPr>
              <w:t xml:space="preserve">Hemoglobin Hematocrit (g/dL) (%) </w:t>
            </w:r>
          </w:p>
        </w:tc>
        <w:tc>
          <w:tcPr>
            <w:tcW w:w="2689" w:type="dxa"/>
          </w:tcPr>
          <w:p w14:paraId="16738682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</w:rPr>
            </w:pPr>
            <w:r w:rsidRPr="0094050B">
              <w:rPr>
                <w:rFonts w:asciiTheme="majorBidi" w:hAnsiTheme="majorBidi" w:cstheme="majorBidi"/>
              </w:rPr>
              <w:t xml:space="preserve">Hemoglobin Hematocrit (g/dL) (%) </w:t>
            </w:r>
          </w:p>
        </w:tc>
        <w:tc>
          <w:tcPr>
            <w:tcW w:w="2917" w:type="dxa"/>
          </w:tcPr>
          <w:p w14:paraId="68FBECA9" w14:textId="77777777" w:rsidR="0094050B" w:rsidRPr="0094050B" w:rsidRDefault="0094050B" w:rsidP="0080630E">
            <w:pPr>
              <w:pStyle w:val="NormalWeb"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Groups by age and gender </w:t>
            </w:r>
          </w:p>
          <w:p w14:paraId="23B2FB85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</w:rPr>
            </w:pPr>
          </w:p>
        </w:tc>
      </w:tr>
      <w:tr w:rsidR="0094050B" w:rsidRPr="0094050B" w14:paraId="1185B6BA" w14:textId="77777777" w:rsidTr="0094050B">
        <w:trPr>
          <w:jc w:val="right"/>
        </w:trPr>
        <w:tc>
          <w:tcPr>
            <w:tcW w:w="2690" w:type="dxa"/>
          </w:tcPr>
          <w:p w14:paraId="3E5FE64E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  <w:lang w:val="en-US"/>
              </w:rPr>
            </w:pPr>
            <w:r w:rsidRPr="0094050B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2689" w:type="dxa"/>
          </w:tcPr>
          <w:p w14:paraId="00131B40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  <w:lang w:val="en-US"/>
              </w:rPr>
            </w:pPr>
            <w:r w:rsidRPr="0094050B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2917" w:type="dxa"/>
          </w:tcPr>
          <w:p w14:paraId="780922B7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</w:rPr>
            </w:pPr>
            <w:r w:rsidRPr="0094050B">
              <w:rPr>
                <w:rFonts w:asciiTheme="majorBidi" w:hAnsiTheme="majorBidi" w:cstheme="majorBidi"/>
              </w:rPr>
              <w:t xml:space="preserve">Children aged between 6-59 months Children aged between 5-11 years Children aged between 12-14 years Girls aged &gt;15 years </w:t>
            </w:r>
          </w:p>
        </w:tc>
      </w:tr>
      <w:tr w:rsidR="0094050B" w:rsidRPr="0094050B" w14:paraId="2B49BFE1" w14:textId="77777777" w:rsidTr="0094050B">
        <w:trPr>
          <w:jc w:val="right"/>
        </w:trPr>
        <w:tc>
          <w:tcPr>
            <w:tcW w:w="2690" w:type="dxa"/>
          </w:tcPr>
          <w:p w14:paraId="51BFC26E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  <w:lang w:val="en-US"/>
              </w:rPr>
            </w:pPr>
            <w:r w:rsidRPr="0094050B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2689" w:type="dxa"/>
          </w:tcPr>
          <w:p w14:paraId="4492CD07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  <w:lang w:val="en-US"/>
              </w:rPr>
            </w:pPr>
            <w:r w:rsidRPr="0094050B">
              <w:rPr>
                <w:rFonts w:asciiTheme="majorBidi" w:hAnsiTheme="majorBidi" w:cstheme="majorBidi"/>
              </w:rPr>
              <w:t>11.5</w:t>
            </w:r>
          </w:p>
        </w:tc>
        <w:tc>
          <w:tcPr>
            <w:tcW w:w="2917" w:type="dxa"/>
          </w:tcPr>
          <w:p w14:paraId="4ED061EE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</w:rPr>
            </w:pPr>
            <w:r w:rsidRPr="0094050B">
              <w:rPr>
                <w:rFonts w:asciiTheme="majorBidi" w:hAnsiTheme="majorBidi" w:cstheme="majorBidi"/>
              </w:rPr>
              <w:t xml:space="preserve">Boys aged &gt;15 years </w:t>
            </w:r>
          </w:p>
        </w:tc>
      </w:tr>
      <w:tr w:rsidR="0094050B" w:rsidRPr="0094050B" w14:paraId="2E811D8D" w14:textId="77777777" w:rsidTr="0094050B">
        <w:trPr>
          <w:jc w:val="right"/>
        </w:trPr>
        <w:tc>
          <w:tcPr>
            <w:tcW w:w="2690" w:type="dxa"/>
          </w:tcPr>
          <w:p w14:paraId="4752DB1A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  <w:lang w:val="en-US"/>
              </w:rPr>
            </w:pPr>
            <w:r w:rsidRPr="0094050B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2689" w:type="dxa"/>
          </w:tcPr>
          <w:p w14:paraId="50AC4F68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  <w:lang w:val="en-US"/>
              </w:rPr>
            </w:pPr>
            <w:r w:rsidRPr="0094050B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2917" w:type="dxa"/>
          </w:tcPr>
          <w:p w14:paraId="7D6F3640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</w:rPr>
            </w:pPr>
            <w:r w:rsidRPr="0094050B">
              <w:rPr>
                <w:rFonts w:asciiTheme="majorBidi" w:hAnsiTheme="majorBidi" w:cstheme="majorBidi"/>
              </w:rPr>
              <w:t xml:space="preserve">Children aged between 6-59 months Children aged between 5-11 years Children aged between 12-14 years Girls aged &gt;15 years </w:t>
            </w:r>
          </w:p>
        </w:tc>
      </w:tr>
      <w:tr w:rsidR="0094050B" w:rsidRPr="0094050B" w14:paraId="1A663FC5" w14:textId="77777777" w:rsidTr="0094050B">
        <w:trPr>
          <w:jc w:val="right"/>
        </w:trPr>
        <w:tc>
          <w:tcPr>
            <w:tcW w:w="2690" w:type="dxa"/>
          </w:tcPr>
          <w:p w14:paraId="2A577E12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  <w:lang w:val="en-US"/>
              </w:rPr>
            </w:pPr>
            <w:r w:rsidRPr="0094050B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2689" w:type="dxa"/>
          </w:tcPr>
          <w:p w14:paraId="798C35D4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  <w:lang w:val="en-US"/>
              </w:rPr>
            </w:pPr>
            <w:r w:rsidRPr="0094050B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2917" w:type="dxa"/>
          </w:tcPr>
          <w:p w14:paraId="12F9F630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</w:rPr>
            </w:pPr>
            <w:r w:rsidRPr="0094050B">
              <w:rPr>
                <w:rFonts w:asciiTheme="majorBidi" w:hAnsiTheme="majorBidi" w:cstheme="majorBidi"/>
              </w:rPr>
              <w:t xml:space="preserve">Boys aged &gt;15 years </w:t>
            </w:r>
          </w:p>
        </w:tc>
      </w:tr>
      <w:tr w:rsidR="0094050B" w:rsidRPr="0094050B" w14:paraId="7E99C03C" w14:textId="77777777" w:rsidTr="0094050B">
        <w:trPr>
          <w:jc w:val="right"/>
        </w:trPr>
        <w:tc>
          <w:tcPr>
            <w:tcW w:w="2690" w:type="dxa"/>
          </w:tcPr>
          <w:p w14:paraId="5FA9221C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  <w:lang w:val="en-US"/>
              </w:rPr>
            </w:pPr>
            <w:r w:rsidRPr="0094050B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2689" w:type="dxa"/>
          </w:tcPr>
          <w:p w14:paraId="768E7931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  <w:lang w:val="en-US"/>
              </w:rPr>
            </w:pPr>
            <w:r w:rsidRPr="0094050B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2917" w:type="dxa"/>
          </w:tcPr>
          <w:p w14:paraId="52CC31A7" w14:textId="77777777" w:rsidR="0094050B" w:rsidRPr="0094050B" w:rsidRDefault="0094050B" w:rsidP="0080630E">
            <w:pPr>
              <w:rPr>
                <w:rFonts w:asciiTheme="majorBidi" w:hAnsiTheme="majorBidi" w:cstheme="majorBidi"/>
                <w:rtl/>
              </w:rPr>
            </w:pPr>
            <w:r w:rsidRPr="0094050B">
              <w:rPr>
                <w:rFonts w:asciiTheme="majorBidi" w:hAnsiTheme="majorBidi" w:cstheme="majorBidi"/>
              </w:rPr>
              <w:t xml:space="preserve">Children aged between 6-59 months Children aged between 5-11 years Children aged between 12-14 years Girls aged &gt;15 years </w:t>
            </w:r>
          </w:p>
        </w:tc>
      </w:tr>
    </w:tbl>
    <w:p w14:paraId="60582A9C" w14:textId="77777777" w:rsidR="0094050B" w:rsidRPr="0094050B" w:rsidRDefault="0094050B" w:rsidP="0094050B">
      <w:pPr>
        <w:rPr>
          <w:rFonts w:asciiTheme="majorBidi" w:hAnsiTheme="majorBidi" w:cstheme="majorBidi"/>
          <w:color w:val="212121"/>
          <w:shd w:val="clear" w:color="auto" w:fill="FFFFFF"/>
        </w:rPr>
      </w:pPr>
      <w:r w:rsidRPr="0094050B">
        <w:rPr>
          <w:rFonts w:asciiTheme="majorBidi" w:hAnsiTheme="majorBidi" w:cstheme="majorBidi"/>
          <w:color w:val="212121"/>
          <w:shd w:val="clear" w:color="auto" w:fill="FFFFFF"/>
        </w:rPr>
        <w:t>Özdemir N. Iron deficiency anemia from diagnosis to treatment in children. Turk Pediatri Ars. 2015 Mar 1;50(1):11-9. doi: 10.5152/tpa.2015.2337. PMID: 26078692; PMCID: PMC4462328.</w:t>
      </w:r>
    </w:p>
    <w:p w14:paraId="49CEE935" w14:textId="77777777" w:rsidR="0094050B" w:rsidRPr="0094050B" w:rsidRDefault="0094050B" w:rsidP="0094050B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color w:val="000000"/>
        </w:rPr>
      </w:pPr>
    </w:p>
    <w:p w14:paraId="16AF7F09" w14:textId="77777777" w:rsidR="0094050B" w:rsidRPr="0094050B" w:rsidRDefault="0094050B" w:rsidP="0094050B">
      <w:pPr>
        <w:rPr>
          <w:rFonts w:asciiTheme="majorBidi" w:hAnsiTheme="majorBidi" w:cstheme="majorBidi"/>
          <w:kern w:val="0"/>
          <w:lang w:val="en-US"/>
        </w:rPr>
      </w:pPr>
    </w:p>
    <w:p w14:paraId="7C7FB8F3" w14:textId="68073004" w:rsidR="0094050B" w:rsidRPr="0094050B" w:rsidRDefault="0094050B" w:rsidP="0094050B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0"/>
          <w:lang w:val="en-US"/>
        </w:rPr>
      </w:pPr>
      <w:r w:rsidRPr="0094050B">
        <w:rPr>
          <w:rFonts w:asciiTheme="majorBidi" w:hAnsiTheme="majorBidi" w:cstheme="majorBidi"/>
          <w:b/>
          <w:bCs/>
          <w:kern w:val="0"/>
          <w:lang w:val="en-US"/>
        </w:rPr>
        <w:t>Table 6: Dietary</w:t>
      </w:r>
      <w:r w:rsidRPr="0094050B">
        <w:rPr>
          <w:rFonts w:asciiTheme="majorBidi" w:hAnsiTheme="majorBidi" w:cstheme="majorBidi"/>
          <w:b/>
          <w:bCs/>
          <w:kern w:val="0"/>
          <w:lang w:val="en-US"/>
        </w:rPr>
        <w:t xml:space="preserve"> Reference Intake for </w:t>
      </w:r>
      <w:r w:rsidRPr="0094050B">
        <w:rPr>
          <w:rFonts w:asciiTheme="majorBidi" w:hAnsiTheme="majorBidi" w:cstheme="majorBidi"/>
          <w:b/>
          <w:bCs/>
          <w:kern w:val="0"/>
          <w:lang w:val="en-US"/>
        </w:rPr>
        <w:t>Iron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7"/>
        <w:gridCol w:w="906"/>
        <w:gridCol w:w="906"/>
        <w:gridCol w:w="1209"/>
        <w:gridCol w:w="1587"/>
        <w:gridCol w:w="3495"/>
      </w:tblGrid>
      <w:tr w:rsidR="0094050B" w:rsidRPr="0094050B" w14:paraId="7694469D" w14:textId="7708D9E1" w:rsidTr="0094050B">
        <w:tc>
          <w:tcPr>
            <w:tcW w:w="0" w:type="auto"/>
          </w:tcPr>
          <w:p w14:paraId="452E3D61" w14:textId="56ED9598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LIFESTAGE</w:t>
            </w:r>
          </w:p>
          <w:p w14:paraId="7EB7BC59" w14:textId="19F59D04" w:rsidR="0094050B" w:rsidRPr="0094050B" w:rsidRDefault="0094050B" w:rsidP="0094050B">
            <w:pPr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GROUP</w:t>
            </w:r>
          </w:p>
        </w:tc>
        <w:tc>
          <w:tcPr>
            <w:tcW w:w="0" w:type="auto"/>
          </w:tcPr>
          <w:p w14:paraId="7B4365E3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AI</w:t>
            </w:r>
          </w:p>
          <w:p w14:paraId="69C1980B" w14:textId="63A8B84A" w:rsidR="0094050B" w:rsidRPr="0094050B" w:rsidRDefault="0094050B" w:rsidP="0094050B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(mg/day)</w:t>
            </w:r>
          </w:p>
        </w:tc>
        <w:tc>
          <w:tcPr>
            <w:tcW w:w="0" w:type="auto"/>
          </w:tcPr>
          <w:p w14:paraId="49C65709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UL</w:t>
            </w:r>
          </w:p>
          <w:p w14:paraId="42F2C59F" w14:textId="5905DE38" w:rsidR="0094050B" w:rsidRPr="0094050B" w:rsidRDefault="0094050B" w:rsidP="0094050B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(mg/day)</w:t>
            </w:r>
          </w:p>
        </w:tc>
        <w:tc>
          <w:tcPr>
            <w:tcW w:w="0" w:type="auto"/>
          </w:tcPr>
          <w:p w14:paraId="0E3D47E0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SELECTED</w:t>
            </w:r>
          </w:p>
          <w:p w14:paraId="5FFB153E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FOOD</w:t>
            </w:r>
          </w:p>
          <w:p w14:paraId="01FAC3E9" w14:textId="3E6AE68E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SOURCES</w:t>
            </w:r>
          </w:p>
        </w:tc>
        <w:tc>
          <w:tcPr>
            <w:tcW w:w="0" w:type="auto"/>
          </w:tcPr>
          <w:p w14:paraId="1A50BFA8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ADVERSE</w:t>
            </w:r>
          </w:p>
          <w:p w14:paraId="26D562C1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EFFECTS OF</w:t>
            </w:r>
          </w:p>
          <w:p w14:paraId="633A4DF8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EXCESSIVE</w:t>
            </w:r>
          </w:p>
          <w:p w14:paraId="6FD1EFF1" w14:textId="4ECE045A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CONSUMPTION</w:t>
            </w:r>
          </w:p>
        </w:tc>
        <w:tc>
          <w:tcPr>
            <w:tcW w:w="0" w:type="auto"/>
          </w:tcPr>
          <w:p w14:paraId="414DE858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SPECIAL</w:t>
            </w:r>
          </w:p>
          <w:p w14:paraId="299B7497" w14:textId="64D74059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</w:pPr>
            <w:r w:rsidRPr="0094050B">
              <w:rPr>
                <w:rFonts w:asciiTheme="majorBidi" w:hAnsiTheme="majorBidi" w:cstheme="majorBidi"/>
                <w:b/>
                <w:bCs/>
                <w:kern w:val="0"/>
                <w:sz w:val="18"/>
                <w:szCs w:val="18"/>
                <w:lang w:val="en-US"/>
              </w:rPr>
              <w:t>CONSIDERATIONS</w:t>
            </w:r>
          </w:p>
        </w:tc>
      </w:tr>
      <w:tr w:rsidR="0094050B" w:rsidRPr="0094050B" w14:paraId="7671D9A0" w14:textId="4BD49541" w:rsidTr="0094050B">
        <w:tc>
          <w:tcPr>
            <w:tcW w:w="0" w:type="auto"/>
          </w:tcPr>
          <w:p w14:paraId="3871CD01" w14:textId="649E2E40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Infants</w:t>
            </w:r>
          </w:p>
        </w:tc>
        <w:tc>
          <w:tcPr>
            <w:tcW w:w="0" w:type="auto"/>
          </w:tcPr>
          <w:p w14:paraId="00D25E88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</w:tcPr>
          <w:p w14:paraId="21813F9B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 w:val="restart"/>
          </w:tcPr>
          <w:p w14:paraId="33D268D9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Heme</w:t>
            </w:r>
          </w:p>
          <w:p w14:paraId="2A0D0ED8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sources:</w:t>
            </w:r>
          </w:p>
          <w:p w14:paraId="51FF4F48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meat,</w:t>
            </w:r>
          </w:p>
          <w:p w14:paraId="4A915CB1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poultry, fish</w:t>
            </w:r>
          </w:p>
          <w:p w14:paraId="459DBC7B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Nonheme</w:t>
            </w:r>
          </w:p>
          <w:p w14:paraId="4F548DC7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sources:</w:t>
            </w:r>
          </w:p>
          <w:p w14:paraId="79CFF5FD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dairy, eggs,</w:t>
            </w:r>
          </w:p>
          <w:p w14:paraId="3A1CDDED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plant-based</w:t>
            </w:r>
          </w:p>
          <w:p w14:paraId="007AA00C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foods,</w:t>
            </w:r>
          </w:p>
          <w:p w14:paraId="7B5AA2C1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lastRenderedPageBreak/>
              <w:t>breads,</w:t>
            </w:r>
          </w:p>
          <w:p w14:paraId="5F22C15F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cereals,</w:t>
            </w:r>
          </w:p>
          <w:p w14:paraId="53613719" w14:textId="7777777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breakfast</w:t>
            </w:r>
          </w:p>
          <w:p w14:paraId="374D7339" w14:textId="538B8EE6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foods</w:t>
            </w:r>
          </w:p>
        </w:tc>
        <w:tc>
          <w:tcPr>
            <w:tcW w:w="0" w:type="auto"/>
            <w:vMerge w:val="restart"/>
          </w:tcPr>
          <w:p w14:paraId="5E5DC777" w14:textId="603A2D09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lastRenderedPageBreak/>
              <w:t>GI distress</w:t>
            </w:r>
          </w:p>
        </w:tc>
        <w:tc>
          <w:tcPr>
            <w:tcW w:w="0" w:type="auto"/>
            <w:vMerge w:val="restart"/>
          </w:tcPr>
          <w:p w14:paraId="36A5B6A7" w14:textId="68F3F7F7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Persons with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decreased gastric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acidity may be at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increased risk for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deficiency.</w:t>
            </w:r>
          </w:p>
          <w:p w14:paraId="1F354311" w14:textId="727CBB55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Cow's milk is a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poor source of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bioavailable iron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and is not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recommended for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children &lt;1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yr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old.</w:t>
            </w:r>
          </w:p>
          <w:p w14:paraId="5A19AFA2" w14:textId="476DB60B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Neurocognitive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deficits have been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reported in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infants with iron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deficiency.</w:t>
            </w:r>
          </w:p>
          <w:p w14:paraId="411A4F74" w14:textId="44DA0EC6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lastRenderedPageBreak/>
              <w:t>RDA for females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increases with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menarche related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to increased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losses during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menstruation.</w:t>
            </w:r>
          </w:p>
          <w:p w14:paraId="6D7A9E63" w14:textId="7C75A488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Vegans and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vegetarians might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require iron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S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upplementation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or intake of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iron fortified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foods.</w:t>
            </w:r>
          </w:p>
          <w:p w14:paraId="71ACA8B7" w14:textId="4835F71B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GI parasites can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increase iron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losses via GI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bleeds.</w:t>
            </w:r>
          </w:p>
          <w:p w14:paraId="356EB4A2" w14:textId="141B2D7C" w:rsidR="0094050B" w:rsidRPr="0094050B" w:rsidRDefault="0094050B" w:rsidP="0094050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kern w:val="0"/>
                <w:lang w:val="en-US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Iron supplements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can interfere with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zinc absorption,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and vice versa; if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supplements are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being used, the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doses should be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staggered.</w:t>
            </w:r>
          </w:p>
        </w:tc>
      </w:tr>
      <w:tr w:rsidR="0094050B" w:rsidRPr="0094050B" w14:paraId="25E5FD4A" w14:textId="73147268" w:rsidTr="0094050B">
        <w:tc>
          <w:tcPr>
            <w:tcW w:w="0" w:type="auto"/>
          </w:tcPr>
          <w:p w14:paraId="657AEAF9" w14:textId="6EAB55E0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0-6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mo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37953D9B" w14:textId="36E9D01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0.27 </w:t>
            </w:r>
          </w:p>
        </w:tc>
        <w:tc>
          <w:tcPr>
            <w:tcW w:w="0" w:type="auto"/>
          </w:tcPr>
          <w:p w14:paraId="73693367" w14:textId="6EEDE86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40</w:t>
            </w:r>
          </w:p>
        </w:tc>
        <w:tc>
          <w:tcPr>
            <w:tcW w:w="0" w:type="auto"/>
            <w:vMerge/>
          </w:tcPr>
          <w:p w14:paraId="06EABEB6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5242191D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7275EB86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  <w:tr w:rsidR="0094050B" w:rsidRPr="0094050B" w14:paraId="026FC52E" w14:textId="30D97B87" w:rsidTr="0094050B">
        <w:tc>
          <w:tcPr>
            <w:tcW w:w="0" w:type="auto"/>
          </w:tcPr>
          <w:p w14:paraId="509262FB" w14:textId="49DAAA1E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7-12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mo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1AEC26C2" w14:textId="4E4FE208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11</w:t>
            </w:r>
          </w:p>
        </w:tc>
        <w:tc>
          <w:tcPr>
            <w:tcW w:w="0" w:type="auto"/>
          </w:tcPr>
          <w:p w14:paraId="70979659" w14:textId="2D4FDFDA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40</w:t>
            </w:r>
          </w:p>
        </w:tc>
        <w:tc>
          <w:tcPr>
            <w:tcW w:w="0" w:type="auto"/>
            <w:vMerge/>
          </w:tcPr>
          <w:p w14:paraId="66063DF5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0615AB94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2264A9A9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  <w:tr w:rsidR="0094050B" w:rsidRPr="0094050B" w14:paraId="41A3BC73" w14:textId="0ACD740B" w:rsidTr="0094050B">
        <w:tc>
          <w:tcPr>
            <w:tcW w:w="0" w:type="auto"/>
          </w:tcPr>
          <w:p w14:paraId="405FC5DB" w14:textId="4E4AB439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Children</w:t>
            </w:r>
          </w:p>
        </w:tc>
        <w:tc>
          <w:tcPr>
            <w:tcW w:w="0" w:type="auto"/>
          </w:tcPr>
          <w:p w14:paraId="353647B6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</w:tcPr>
          <w:p w14:paraId="7E69F332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148DF654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7F4A7D9D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06E96D97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</w:tr>
      <w:tr w:rsidR="0094050B" w:rsidRPr="0094050B" w14:paraId="43459B29" w14:textId="441DF80C" w:rsidTr="0094050B">
        <w:tc>
          <w:tcPr>
            <w:tcW w:w="0" w:type="auto"/>
          </w:tcPr>
          <w:p w14:paraId="1C87B0B1" w14:textId="35D49081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1-3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yr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1C923E4F" w14:textId="0AB03CBC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7</w:t>
            </w:r>
          </w:p>
        </w:tc>
        <w:tc>
          <w:tcPr>
            <w:tcW w:w="0" w:type="auto"/>
          </w:tcPr>
          <w:p w14:paraId="316D2588" w14:textId="50F4EC8B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40</w:t>
            </w:r>
          </w:p>
        </w:tc>
        <w:tc>
          <w:tcPr>
            <w:tcW w:w="0" w:type="auto"/>
            <w:vMerge/>
          </w:tcPr>
          <w:p w14:paraId="30E20639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17243A95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4CC1B50F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  <w:tr w:rsidR="0094050B" w:rsidRPr="0094050B" w14:paraId="661918A9" w14:textId="3E4BCBFA" w:rsidTr="0094050B">
        <w:tc>
          <w:tcPr>
            <w:tcW w:w="0" w:type="auto"/>
          </w:tcPr>
          <w:p w14:paraId="1EFDFE45" w14:textId="413BFFF4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4-8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yr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1110629A" w14:textId="5703A1CD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10</w:t>
            </w:r>
          </w:p>
        </w:tc>
        <w:tc>
          <w:tcPr>
            <w:tcW w:w="0" w:type="auto"/>
          </w:tcPr>
          <w:p w14:paraId="3CA37700" w14:textId="46D8C0A8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40</w:t>
            </w:r>
          </w:p>
        </w:tc>
        <w:tc>
          <w:tcPr>
            <w:tcW w:w="0" w:type="auto"/>
            <w:vMerge/>
          </w:tcPr>
          <w:p w14:paraId="55343E1B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5DDCD66E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7CDD1341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  <w:tr w:rsidR="0094050B" w:rsidRPr="0094050B" w14:paraId="7B637846" w14:textId="483891DC" w:rsidTr="0094050B">
        <w:tc>
          <w:tcPr>
            <w:tcW w:w="0" w:type="auto"/>
          </w:tcPr>
          <w:p w14:paraId="3B58BD1B" w14:textId="49EB1A2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Males</w:t>
            </w:r>
          </w:p>
        </w:tc>
        <w:tc>
          <w:tcPr>
            <w:tcW w:w="0" w:type="auto"/>
          </w:tcPr>
          <w:p w14:paraId="565B9624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</w:tcPr>
          <w:p w14:paraId="129BBB0C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2B429A4A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398AE657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3D407851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</w:tr>
      <w:tr w:rsidR="0094050B" w:rsidRPr="0094050B" w14:paraId="6B97A768" w14:textId="6D549BA2" w:rsidTr="0094050B">
        <w:tc>
          <w:tcPr>
            <w:tcW w:w="0" w:type="auto"/>
          </w:tcPr>
          <w:p w14:paraId="460CAF1F" w14:textId="728C6213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9-13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yr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6FA70F53" w14:textId="4E89B8DF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8</w:t>
            </w:r>
          </w:p>
        </w:tc>
        <w:tc>
          <w:tcPr>
            <w:tcW w:w="0" w:type="auto"/>
          </w:tcPr>
          <w:p w14:paraId="7703E5E6" w14:textId="1DA4D30A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40</w:t>
            </w:r>
          </w:p>
        </w:tc>
        <w:tc>
          <w:tcPr>
            <w:tcW w:w="0" w:type="auto"/>
            <w:vMerge/>
          </w:tcPr>
          <w:p w14:paraId="07DF773F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1BD25998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61E37861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  <w:tr w:rsidR="0094050B" w:rsidRPr="0094050B" w14:paraId="414A1BDD" w14:textId="6E8E1C0B" w:rsidTr="0094050B">
        <w:tc>
          <w:tcPr>
            <w:tcW w:w="0" w:type="auto"/>
          </w:tcPr>
          <w:p w14:paraId="394CB51C" w14:textId="11A21113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14-18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yr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4ECCBD80" w14:textId="6FE76552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11</w:t>
            </w:r>
          </w:p>
        </w:tc>
        <w:tc>
          <w:tcPr>
            <w:tcW w:w="0" w:type="auto"/>
          </w:tcPr>
          <w:p w14:paraId="1F8EB889" w14:textId="5480EC4C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45</w:t>
            </w:r>
          </w:p>
        </w:tc>
        <w:tc>
          <w:tcPr>
            <w:tcW w:w="0" w:type="auto"/>
            <w:vMerge/>
          </w:tcPr>
          <w:p w14:paraId="2F31B46C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46D2A806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5CD6C708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  <w:tr w:rsidR="0094050B" w:rsidRPr="0094050B" w14:paraId="4ED41892" w14:textId="369E7378" w:rsidTr="0094050B">
        <w:tc>
          <w:tcPr>
            <w:tcW w:w="0" w:type="auto"/>
          </w:tcPr>
          <w:p w14:paraId="69D5BDC3" w14:textId="2A45257A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19-21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yr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47DDDB26" w14:textId="1AB188EA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8</w:t>
            </w:r>
          </w:p>
        </w:tc>
        <w:tc>
          <w:tcPr>
            <w:tcW w:w="0" w:type="auto"/>
          </w:tcPr>
          <w:p w14:paraId="252D1D91" w14:textId="5B2C2692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45</w:t>
            </w:r>
          </w:p>
        </w:tc>
        <w:tc>
          <w:tcPr>
            <w:tcW w:w="0" w:type="auto"/>
            <w:vMerge/>
          </w:tcPr>
          <w:p w14:paraId="4DF3998F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746FE8AC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77C09C34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  <w:tr w:rsidR="0094050B" w:rsidRPr="0094050B" w14:paraId="06C2F863" w14:textId="33358063" w:rsidTr="0094050B">
        <w:tc>
          <w:tcPr>
            <w:tcW w:w="0" w:type="auto"/>
          </w:tcPr>
          <w:p w14:paraId="7F7EE0BA" w14:textId="6A0B9659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Females</w:t>
            </w:r>
          </w:p>
        </w:tc>
        <w:tc>
          <w:tcPr>
            <w:tcW w:w="0" w:type="auto"/>
          </w:tcPr>
          <w:p w14:paraId="418041CC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</w:tcPr>
          <w:p w14:paraId="7068FD1B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41D0F280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5BE8C622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268B156E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</w:tr>
      <w:tr w:rsidR="0094050B" w:rsidRPr="0094050B" w14:paraId="52828BDC" w14:textId="40C1F108" w:rsidTr="0094050B">
        <w:tc>
          <w:tcPr>
            <w:tcW w:w="0" w:type="auto"/>
          </w:tcPr>
          <w:p w14:paraId="5267C04F" w14:textId="0B04E913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9-13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yr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714975C8" w14:textId="5E0A50B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8</w:t>
            </w:r>
          </w:p>
        </w:tc>
        <w:tc>
          <w:tcPr>
            <w:tcW w:w="0" w:type="auto"/>
          </w:tcPr>
          <w:p w14:paraId="2A387238" w14:textId="07300C61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40</w:t>
            </w:r>
          </w:p>
        </w:tc>
        <w:tc>
          <w:tcPr>
            <w:tcW w:w="0" w:type="auto"/>
            <w:vMerge/>
          </w:tcPr>
          <w:p w14:paraId="36037580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57C7315C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6B48921A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  <w:tr w:rsidR="0094050B" w:rsidRPr="0094050B" w14:paraId="7A0DCBC5" w14:textId="5A19D340" w:rsidTr="0094050B">
        <w:tc>
          <w:tcPr>
            <w:tcW w:w="0" w:type="auto"/>
          </w:tcPr>
          <w:p w14:paraId="26ADF21B" w14:textId="055F85FE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lastRenderedPageBreak/>
              <w:t xml:space="preserve">14-18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yr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7A2DCFF2" w14:textId="153DFE53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15</w:t>
            </w:r>
          </w:p>
        </w:tc>
        <w:tc>
          <w:tcPr>
            <w:tcW w:w="0" w:type="auto"/>
          </w:tcPr>
          <w:p w14:paraId="4A8F6475" w14:textId="2065BB71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45</w:t>
            </w:r>
          </w:p>
        </w:tc>
        <w:tc>
          <w:tcPr>
            <w:tcW w:w="0" w:type="auto"/>
            <w:vMerge/>
          </w:tcPr>
          <w:p w14:paraId="77582809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74A4C82F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2BCA15FE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  <w:tr w:rsidR="0094050B" w:rsidRPr="0094050B" w14:paraId="064B8D9C" w14:textId="02BA7FA7" w:rsidTr="0094050B">
        <w:tc>
          <w:tcPr>
            <w:tcW w:w="0" w:type="auto"/>
          </w:tcPr>
          <w:p w14:paraId="4089FCB3" w14:textId="554D8EC2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19-21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yr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08B02564" w14:textId="089E1024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18</w:t>
            </w:r>
          </w:p>
        </w:tc>
        <w:tc>
          <w:tcPr>
            <w:tcW w:w="0" w:type="auto"/>
          </w:tcPr>
          <w:p w14:paraId="68970FF1" w14:textId="4D68ACC6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45</w:t>
            </w:r>
          </w:p>
        </w:tc>
        <w:tc>
          <w:tcPr>
            <w:tcW w:w="0" w:type="auto"/>
            <w:vMerge/>
          </w:tcPr>
          <w:p w14:paraId="2F091636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61608D13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47BFDCFE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  <w:tr w:rsidR="0094050B" w:rsidRPr="0094050B" w14:paraId="3305B99C" w14:textId="268DE660" w:rsidTr="0094050B">
        <w:tc>
          <w:tcPr>
            <w:tcW w:w="0" w:type="auto"/>
          </w:tcPr>
          <w:p w14:paraId="3E795200" w14:textId="660E66F5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Pregnancy</w:t>
            </w:r>
          </w:p>
        </w:tc>
        <w:tc>
          <w:tcPr>
            <w:tcW w:w="0" w:type="auto"/>
          </w:tcPr>
          <w:p w14:paraId="4F4BAEDA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</w:tcPr>
          <w:p w14:paraId="257FCDC5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16FABA0E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35615BFD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2CCBC326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</w:tr>
      <w:tr w:rsidR="0094050B" w:rsidRPr="0094050B" w14:paraId="273442BE" w14:textId="200A4D37" w:rsidTr="0094050B">
        <w:tc>
          <w:tcPr>
            <w:tcW w:w="0" w:type="auto"/>
          </w:tcPr>
          <w:p w14:paraId="28BC3D78" w14:textId="11ECD64B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≤18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yr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588EF24B" w14:textId="191ABFDC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27</w:t>
            </w:r>
          </w:p>
        </w:tc>
        <w:tc>
          <w:tcPr>
            <w:tcW w:w="0" w:type="auto"/>
          </w:tcPr>
          <w:p w14:paraId="7EF20EF1" w14:textId="08A128EA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45</w:t>
            </w:r>
          </w:p>
        </w:tc>
        <w:tc>
          <w:tcPr>
            <w:tcW w:w="0" w:type="auto"/>
            <w:vMerge/>
          </w:tcPr>
          <w:p w14:paraId="0F7C9A87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31E17BCE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46410A9A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  <w:tr w:rsidR="0094050B" w:rsidRPr="0094050B" w14:paraId="4364B756" w14:textId="484084B2" w:rsidTr="0094050B">
        <w:tc>
          <w:tcPr>
            <w:tcW w:w="0" w:type="auto"/>
          </w:tcPr>
          <w:p w14:paraId="310B466A" w14:textId="1F76CB3F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19-21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yr</w:t>
            </w:r>
            <w:proofErr w:type="spellEnd"/>
          </w:p>
        </w:tc>
        <w:tc>
          <w:tcPr>
            <w:tcW w:w="0" w:type="auto"/>
          </w:tcPr>
          <w:p w14:paraId="189918D1" w14:textId="523DD409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27</w:t>
            </w:r>
          </w:p>
        </w:tc>
        <w:tc>
          <w:tcPr>
            <w:tcW w:w="0" w:type="auto"/>
          </w:tcPr>
          <w:p w14:paraId="4459C844" w14:textId="76775F0B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45</w:t>
            </w:r>
          </w:p>
        </w:tc>
        <w:tc>
          <w:tcPr>
            <w:tcW w:w="0" w:type="auto"/>
            <w:vMerge/>
          </w:tcPr>
          <w:p w14:paraId="68BDDFC9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5DA16FFC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6E2F76D4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  <w:tr w:rsidR="0094050B" w:rsidRPr="0094050B" w14:paraId="73BE0DB3" w14:textId="2DEE9EE0" w:rsidTr="0094050B">
        <w:tc>
          <w:tcPr>
            <w:tcW w:w="0" w:type="auto"/>
          </w:tcPr>
          <w:p w14:paraId="1604D404" w14:textId="0035E659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Lactation</w:t>
            </w:r>
          </w:p>
        </w:tc>
        <w:tc>
          <w:tcPr>
            <w:tcW w:w="0" w:type="auto"/>
          </w:tcPr>
          <w:p w14:paraId="52465D4B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</w:tcPr>
          <w:p w14:paraId="7075D6CB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27B288B0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0590BFD8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3651B498" w14:textId="77777777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</w:p>
        </w:tc>
      </w:tr>
      <w:tr w:rsidR="0094050B" w:rsidRPr="0094050B" w14:paraId="46150772" w14:textId="7789EE0D" w:rsidTr="0094050B">
        <w:tc>
          <w:tcPr>
            <w:tcW w:w="0" w:type="auto"/>
          </w:tcPr>
          <w:p w14:paraId="40B6F2F6" w14:textId="533F3FAA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≤18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yr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4593A8C6" w14:textId="68628F01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10</w:t>
            </w:r>
          </w:p>
        </w:tc>
        <w:tc>
          <w:tcPr>
            <w:tcW w:w="0" w:type="auto"/>
          </w:tcPr>
          <w:p w14:paraId="4CBE92DD" w14:textId="51CB7DCF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45</w:t>
            </w:r>
          </w:p>
        </w:tc>
        <w:tc>
          <w:tcPr>
            <w:tcW w:w="0" w:type="auto"/>
            <w:vMerge/>
          </w:tcPr>
          <w:p w14:paraId="3B2A8FD7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6906EAD7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017E69D4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  <w:tr w:rsidR="0094050B" w:rsidRPr="0094050B" w14:paraId="527AFAFC" w14:textId="69AE9C4A" w:rsidTr="0094050B">
        <w:tc>
          <w:tcPr>
            <w:tcW w:w="0" w:type="auto"/>
          </w:tcPr>
          <w:p w14:paraId="2A4C363D" w14:textId="4094E115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19-21 </w:t>
            </w:r>
            <w:proofErr w:type="spellStart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yr</w:t>
            </w:r>
            <w:proofErr w:type="spellEnd"/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48C9849F" w14:textId="7075E39B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9</w:t>
            </w:r>
          </w:p>
        </w:tc>
        <w:tc>
          <w:tcPr>
            <w:tcW w:w="0" w:type="auto"/>
          </w:tcPr>
          <w:p w14:paraId="75F1A605" w14:textId="453499B9" w:rsidR="0094050B" w:rsidRPr="0094050B" w:rsidRDefault="0094050B" w:rsidP="0094050B">
            <w:p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kern w:val="0"/>
                <w:lang w:val="en-US"/>
              </w:rPr>
              <w:t>45</w:t>
            </w:r>
          </w:p>
        </w:tc>
        <w:tc>
          <w:tcPr>
            <w:tcW w:w="0" w:type="auto"/>
            <w:vMerge/>
          </w:tcPr>
          <w:p w14:paraId="384AD52B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568A4B71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  <w:tc>
          <w:tcPr>
            <w:tcW w:w="0" w:type="auto"/>
            <w:vMerge/>
          </w:tcPr>
          <w:p w14:paraId="6AAEBE83" w14:textId="77777777" w:rsidR="0094050B" w:rsidRPr="0094050B" w:rsidRDefault="0094050B" w:rsidP="0094050B">
            <w:pPr>
              <w:rPr>
                <w:rFonts w:asciiTheme="majorBidi" w:hAnsiTheme="majorBidi" w:cstheme="majorBidi"/>
                <w:kern w:val="0"/>
                <w:lang w:val="en-US"/>
              </w:rPr>
            </w:pPr>
          </w:p>
        </w:tc>
      </w:tr>
    </w:tbl>
    <w:p w14:paraId="02B35679" w14:textId="43298750" w:rsidR="0094050B" w:rsidRPr="0094050B" w:rsidRDefault="0094050B" w:rsidP="0094050B">
      <w:pPr>
        <w:autoSpaceDE w:val="0"/>
        <w:autoSpaceDN w:val="0"/>
        <w:adjustRightInd w:val="0"/>
        <w:rPr>
          <w:rFonts w:asciiTheme="majorBidi" w:hAnsiTheme="majorBidi" w:cstheme="majorBidi"/>
          <w:color w:val="040C28"/>
          <w:lang w:val="en-US"/>
        </w:rPr>
      </w:pPr>
      <w:r w:rsidRPr="0094050B">
        <w:rPr>
          <w:rFonts w:asciiTheme="majorBidi" w:hAnsiTheme="majorBidi" w:cstheme="majorBidi"/>
          <w:color w:val="040C28"/>
        </w:rPr>
        <w:t>AI</w:t>
      </w:r>
      <w:r w:rsidRPr="0094050B">
        <w:rPr>
          <w:rFonts w:asciiTheme="majorBidi" w:hAnsiTheme="majorBidi" w:cstheme="majorBidi"/>
          <w:color w:val="040C28"/>
          <w:lang w:val="en-US"/>
        </w:rPr>
        <w:t xml:space="preserve">: </w:t>
      </w:r>
      <w:r w:rsidRPr="0094050B">
        <w:rPr>
          <w:rFonts w:asciiTheme="majorBidi" w:hAnsiTheme="majorBidi" w:cstheme="majorBidi"/>
          <w:color w:val="040C28"/>
        </w:rPr>
        <w:t>Adequate Intake</w:t>
      </w:r>
      <w:r w:rsidRPr="0094050B">
        <w:rPr>
          <w:rFonts w:asciiTheme="majorBidi" w:hAnsiTheme="majorBidi" w:cstheme="majorBidi"/>
          <w:color w:val="040C28"/>
          <w:lang w:val="en-US"/>
        </w:rPr>
        <w:t xml:space="preserve">, </w:t>
      </w:r>
      <w:proofErr w:type="spellStart"/>
      <w:r w:rsidRPr="0094050B">
        <w:rPr>
          <w:rFonts w:asciiTheme="majorBidi" w:hAnsiTheme="majorBidi" w:cstheme="majorBidi"/>
          <w:color w:val="040C28"/>
          <w:lang w:val="en-US"/>
        </w:rPr>
        <w:t>mo</w:t>
      </w:r>
      <w:proofErr w:type="spellEnd"/>
      <w:r w:rsidRPr="0094050B">
        <w:rPr>
          <w:rFonts w:asciiTheme="majorBidi" w:hAnsiTheme="majorBidi" w:cstheme="majorBidi"/>
          <w:color w:val="040C28"/>
          <w:lang w:val="en-US"/>
        </w:rPr>
        <w:t xml:space="preserve">: month(s), </w:t>
      </w:r>
      <w:r w:rsidRPr="0094050B">
        <w:rPr>
          <w:rFonts w:asciiTheme="majorBidi" w:hAnsiTheme="majorBidi" w:cstheme="majorBidi"/>
          <w:color w:val="040C28"/>
        </w:rPr>
        <w:t>RDA</w:t>
      </w:r>
      <w:r w:rsidRPr="0094050B">
        <w:rPr>
          <w:rFonts w:asciiTheme="majorBidi" w:hAnsiTheme="majorBidi" w:cstheme="majorBidi"/>
          <w:color w:val="040C28"/>
          <w:lang w:val="en-US"/>
        </w:rPr>
        <w:t>:</w:t>
      </w:r>
      <w:r w:rsidRPr="0094050B">
        <w:rPr>
          <w:rFonts w:asciiTheme="majorBidi" w:hAnsiTheme="majorBidi" w:cstheme="majorBidi"/>
          <w:color w:val="040C28"/>
        </w:rPr>
        <w:t xml:space="preserve"> Recommended Dietary Allowances</w:t>
      </w:r>
      <w:r w:rsidRPr="0094050B">
        <w:rPr>
          <w:rFonts w:asciiTheme="majorBidi" w:hAnsiTheme="majorBidi" w:cstheme="majorBidi"/>
          <w:color w:val="040C28"/>
          <w:lang w:val="en-US"/>
        </w:rPr>
        <w:t xml:space="preserve">, </w:t>
      </w:r>
      <w:r w:rsidRPr="0094050B">
        <w:rPr>
          <w:rFonts w:asciiTheme="majorBidi" w:hAnsiTheme="majorBidi" w:cstheme="majorBidi"/>
          <w:color w:val="4D5156"/>
          <w:shd w:val="clear" w:color="auto" w:fill="FFFFFF"/>
        </w:rPr>
        <w:t>UL</w:t>
      </w:r>
      <w:r w:rsidRPr="0094050B">
        <w:rPr>
          <w:rFonts w:asciiTheme="majorBidi" w:hAnsiTheme="majorBidi" w:cstheme="majorBidi"/>
          <w:color w:val="4D5156"/>
          <w:shd w:val="clear" w:color="auto" w:fill="FFFFFF"/>
          <w:lang w:val="en-US"/>
        </w:rPr>
        <w:t xml:space="preserve">: </w:t>
      </w:r>
      <w:r w:rsidRPr="0094050B">
        <w:rPr>
          <w:rFonts w:asciiTheme="majorBidi" w:hAnsiTheme="majorBidi" w:cstheme="majorBidi"/>
          <w:color w:val="040C28"/>
        </w:rPr>
        <w:t>Tolerable Upper Intake Levels</w:t>
      </w:r>
      <w:r w:rsidRPr="0094050B">
        <w:rPr>
          <w:rStyle w:val="apple-converted-space"/>
          <w:rFonts w:asciiTheme="majorBidi" w:hAnsiTheme="majorBidi" w:cstheme="majorBidi"/>
          <w:color w:val="4D5156"/>
          <w:shd w:val="clear" w:color="auto" w:fill="FFFFFF"/>
          <w:lang w:val="en-US"/>
        </w:rPr>
        <w:t xml:space="preserve">, </w:t>
      </w:r>
      <w:proofErr w:type="spellStart"/>
      <w:r w:rsidRPr="0094050B">
        <w:rPr>
          <w:rStyle w:val="apple-converted-space"/>
          <w:rFonts w:asciiTheme="majorBidi" w:hAnsiTheme="majorBidi" w:cstheme="majorBidi"/>
          <w:color w:val="4D5156"/>
          <w:shd w:val="clear" w:color="auto" w:fill="FFFFFF"/>
          <w:lang w:val="en-US"/>
        </w:rPr>
        <w:t>yr</w:t>
      </w:r>
      <w:proofErr w:type="spellEnd"/>
      <w:r w:rsidRPr="0094050B">
        <w:rPr>
          <w:rStyle w:val="apple-converted-space"/>
          <w:rFonts w:asciiTheme="majorBidi" w:hAnsiTheme="majorBidi" w:cstheme="majorBidi"/>
          <w:color w:val="4D5156"/>
          <w:shd w:val="clear" w:color="auto" w:fill="FFFFFF"/>
          <w:lang w:val="en-US"/>
        </w:rPr>
        <w:t>: year(s)</w:t>
      </w:r>
    </w:p>
    <w:p w14:paraId="79C9F684" w14:textId="66A28FDA" w:rsidR="0094050B" w:rsidRPr="0094050B" w:rsidRDefault="0094050B" w:rsidP="0094050B">
      <w:pPr>
        <w:autoSpaceDE w:val="0"/>
        <w:autoSpaceDN w:val="0"/>
        <w:adjustRightInd w:val="0"/>
        <w:rPr>
          <w:rFonts w:asciiTheme="majorBidi" w:hAnsiTheme="majorBidi" w:cstheme="majorBidi"/>
          <w:color w:val="000000"/>
          <w:kern w:val="0"/>
          <w:lang w:val="en-US"/>
        </w:rPr>
      </w:pPr>
      <w:r w:rsidRPr="0094050B">
        <w:rPr>
          <w:rFonts w:asciiTheme="majorBidi" w:hAnsiTheme="majorBidi" w:cstheme="majorBidi"/>
          <w:color w:val="040C28"/>
        </w:rPr>
        <w:t xml:space="preserve"> </w:t>
      </w:r>
    </w:p>
    <w:p w14:paraId="22929597" w14:textId="270DD4B9" w:rsidR="0094050B" w:rsidRPr="0094050B" w:rsidRDefault="0094050B" w:rsidP="0094050B">
      <w:pPr>
        <w:autoSpaceDE w:val="0"/>
        <w:autoSpaceDN w:val="0"/>
        <w:adjustRightInd w:val="0"/>
        <w:rPr>
          <w:rFonts w:asciiTheme="majorBidi" w:hAnsiTheme="majorBidi" w:cstheme="majorBidi"/>
          <w:color w:val="000000"/>
          <w:kern w:val="0"/>
          <w:lang w:val="en-US"/>
        </w:rPr>
      </w:pPr>
      <w:r w:rsidRPr="0094050B">
        <w:rPr>
          <w:rFonts w:asciiTheme="majorBidi" w:hAnsiTheme="majorBidi" w:cstheme="majorBidi"/>
          <w:color w:val="000000"/>
          <w:kern w:val="0"/>
          <w:lang w:val="en-US"/>
        </w:rPr>
        <w:t xml:space="preserve">Adapted from </w:t>
      </w:r>
      <w:r>
        <w:rPr>
          <w:rFonts w:asciiTheme="majorBidi" w:hAnsiTheme="majorBidi" w:cstheme="majorBidi"/>
          <w:color w:val="000000"/>
          <w:kern w:val="0"/>
          <w:lang w:val="en-US"/>
        </w:rPr>
        <w:t>“</w:t>
      </w:r>
      <w:r w:rsidRPr="0094050B">
        <w:rPr>
          <w:rFonts w:asciiTheme="majorBidi" w:hAnsiTheme="majorBidi" w:cstheme="majorBidi"/>
          <w:color w:val="000000"/>
          <w:kern w:val="0"/>
          <w:lang w:val="en-US"/>
        </w:rPr>
        <w:t>Food and Nutrition Board, US Institute of Medicine: Dietary reference intakes for</w:t>
      </w:r>
      <w:r>
        <w:rPr>
          <w:rFonts w:asciiTheme="majorBidi" w:hAnsiTheme="majorBidi" w:cstheme="majorBidi"/>
          <w:color w:val="000000"/>
          <w:kern w:val="0"/>
          <w:lang w:val="en-US"/>
        </w:rPr>
        <w:t xml:space="preserve"> </w:t>
      </w:r>
      <w:r w:rsidRPr="0094050B">
        <w:rPr>
          <w:rFonts w:asciiTheme="majorBidi" w:hAnsiTheme="majorBidi" w:cstheme="majorBidi"/>
          <w:color w:val="000000"/>
          <w:kern w:val="0"/>
          <w:lang w:val="en-US"/>
        </w:rPr>
        <w:t>water, potassium, sodium, chloride, and sulfate (website).</w:t>
      </w:r>
      <w:r>
        <w:rPr>
          <w:rFonts w:asciiTheme="majorBidi" w:hAnsiTheme="majorBidi" w:cstheme="majorBidi"/>
          <w:color w:val="000000"/>
          <w:kern w:val="0"/>
          <w:lang w:val="en-US"/>
        </w:rPr>
        <w:t xml:space="preserve"> </w:t>
      </w:r>
      <w:proofErr w:type="gramStart"/>
      <w:r w:rsidRPr="0094050B">
        <w:rPr>
          <w:rFonts w:asciiTheme="majorBidi" w:hAnsiTheme="majorBidi" w:cstheme="majorBidi"/>
          <w:color w:val="0000EF"/>
          <w:kern w:val="0"/>
          <w:lang w:val="en-US"/>
        </w:rPr>
        <w:t xml:space="preserve">http://www.nap.edu/openbook.php?record_id=10925 </w:t>
      </w:r>
      <w:r w:rsidRPr="0094050B">
        <w:rPr>
          <w:rFonts w:asciiTheme="majorBidi" w:hAnsiTheme="majorBidi" w:cstheme="majorBidi"/>
          <w:color w:val="000000"/>
          <w:kern w:val="0"/>
          <w:lang w:val="en-US"/>
        </w:rPr>
        <w:t>;</w:t>
      </w:r>
      <w:proofErr w:type="gramEnd"/>
      <w:r w:rsidRPr="0094050B">
        <w:rPr>
          <w:rFonts w:asciiTheme="majorBidi" w:hAnsiTheme="majorBidi" w:cstheme="majorBidi"/>
          <w:color w:val="000000"/>
          <w:kern w:val="0"/>
          <w:lang w:val="en-US"/>
        </w:rPr>
        <w:t xml:space="preserve"> and Ross AC, US Institute of Medicine, Committee to Review Dietary</w:t>
      </w:r>
      <w:r>
        <w:rPr>
          <w:rFonts w:asciiTheme="majorBidi" w:hAnsiTheme="majorBidi" w:cstheme="majorBidi"/>
          <w:color w:val="000000"/>
          <w:kern w:val="0"/>
          <w:lang w:val="en-US"/>
        </w:rPr>
        <w:t xml:space="preserve"> </w:t>
      </w:r>
      <w:r w:rsidRPr="0094050B">
        <w:rPr>
          <w:rFonts w:asciiTheme="majorBidi" w:hAnsiTheme="majorBidi" w:cstheme="majorBidi"/>
          <w:color w:val="000000"/>
          <w:kern w:val="0"/>
          <w:lang w:val="en-US"/>
        </w:rPr>
        <w:t>Reference Intakes for Vitamin D and Calcium: Dietary reference intakes: calcium, vitamin D,</w:t>
      </w:r>
      <w:r>
        <w:rPr>
          <w:rFonts w:asciiTheme="majorBidi" w:hAnsiTheme="majorBidi" w:cstheme="majorBidi"/>
          <w:color w:val="000000"/>
          <w:kern w:val="0"/>
          <w:lang w:val="en-US"/>
        </w:rPr>
        <w:t xml:space="preserve"> </w:t>
      </w:r>
      <w:r w:rsidRPr="0094050B">
        <w:rPr>
          <w:rFonts w:asciiTheme="majorBidi" w:hAnsiTheme="majorBidi" w:cstheme="majorBidi"/>
          <w:color w:val="000000"/>
          <w:kern w:val="0"/>
          <w:lang w:val="en-US"/>
        </w:rPr>
        <w:t>Washington, DC, 2011, National Academies Press, pp xv, 536.</w:t>
      </w:r>
      <w:r>
        <w:rPr>
          <w:rFonts w:asciiTheme="majorBidi" w:hAnsiTheme="majorBidi" w:cstheme="majorBidi"/>
          <w:color w:val="000000"/>
          <w:kern w:val="0"/>
          <w:lang w:val="en-US"/>
        </w:rPr>
        <w:t>”</w:t>
      </w:r>
    </w:p>
    <w:p w14:paraId="0A1A262B" w14:textId="77777777" w:rsidR="0094050B" w:rsidRPr="0094050B" w:rsidRDefault="0094050B" w:rsidP="0094050B">
      <w:pPr>
        <w:rPr>
          <w:rFonts w:asciiTheme="majorBidi" w:hAnsiTheme="majorBidi" w:cstheme="majorBidi"/>
          <w:color w:val="000000"/>
          <w:kern w:val="0"/>
          <w:lang w:val="en-US"/>
        </w:rPr>
      </w:pPr>
    </w:p>
    <w:p w14:paraId="51118790" w14:textId="77777777" w:rsidR="0094050B" w:rsidRPr="0094050B" w:rsidRDefault="0094050B" w:rsidP="0094050B">
      <w:pPr>
        <w:rPr>
          <w:rFonts w:asciiTheme="majorBidi" w:hAnsiTheme="majorBidi" w:cstheme="majorBidi"/>
        </w:rPr>
      </w:pPr>
    </w:p>
    <w:p w14:paraId="3ABDE166" w14:textId="76C9E84F" w:rsidR="0094050B" w:rsidRPr="0094050B" w:rsidRDefault="0094050B" w:rsidP="0094050B">
      <w:pPr>
        <w:rPr>
          <w:rFonts w:asciiTheme="majorBidi" w:eastAsia="Times New Roman" w:hAnsiTheme="majorBidi" w:cstheme="majorBidi"/>
          <w:b/>
          <w:bCs/>
        </w:rPr>
      </w:pPr>
      <w:r w:rsidRPr="008D2139">
        <w:rPr>
          <w:rFonts w:asciiTheme="majorBidi" w:eastAsia="Times New Roman" w:hAnsiTheme="majorBidi" w:cstheme="majorBidi"/>
          <w:b/>
          <w:bCs/>
          <w:color w:val="1A1A1A"/>
          <w:bdr w:val="none" w:sz="0" w:space="0" w:color="auto" w:frame="1"/>
        </w:rPr>
        <w:t xml:space="preserve">TABLE </w:t>
      </w:r>
      <w:r w:rsidRPr="0094050B">
        <w:rPr>
          <w:rFonts w:asciiTheme="majorBidi" w:eastAsia="Times New Roman" w:hAnsiTheme="majorBidi" w:cstheme="majorBidi"/>
          <w:b/>
          <w:bCs/>
          <w:color w:val="1A1A1A"/>
          <w:bdr w:val="none" w:sz="0" w:space="0" w:color="auto" w:frame="1"/>
        </w:rPr>
        <w:t xml:space="preserve"> </w:t>
      </w:r>
      <w:r w:rsidRPr="0094050B">
        <w:rPr>
          <w:rFonts w:asciiTheme="majorBidi" w:eastAsia="Times New Roman" w:hAnsiTheme="majorBidi" w:cstheme="majorBidi"/>
          <w:b/>
          <w:bCs/>
          <w:color w:val="1A1A1A"/>
          <w:bdr w:val="none" w:sz="0" w:space="0" w:color="auto" w:frame="1"/>
          <w:lang w:val="en-US"/>
        </w:rPr>
        <w:t>7</w:t>
      </w:r>
      <w:r w:rsidRPr="0094050B">
        <w:rPr>
          <w:rFonts w:asciiTheme="majorBidi" w:eastAsia="Times New Roman" w:hAnsiTheme="majorBidi" w:cstheme="majorBidi"/>
          <w:b/>
          <w:bCs/>
          <w:color w:val="1A1A1A"/>
          <w:bdr w:val="none" w:sz="0" w:space="0" w:color="auto" w:frame="1"/>
        </w:rPr>
        <w:t xml:space="preserve"> : </w:t>
      </w:r>
      <w:r w:rsidRPr="008D2139">
        <w:rPr>
          <w:rFonts w:asciiTheme="majorBidi" w:eastAsia="Times New Roman" w:hAnsiTheme="majorBidi" w:cstheme="majorBidi"/>
          <w:b/>
          <w:bCs/>
          <w:color w:val="1A1A1A"/>
        </w:rPr>
        <w:t>Foods to Increase Iron Intake and Iron Absorption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4050B" w:rsidRPr="0094050B" w14:paraId="25E6A8B1" w14:textId="77777777" w:rsidTr="0080630E">
        <w:tc>
          <w:tcPr>
            <w:tcW w:w="4148" w:type="dxa"/>
          </w:tcPr>
          <w:p w14:paraId="217CDBC6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</w:p>
        </w:tc>
        <w:tc>
          <w:tcPr>
            <w:tcW w:w="4148" w:type="dxa"/>
          </w:tcPr>
          <w:p w14:paraId="4E080CFA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b/>
                <w:bCs/>
                <w:color w:val="1A1A1A"/>
                <w:shd w:val="clear" w:color="auto" w:fill="F6F8F9"/>
              </w:rPr>
              <w:t>Elemental Iron, mg</w:t>
            </w:r>
          </w:p>
        </w:tc>
      </w:tr>
      <w:tr w:rsidR="0094050B" w:rsidRPr="0094050B" w14:paraId="2FEDF65D" w14:textId="77777777" w:rsidTr="0080630E">
        <w:tc>
          <w:tcPr>
            <w:tcW w:w="8296" w:type="dxa"/>
            <w:gridSpan w:val="2"/>
          </w:tcPr>
          <w:p w14:paraId="1CE247EC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b/>
                <w:bCs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b/>
                <w:bCs/>
                <w:color w:val="1A1A1A"/>
                <w:shd w:val="clear" w:color="auto" w:fill="FFFFFF"/>
              </w:rPr>
              <w:t>Cereals</w:t>
            </w:r>
          </w:p>
        </w:tc>
      </w:tr>
      <w:tr w:rsidR="0094050B" w:rsidRPr="0094050B" w14:paraId="21680F6C" w14:textId="77777777" w:rsidTr="0080630E">
        <w:tc>
          <w:tcPr>
            <w:tcW w:w="4148" w:type="dxa"/>
          </w:tcPr>
          <w:p w14:paraId="57110827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Baby food, brown rice cereal, dry, instant, 1 tbsp</w:t>
            </w:r>
          </w:p>
        </w:tc>
        <w:tc>
          <w:tcPr>
            <w:tcW w:w="4148" w:type="dxa"/>
          </w:tcPr>
          <w:p w14:paraId="4372AD1D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1.8</w:t>
            </w:r>
          </w:p>
        </w:tc>
      </w:tr>
      <w:tr w:rsidR="0094050B" w:rsidRPr="0094050B" w14:paraId="58515F6C" w14:textId="77777777" w:rsidTr="0080630E">
        <w:tc>
          <w:tcPr>
            <w:tcW w:w="4148" w:type="dxa"/>
          </w:tcPr>
          <w:p w14:paraId="30246C91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Baby food, oatmeal cereal, dry, 1 tbsp</w:t>
            </w:r>
          </w:p>
        </w:tc>
        <w:tc>
          <w:tcPr>
            <w:tcW w:w="4148" w:type="dxa"/>
          </w:tcPr>
          <w:p w14:paraId="0065B159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1.6</w:t>
            </w:r>
          </w:p>
        </w:tc>
      </w:tr>
      <w:tr w:rsidR="0094050B" w:rsidRPr="0094050B" w14:paraId="59A29421" w14:textId="77777777" w:rsidTr="0080630E">
        <w:tc>
          <w:tcPr>
            <w:tcW w:w="4148" w:type="dxa"/>
          </w:tcPr>
          <w:p w14:paraId="44C6A600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Baby food, rice cereal, dry, 1 tbsp </w:t>
            </w:r>
          </w:p>
        </w:tc>
        <w:tc>
          <w:tcPr>
            <w:tcW w:w="4148" w:type="dxa"/>
          </w:tcPr>
          <w:p w14:paraId="13DB2837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1.2</w:t>
            </w:r>
          </w:p>
        </w:tc>
      </w:tr>
      <w:tr w:rsidR="0094050B" w:rsidRPr="0094050B" w14:paraId="32CB8B12" w14:textId="77777777" w:rsidTr="0080630E">
        <w:tc>
          <w:tcPr>
            <w:tcW w:w="4148" w:type="dxa"/>
          </w:tcPr>
          <w:p w14:paraId="4D19A123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Baby food, barley cereal, dry, 1 tbsp</w:t>
            </w:r>
          </w:p>
        </w:tc>
        <w:tc>
          <w:tcPr>
            <w:tcW w:w="4148" w:type="dxa"/>
          </w:tcPr>
          <w:p w14:paraId="6B478BD0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1.1</w:t>
            </w:r>
          </w:p>
        </w:tc>
      </w:tr>
      <w:tr w:rsidR="0094050B" w:rsidRPr="0094050B" w14:paraId="1AB35D04" w14:textId="77777777" w:rsidTr="0080630E">
        <w:tc>
          <w:tcPr>
            <w:tcW w:w="8296" w:type="dxa"/>
            <w:gridSpan w:val="2"/>
          </w:tcPr>
          <w:p w14:paraId="45A30994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b/>
                <w:bCs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b/>
                <w:bCs/>
                <w:color w:val="1A1A1A"/>
                <w:shd w:val="clear" w:color="auto" w:fill="FFFFFF"/>
              </w:rPr>
              <w:t>Table food, heme iron</w:t>
            </w:r>
          </w:p>
        </w:tc>
      </w:tr>
      <w:tr w:rsidR="0094050B" w:rsidRPr="0094050B" w14:paraId="29906F09" w14:textId="77777777" w:rsidTr="0080630E">
        <w:tc>
          <w:tcPr>
            <w:tcW w:w="4148" w:type="dxa"/>
          </w:tcPr>
          <w:p w14:paraId="6E042BA8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Clams, canned, drained solids, 3 oz </w:t>
            </w:r>
          </w:p>
        </w:tc>
        <w:tc>
          <w:tcPr>
            <w:tcW w:w="4148" w:type="dxa"/>
          </w:tcPr>
          <w:p w14:paraId="310BB7A1" w14:textId="627E06C6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23.8</w:t>
            </w:r>
          </w:p>
        </w:tc>
      </w:tr>
      <w:tr w:rsidR="0094050B" w:rsidRPr="0094050B" w14:paraId="10DAD536" w14:textId="77777777" w:rsidTr="0080630E">
        <w:tc>
          <w:tcPr>
            <w:tcW w:w="4148" w:type="dxa"/>
          </w:tcPr>
          <w:p w14:paraId="2500740E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Chicken liver, cooked, simmered, 3 oz </w:t>
            </w:r>
          </w:p>
        </w:tc>
        <w:tc>
          <w:tcPr>
            <w:tcW w:w="4148" w:type="dxa"/>
          </w:tcPr>
          <w:p w14:paraId="1D70F104" w14:textId="17D6D75D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9.9</w:t>
            </w:r>
          </w:p>
        </w:tc>
      </w:tr>
      <w:tr w:rsidR="0094050B" w:rsidRPr="0094050B" w14:paraId="1C17B07A" w14:textId="77777777" w:rsidTr="0080630E">
        <w:tc>
          <w:tcPr>
            <w:tcW w:w="4148" w:type="dxa"/>
          </w:tcPr>
          <w:p w14:paraId="36323948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Oysters, Eastern canned, 3 oz </w:t>
            </w:r>
          </w:p>
        </w:tc>
        <w:tc>
          <w:tcPr>
            <w:tcW w:w="4148" w:type="dxa"/>
          </w:tcPr>
          <w:p w14:paraId="3FCC4FA1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5.7</w:t>
            </w:r>
          </w:p>
        </w:tc>
      </w:tr>
      <w:tr w:rsidR="0094050B" w:rsidRPr="0094050B" w14:paraId="38CE66C2" w14:textId="77777777" w:rsidTr="0080630E">
        <w:tc>
          <w:tcPr>
            <w:tcW w:w="4148" w:type="dxa"/>
          </w:tcPr>
          <w:p w14:paraId="53D9FBC1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Beef liver, cooked, braised, 3 oz </w:t>
            </w:r>
          </w:p>
        </w:tc>
        <w:tc>
          <w:tcPr>
            <w:tcW w:w="4148" w:type="dxa"/>
          </w:tcPr>
          <w:p w14:paraId="6C9C073B" w14:textId="2810C0CF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5.6</w:t>
            </w:r>
          </w:p>
        </w:tc>
      </w:tr>
      <w:tr w:rsidR="0094050B" w:rsidRPr="0094050B" w14:paraId="5502BBEF" w14:textId="77777777" w:rsidTr="0080630E">
        <w:tc>
          <w:tcPr>
            <w:tcW w:w="4148" w:type="dxa"/>
          </w:tcPr>
          <w:p w14:paraId="6148F1C6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Shrimp, cooked moist heat, 3 oz </w:t>
            </w:r>
          </w:p>
        </w:tc>
        <w:tc>
          <w:tcPr>
            <w:tcW w:w="4148" w:type="dxa"/>
          </w:tcPr>
          <w:p w14:paraId="467015D7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2.6</w:t>
            </w:r>
          </w:p>
        </w:tc>
      </w:tr>
      <w:tr w:rsidR="0094050B" w:rsidRPr="0094050B" w14:paraId="7C4362A8" w14:textId="77777777" w:rsidTr="0080630E">
        <w:tc>
          <w:tcPr>
            <w:tcW w:w="4148" w:type="dxa"/>
          </w:tcPr>
          <w:p w14:paraId="64F0B011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Beef, composite of trimmed cuts, lean only, all grades, cooked, 3 oz</w:t>
            </w:r>
          </w:p>
        </w:tc>
        <w:tc>
          <w:tcPr>
            <w:tcW w:w="4148" w:type="dxa"/>
          </w:tcPr>
          <w:p w14:paraId="009F59C4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2.5</w:t>
            </w:r>
          </w:p>
        </w:tc>
      </w:tr>
      <w:tr w:rsidR="0094050B" w:rsidRPr="0094050B" w14:paraId="2DA700A1" w14:textId="77777777" w:rsidTr="0080630E">
        <w:tc>
          <w:tcPr>
            <w:tcW w:w="4148" w:type="dxa"/>
          </w:tcPr>
          <w:p w14:paraId="402CB88D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Sardines, Atlantic, canned in oil, drained solids with bone, 3 oz </w:t>
            </w:r>
          </w:p>
        </w:tc>
        <w:tc>
          <w:tcPr>
            <w:tcW w:w="4148" w:type="dxa"/>
          </w:tcPr>
          <w:p w14:paraId="0EB0BF49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2.5</w:t>
            </w:r>
          </w:p>
        </w:tc>
      </w:tr>
      <w:tr w:rsidR="0094050B" w:rsidRPr="0094050B" w14:paraId="57BDF558" w14:textId="77777777" w:rsidTr="0080630E">
        <w:tc>
          <w:tcPr>
            <w:tcW w:w="4148" w:type="dxa"/>
          </w:tcPr>
          <w:p w14:paraId="7ACFE14C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Turkey, all classes, dark meat, roasted, 3 oz </w:t>
            </w:r>
          </w:p>
        </w:tc>
        <w:tc>
          <w:tcPr>
            <w:tcW w:w="4148" w:type="dxa"/>
          </w:tcPr>
          <w:p w14:paraId="14032563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2.0</w:t>
            </w:r>
          </w:p>
        </w:tc>
      </w:tr>
      <w:tr w:rsidR="0094050B" w:rsidRPr="0094050B" w14:paraId="4F691A05" w14:textId="77777777" w:rsidTr="0080630E">
        <w:tc>
          <w:tcPr>
            <w:tcW w:w="4148" w:type="dxa"/>
          </w:tcPr>
          <w:p w14:paraId="2D7A1B85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Lamb, domestic, composite of trimmed retail cuts, separable lean only, choice, cooked, 3 oz </w:t>
            </w:r>
          </w:p>
        </w:tc>
        <w:tc>
          <w:tcPr>
            <w:tcW w:w="4148" w:type="dxa"/>
          </w:tcPr>
          <w:p w14:paraId="407E7C08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1.7</w:t>
            </w:r>
          </w:p>
        </w:tc>
      </w:tr>
      <w:tr w:rsidR="0094050B" w:rsidRPr="0094050B" w14:paraId="100E42C8" w14:textId="77777777" w:rsidTr="0080630E">
        <w:tc>
          <w:tcPr>
            <w:tcW w:w="4148" w:type="dxa"/>
          </w:tcPr>
          <w:p w14:paraId="0E1806DD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lastRenderedPageBreak/>
              <w:t>Fish, tuna, light, canned in water, drained solids, 3 oz </w:t>
            </w:r>
          </w:p>
        </w:tc>
        <w:tc>
          <w:tcPr>
            <w:tcW w:w="4148" w:type="dxa"/>
          </w:tcPr>
          <w:p w14:paraId="4ACC05FB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1.3</w:t>
            </w:r>
          </w:p>
        </w:tc>
      </w:tr>
      <w:tr w:rsidR="0094050B" w:rsidRPr="0094050B" w14:paraId="0CCD6587" w14:textId="77777777" w:rsidTr="0080630E">
        <w:tc>
          <w:tcPr>
            <w:tcW w:w="4148" w:type="dxa"/>
          </w:tcPr>
          <w:p w14:paraId="0E24A8E8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Chicken, broiler or fryer, dark meat, roasted, 3 oz </w:t>
            </w:r>
          </w:p>
        </w:tc>
        <w:tc>
          <w:tcPr>
            <w:tcW w:w="4148" w:type="dxa"/>
          </w:tcPr>
          <w:p w14:paraId="2F70933D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1.1</w:t>
            </w:r>
          </w:p>
        </w:tc>
      </w:tr>
      <w:tr w:rsidR="0094050B" w:rsidRPr="0094050B" w14:paraId="632E6605" w14:textId="77777777" w:rsidTr="0080630E">
        <w:tc>
          <w:tcPr>
            <w:tcW w:w="4148" w:type="dxa"/>
          </w:tcPr>
          <w:p w14:paraId="3EBCA1C4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Turkey, all classes, light meat, roasted, 3 oz </w:t>
            </w:r>
          </w:p>
        </w:tc>
        <w:tc>
          <w:tcPr>
            <w:tcW w:w="4148" w:type="dxa"/>
          </w:tcPr>
          <w:p w14:paraId="6596BF1B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1.1</w:t>
            </w:r>
          </w:p>
        </w:tc>
      </w:tr>
      <w:tr w:rsidR="0094050B" w:rsidRPr="0094050B" w14:paraId="24832654" w14:textId="77777777" w:rsidTr="0080630E">
        <w:tc>
          <w:tcPr>
            <w:tcW w:w="4148" w:type="dxa"/>
          </w:tcPr>
          <w:p w14:paraId="060CA749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Veal, composite of trimmed cuts, lean only, cooked, 3 oz</w:t>
            </w:r>
          </w:p>
        </w:tc>
        <w:tc>
          <w:tcPr>
            <w:tcW w:w="4148" w:type="dxa"/>
          </w:tcPr>
          <w:p w14:paraId="2E7A4A5A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1.0</w:t>
            </w:r>
          </w:p>
        </w:tc>
      </w:tr>
      <w:tr w:rsidR="0094050B" w:rsidRPr="0094050B" w14:paraId="74633D00" w14:textId="77777777" w:rsidTr="0080630E">
        <w:tc>
          <w:tcPr>
            <w:tcW w:w="4148" w:type="dxa"/>
          </w:tcPr>
          <w:p w14:paraId="566230DE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Chicken, broiler or fryer, breast, roasted, 3 oz </w:t>
            </w:r>
          </w:p>
        </w:tc>
        <w:tc>
          <w:tcPr>
            <w:tcW w:w="4148" w:type="dxa"/>
          </w:tcPr>
          <w:p w14:paraId="0FF99203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0.9</w:t>
            </w:r>
          </w:p>
        </w:tc>
      </w:tr>
      <w:tr w:rsidR="0094050B" w:rsidRPr="0094050B" w14:paraId="110D7818" w14:textId="77777777" w:rsidTr="0080630E">
        <w:tc>
          <w:tcPr>
            <w:tcW w:w="4148" w:type="dxa"/>
          </w:tcPr>
          <w:p w14:paraId="1E2826E2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  <w:shd w:val="clear" w:color="auto" w:fill="FFFFFF"/>
              </w:rPr>
              <w:t>Fish, salmon, pink, cooked, 3 oz </w:t>
            </w:r>
          </w:p>
        </w:tc>
        <w:tc>
          <w:tcPr>
            <w:tcW w:w="4148" w:type="dxa"/>
          </w:tcPr>
          <w:p w14:paraId="05686593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212121"/>
                <w:shd w:val="clear" w:color="auto" w:fill="FFFFFF"/>
              </w:rPr>
              <w:t>0.8</w:t>
            </w:r>
          </w:p>
        </w:tc>
      </w:tr>
      <w:tr w:rsidR="0094050B" w:rsidRPr="0094050B" w14:paraId="3AB7C9B6" w14:textId="77777777" w:rsidTr="0080630E">
        <w:tc>
          <w:tcPr>
            <w:tcW w:w="8296" w:type="dxa"/>
            <w:gridSpan w:val="2"/>
            <w:vAlign w:val="bottom"/>
          </w:tcPr>
          <w:p w14:paraId="4CC4F354" w14:textId="7777777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b/>
                <w:bCs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b/>
                <w:bCs/>
                <w:color w:val="1A1A1A"/>
              </w:rPr>
              <w:t>Table food, nonheme iron</w:t>
            </w:r>
          </w:p>
        </w:tc>
      </w:tr>
      <w:tr w:rsidR="0094050B" w:rsidRPr="0094050B" w14:paraId="0F0CAA0F" w14:textId="77777777" w:rsidTr="0080630E">
        <w:tc>
          <w:tcPr>
            <w:tcW w:w="4148" w:type="dxa"/>
            <w:vAlign w:val="bottom"/>
          </w:tcPr>
          <w:p w14:paraId="37C2300C" w14:textId="5B64C4D6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Oatmeal, instant, fortified, cooked, 1 cup </w:t>
            </w:r>
          </w:p>
        </w:tc>
        <w:tc>
          <w:tcPr>
            <w:tcW w:w="4148" w:type="dxa"/>
            <w:vAlign w:val="bottom"/>
          </w:tcPr>
          <w:p w14:paraId="2FBA0989" w14:textId="25C19D9E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14.0</w:t>
            </w:r>
          </w:p>
        </w:tc>
      </w:tr>
      <w:tr w:rsidR="0094050B" w:rsidRPr="0094050B" w14:paraId="3DE0C60D" w14:textId="77777777" w:rsidTr="0080630E">
        <w:tc>
          <w:tcPr>
            <w:tcW w:w="4148" w:type="dxa"/>
            <w:vAlign w:val="bottom"/>
          </w:tcPr>
          <w:p w14:paraId="73E4BA64" w14:textId="3ED06933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Blackstrap molasses,</w:t>
            </w:r>
            <w:r w:rsidRPr="0094050B">
              <w:rPr>
                <w:rFonts w:asciiTheme="majorBidi" w:hAnsiTheme="majorBidi" w:cstheme="majorBidi"/>
                <w:color w:val="1A1A1A"/>
                <w:vertAlign w:val="superscript"/>
              </w:rPr>
              <w:t>a</w:t>
            </w:r>
            <w:r w:rsidRPr="0094050B">
              <w:rPr>
                <w:rStyle w:val="apple-converted-space"/>
                <w:rFonts w:asciiTheme="majorBidi" w:hAnsiTheme="majorBidi" w:cstheme="majorBidi"/>
                <w:color w:val="1A1A1A"/>
              </w:rPr>
              <w:t> </w:t>
            </w:r>
            <w:r w:rsidRPr="0094050B">
              <w:rPr>
                <w:rFonts w:asciiTheme="majorBidi" w:hAnsiTheme="majorBidi" w:cstheme="majorBidi"/>
                <w:color w:val="1A1A1A"/>
              </w:rPr>
              <w:t>2 tbsp </w:t>
            </w:r>
          </w:p>
        </w:tc>
        <w:tc>
          <w:tcPr>
            <w:tcW w:w="4148" w:type="dxa"/>
            <w:vAlign w:val="bottom"/>
          </w:tcPr>
          <w:p w14:paraId="28CF9055" w14:textId="0FC876C4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7.4</w:t>
            </w:r>
          </w:p>
        </w:tc>
      </w:tr>
      <w:tr w:rsidR="0094050B" w:rsidRPr="0094050B" w14:paraId="6B80E4DC" w14:textId="77777777" w:rsidTr="0080630E">
        <w:tc>
          <w:tcPr>
            <w:tcW w:w="4148" w:type="dxa"/>
            <w:vAlign w:val="bottom"/>
          </w:tcPr>
          <w:p w14:paraId="731AAAE6" w14:textId="370F0DC8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Tofu, raw, regular, ½ cup </w:t>
            </w:r>
          </w:p>
        </w:tc>
        <w:tc>
          <w:tcPr>
            <w:tcW w:w="4148" w:type="dxa"/>
            <w:vAlign w:val="bottom"/>
          </w:tcPr>
          <w:p w14:paraId="611B3303" w14:textId="1880F1CE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6.7</w:t>
            </w:r>
          </w:p>
        </w:tc>
      </w:tr>
      <w:tr w:rsidR="0094050B" w:rsidRPr="0094050B" w14:paraId="53CC1D13" w14:textId="77777777" w:rsidTr="0080630E">
        <w:tc>
          <w:tcPr>
            <w:tcW w:w="4148" w:type="dxa"/>
            <w:vAlign w:val="bottom"/>
          </w:tcPr>
          <w:p w14:paraId="4AD8C5E8" w14:textId="635BDCE0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Wheat germ, toasted, ½ cup </w:t>
            </w:r>
          </w:p>
        </w:tc>
        <w:tc>
          <w:tcPr>
            <w:tcW w:w="4148" w:type="dxa"/>
            <w:vAlign w:val="bottom"/>
          </w:tcPr>
          <w:p w14:paraId="792D2407" w14:textId="25C932F2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5.1</w:t>
            </w:r>
          </w:p>
        </w:tc>
      </w:tr>
      <w:tr w:rsidR="0094050B" w:rsidRPr="0094050B" w14:paraId="4290BD65" w14:textId="77777777" w:rsidTr="0080630E">
        <w:tc>
          <w:tcPr>
            <w:tcW w:w="4148" w:type="dxa"/>
            <w:vAlign w:val="bottom"/>
          </w:tcPr>
          <w:p w14:paraId="58843765" w14:textId="7294731A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Ready-to-eat cereal, fortified at different levels, 1 cup </w:t>
            </w:r>
          </w:p>
        </w:tc>
        <w:tc>
          <w:tcPr>
            <w:tcW w:w="4148" w:type="dxa"/>
            <w:vAlign w:val="bottom"/>
          </w:tcPr>
          <w:p w14:paraId="634E0132" w14:textId="32B42FDA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="Cambria Math" w:hAnsi="Cambria Math" w:cs="Cambria Math"/>
                <w:color w:val="1A1A1A"/>
              </w:rPr>
              <w:t>∼</w:t>
            </w:r>
            <w:r w:rsidRPr="0094050B">
              <w:rPr>
                <w:rFonts w:asciiTheme="majorBidi" w:hAnsiTheme="majorBidi" w:cstheme="majorBidi"/>
                <w:color w:val="1A1A1A"/>
              </w:rPr>
              <w:t>4.5 to 18</w:t>
            </w:r>
          </w:p>
        </w:tc>
      </w:tr>
      <w:tr w:rsidR="0094050B" w:rsidRPr="0094050B" w14:paraId="5D9FA354" w14:textId="77777777" w:rsidTr="0080630E">
        <w:tc>
          <w:tcPr>
            <w:tcW w:w="4148" w:type="dxa"/>
            <w:vAlign w:val="bottom"/>
          </w:tcPr>
          <w:p w14:paraId="45BEAA8D" w14:textId="4DC7FF34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Soybeans, mature seeds, cooked, boiled, ½ cup </w:t>
            </w:r>
          </w:p>
        </w:tc>
        <w:tc>
          <w:tcPr>
            <w:tcW w:w="4148" w:type="dxa"/>
            <w:vAlign w:val="bottom"/>
          </w:tcPr>
          <w:p w14:paraId="3EA1BB6A" w14:textId="459C920A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4.4</w:t>
            </w:r>
          </w:p>
        </w:tc>
      </w:tr>
      <w:tr w:rsidR="0094050B" w:rsidRPr="0094050B" w14:paraId="6D9E96A4" w14:textId="77777777" w:rsidTr="0080630E">
        <w:tc>
          <w:tcPr>
            <w:tcW w:w="4148" w:type="dxa"/>
            <w:vAlign w:val="bottom"/>
          </w:tcPr>
          <w:p w14:paraId="5049B4D7" w14:textId="13CC4DC2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Apricots, dehydrated (low-moisture), uncooked, ½ cup </w:t>
            </w:r>
          </w:p>
        </w:tc>
        <w:tc>
          <w:tcPr>
            <w:tcW w:w="4148" w:type="dxa"/>
            <w:vAlign w:val="bottom"/>
          </w:tcPr>
          <w:p w14:paraId="36AB8874" w14:textId="229B6D4A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3.8</w:t>
            </w:r>
          </w:p>
        </w:tc>
      </w:tr>
      <w:tr w:rsidR="0094050B" w:rsidRPr="0094050B" w14:paraId="0B33C37D" w14:textId="77777777" w:rsidTr="0080630E">
        <w:tc>
          <w:tcPr>
            <w:tcW w:w="4148" w:type="dxa"/>
            <w:vAlign w:val="bottom"/>
          </w:tcPr>
          <w:p w14:paraId="7805FCDF" w14:textId="6BBBBAE2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Sunflower seeds, dried, ½ cup </w:t>
            </w:r>
          </w:p>
        </w:tc>
        <w:tc>
          <w:tcPr>
            <w:tcW w:w="4148" w:type="dxa"/>
            <w:vAlign w:val="bottom"/>
          </w:tcPr>
          <w:p w14:paraId="18C2FB6A" w14:textId="3FBC79B0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3.7</w:t>
            </w:r>
          </w:p>
        </w:tc>
      </w:tr>
      <w:tr w:rsidR="0094050B" w:rsidRPr="0094050B" w14:paraId="69D2B077" w14:textId="77777777" w:rsidTr="0080630E">
        <w:tc>
          <w:tcPr>
            <w:tcW w:w="4148" w:type="dxa"/>
            <w:vAlign w:val="bottom"/>
          </w:tcPr>
          <w:p w14:paraId="5BDF4BCE" w14:textId="738EAEA4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Lentils, mature seeds, cooked, ½ cup </w:t>
            </w:r>
          </w:p>
        </w:tc>
        <w:tc>
          <w:tcPr>
            <w:tcW w:w="4148" w:type="dxa"/>
            <w:vAlign w:val="bottom"/>
          </w:tcPr>
          <w:p w14:paraId="206BFCEC" w14:textId="3C952B8E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3.3</w:t>
            </w:r>
          </w:p>
        </w:tc>
      </w:tr>
      <w:tr w:rsidR="0094050B" w:rsidRPr="0094050B" w14:paraId="5D3B01C4" w14:textId="77777777" w:rsidTr="0080630E">
        <w:tc>
          <w:tcPr>
            <w:tcW w:w="4148" w:type="dxa"/>
            <w:vAlign w:val="bottom"/>
          </w:tcPr>
          <w:p w14:paraId="52C8B10D" w14:textId="6A04276D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Spinach, cooked, boiled, drained, ½ cup </w:t>
            </w:r>
          </w:p>
        </w:tc>
        <w:tc>
          <w:tcPr>
            <w:tcW w:w="4148" w:type="dxa"/>
            <w:vAlign w:val="bottom"/>
          </w:tcPr>
          <w:p w14:paraId="783D282B" w14:textId="41B4BF8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3.2</w:t>
            </w:r>
          </w:p>
        </w:tc>
      </w:tr>
      <w:tr w:rsidR="0094050B" w:rsidRPr="0094050B" w14:paraId="5449941B" w14:textId="77777777" w:rsidTr="0080630E">
        <w:tc>
          <w:tcPr>
            <w:tcW w:w="4148" w:type="dxa"/>
            <w:vAlign w:val="bottom"/>
          </w:tcPr>
          <w:p w14:paraId="3BBF97B1" w14:textId="4264F082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Chickpeas, mature seeds, cooked, ½ cup </w:t>
            </w:r>
          </w:p>
        </w:tc>
        <w:tc>
          <w:tcPr>
            <w:tcW w:w="4148" w:type="dxa"/>
            <w:vAlign w:val="bottom"/>
          </w:tcPr>
          <w:p w14:paraId="402B32D3" w14:textId="4E2468D2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2.4</w:t>
            </w:r>
          </w:p>
        </w:tc>
      </w:tr>
      <w:tr w:rsidR="0094050B" w:rsidRPr="0094050B" w14:paraId="5F2DB121" w14:textId="77777777" w:rsidTr="0080630E">
        <w:tc>
          <w:tcPr>
            <w:tcW w:w="4148" w:type="dxa"/>
            <w:vAlign w:val="bottom"/>
          </w:tcPr>
          <w:p w14:paraId="25C3A647" w14:textId="55B25CEA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Prunes, dehydrated (low-moisture), uncooked, ½ cup </w:t>
            </w:r>
          </w:p>
        </w:tc>
        <w:tc>
          <w:tcPr>
            <w:tcW w:w="4148" w:type="dxa"/>
            <w:vAlign w:val="bottom"/>
          </w:tcPr>
          <w:p w14:paraId="5DCEBCCB" w14:textId="65D624C4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2.3</w:t>
            </w:r>
          </w:p>
        </w:tc>
      </w:tr>
      <w:tr w:rsidR="0094050B" w:rsidRPr="0094050B" w14:paraId="3EF028E5" w14:textId="77777777" w:rsidTr="0080630E">
        <w:tc>
          <w:tcPr>
            <w:tcW w:w="4148" w:type="dxa"/>
            <w:vAlign w:val="bottom"/>
          </w:tcPr>
          <w:p w14:paraId="76F122B7" w14:textId="017BF9E1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Lima beans, large, mature seeds, cooked, ½ cup </w:t>
            </w:r>
          </w:p>
        </w:tc>
        <w:tc>
          <w:tcPr>
            <w:tcW w:w="4148" w:type="dxa"/>
            <w:vAlign w:val="bottom"/>
          </w:tcPr>
          <w:p w14:paraId="1BCDBD9E" w14:textId="634D634B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2.2</w:t>
            </w:r>
          </w:p>
        </w:tc>
      </w:tr>
      <w:tr w:rsidR="0094050B" w:rsidRPr="0094050B" w14:paraId="119E20EC" w14:textId="77777777" w:rsidTr="0080630E">
        <w:tc>
          <w:tcPr>
            <w:tcW w:w="4148" w:type="dxa"/>
            <w:vAlign w:val="bottom"/>
          </w:tcPr>
          <w:p w14:paraId="1E5DB282" w14:textId="230BF622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Navy beans, mature seeds, cooked, ½ cup </w:t>
            </w:r>
          </w:p>
        </w:tc>
        <w:tc>
          <w:tcPr>
            <w:tcW w:w="4148" w:type="dxa"/>
            <w:vAlign w:val="bottom"/>
          </w:tcPr>
          <w:p w14:paraId="0B95EC7D" w14:textId="2AE72A42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2.2</w:t>
            </w:r>
          </w:p>
        </w:tc>
      </w:tr>
      <w:tr w:rsidR="0094050B" w:rsidRPr="0094050B" w14:paraId="0638BF12" w14:textId="77777777" w:rsidTr="0080630E">
        <w:tc>
          <w:tcPr>
            <w:tcW w:w="4148" w:type="dxa"/>
            <w:vAlign w:val="bottom"/>
          </w:tcPr>
          <w:p w14:paraId="7A61C955" w14:textId="789DA4D0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Kidney beans, all types, mature seeds, cooked, ½ cup </w:t>
            </w:r>
          </w:p>
        </w:tc>
        <w:tc>
          <w:tcPr>
            <w:tcW w:w="4148" w:type="dxa"/>
            <w:vAlign w:val="bottom"/>
          </w:tcPr>
          <w:p w14:paraId="1475CCA6" w14:textId="014D030B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2.0</w:t>
            </w:r>
          </w:p>
        </w:tc>
      </w:tr>
      <w:tr w:rsidR="0094050B" w:rsidRPr="0094050B" w14:paraId="2144D3DF" w14:textId="77777777" w:rsidTr="0080630E">
        <w:tc>
          <w:tcPr>
            <w:tcW w:w="4148" w:type="dxa"/>
            <w:vAlign w:val="bottom"/>
          </w:tcPr>
          <w:p w14:paraId="4A06C2F2" w14:textId="5D9607CA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Molasses, 2 tbsp </w:t>
            </w:r>
          </w:p>
        </w:tc>
        <w:tc>
          <w:tcPr>
            <w:tcW w:w="4148" w:type="dxa"/>
            <w:vAlign w:val="bottom"/>
          </w:tcPr>
          <w:p w14:paraId="00719A9B" w14:textId="027A610A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1.9</w:t>
            </w:r>
          </w:p>
        </w:tc>
      </w:tr>
      <w:tr w:rsidR="0094050B" w:rsidRPr="0094050B" w14:paraId="1F590E79" w14:textId="77777777" w:rsidTr="0080630E">
        <w:tc>
          <w:tcPr>
            <w:tcW w:w="4148" w:type="dxa"/>
            <w:vAlign w:val="bottom"/>
          </w:tcPr>
          <w:p w14:paraId="6880E841" w14:textId="0DC99C7D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Pinto beans, mature seeds, cooked, ½ cup </w:t>
            </w:r>
          </w:p>
        </w:tc>
        <w:tc>
          <w:tcPr>
            <w:tcW w:w="4148" w:type="dxa"/>
            <w:vAlign w:val="bottom"/>
          </w:tcPr>
          <w:p w14:paraId="345AED94" w14:textId="2BE97E46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1.8</w:t>
            </w:r>
          </w:p>
        </w:tc>
      </w:tr>
      <w:tr w:rsidR="0094050B" w:rsidRPr="0094050B" w14:paraId="1A012590" w14:textId="77777777" w:rsidTr="0080630E">
        <w:tc>
          <w:tcPr>
            <w:tcW w:w="4148" w:type="dxa"/>
            <w:vAlign w:val="bottom"/>
          </w:tcPr>
          <w:p w14:paraId="368D0B47" w14:textId="0B11C5C3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Raisins, seedless, packed, ½ cup </w:t>
            </w:r>
          </w:p>
        </w:tc>
        <w:tc>
          <w:tcPr>
            <w:tcW w:w="4148" w:type="dxa"/>
            <w:vAlign w:val="bottom"/>
          </w:tcPr>
          <w:p w14:paraId="5BF67C08" w14:textId="379E06E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1.6</w:t>
            </w:r>
          </w:p>
        </w:tc>
      </w:tr>
      <w:tr w:rsidR="0094050B" w:rsidRPr="0094050B" w14:paraId="40EE8201" w14:textId="77777777" w:rsidTr="0080630E">
        <w:tc>
          <w:tcPr>
            <w:tcW w:w="4148" w:type="dxa"/>
            <w:vAlign w:val="bottom"/>
          </w:tcPr>
          <w:p w14:paraId="390AB2F2" w14:textId="4487E2CB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Prunes, dehydrated (low moisture), stewed, ½ cup </w:t>
            </w:r>
          </w:p>
        </w:tc>
        <w:tc>
          <w:tcPr>
            <w:tcW w:w="4148" w:type="dxa"/>
            <w:vAlign w:val="bottom"/>
          </w:tcPr>
          <w:p w14:paraId="6A7FB924" w14:textId="447B9157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1.6</w:t>
            </w:r>
          </w:p>
        </w:tc>
      </w:tr>
      <w:tr w:rsidR="0094050B" w:rsidRPr="0094050B" w14:paraId="6020FD4F" w14:textId="77777777" w:rsidTr="0080630E">
        <w:tc>
          <w:tcPr>
            <w:tcW w:w="4148" w:type="dxa"/>
            <w:vAlign w:val="bottom"/>
          </w:tcPr>
          <w:p w14:paraId="18FE37BB" w14:textId="77F272CC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Prune juice, canned, 4 fl oz </w:t>
            </w:r>
          </w:p>
        </w:tc>
        <w:tc>
          <w:tcPr>
            <w:tcW w:w="4148" w:type="dxa"/>
            <w:vAlign w:val="bottom"/>
          </w:tcPr>
          <w:p w14:paraId="6BACD2D4" w14:textId="5383886D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1.5</w:t>
            </w:r>
          </w:p>
        </w:tc>
      </w:tr>
      <w:tr w:rsidR="0094050B" w:rsidRPr="0094050B" w14:paraId="219F673C" w14:textId="77777777" w:rsidTr="0080630E">
        <w:tc>
          <w:tcPr>
            <w:tcW w:w="4148" w:type="dxa"/>
            <w:vAlign w:val="bottom"/>
          </w:tcPr>
          <w:p w14:paraId="6CA2A7EC" w14:textId="02FC047F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Green peas, cooked, boiled, drain, ½ cup </w:t>
            </w:r>
          </w:p>
        </w:tc>
        <w:tc>
          <w:tcPr>
            <w:tcW w:w="4148" w:type="dxa"/>
            <w:vAlign w:val="bottom"/>
          </w:tcPr>
          <w:p w14:paraId="3710FBFA" w14:textId="7815A4EC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1.2</w:t>
            </w:r>
          </w:p>
        </w:tc>
      </w:tr>
      <w:tr w:rsidR="0094050B" w:rsidRPr="0094050B" w14:paraId="0B239FE1" w14:textId="77777777" w:rsidTr="0080630E">
        <w:tc>
          <w:tcPr>
            <w:tcW w:w="4148" w:type="dxa"/>
            <w:vAlign w:val="bottom"/>
          </w:tcPr>
          <w:p w14:paraId="7B483239" w14:textId="561EDFCE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lastRenderedPageBreak/>
              <w:t>Enriched white rice, long-grain, regular, cooked, ½ cup </w:t>
            </w:r>
          </w:p>
        </w:tc>
        <w:tc>
          <w:tcPr>
            <w:tcW w:w="4148" w:type="dxa"/>
            <w:vAlign w:val="bottom"/>
          </w:tcPr>
          <w:p w14:paraId="1BBBB536" w14:textId="7164DE14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1.0</w:t>
            </w:r>
          </w:p>
        </w:tc>
      </w:tr>
      <w:tr w:rsidR="0094050B" w:rsidRPr="0094050B" w14:paraId="51CC6DAC" w14:textId="77777777" w:rsidTr="0080630E">
        <w:tc>
          <w:tcPr>
            <w:tcW w:w="4148" w:type="dxa"/>
            <w:vAlign w:val="bottom"/>
          </w:tcPr>
          <w:p w14:paraId="70B9243F" w14:textId="398AA17C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Whole egg, cooked (fried or poached), 1 large egg </w:t>
            </w:r>
          </w:p>
        </w:tc>
        <w:tc>
          <w:tcPr>
            <w:tcW w:w="4148" w:type="dxa"/>
            <w:vAlign w:val="bottom"/>
          </w:tcPr>
          <w:p w14:paraId="09B076DB" w14:textId="45A89821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0.9</w:t>
            </w:r>
          </w:p>
        </w:tc>
      </w:tr>
      <w:tr w:rsidR="0094050B" w:rsidRPr="0094050B" w14:paraId="7D49AF91" w14:textId="77777777" w:rsidTr="0080630E">
        <w:tc>
          <w:tcPr>
            <w:tcW w:w="4148" w:type="dxa"/>
            <w:vAlign w:val="bottom"/>
          </w:tcPr>
          <w:p w14:paraId="2A984F94" w14:textId="54238811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Enriched spaghetti, cooked, ½ cup </w:t>
            </w:r>
          </w:p>
        </w:tc>
        <w:tc>
          <w:tcPr>
            <w:tcW w:w="4148" w:type="dxa"/>
            <w:vAlign w:val="bottom"/>
          </w:tcPr>
          <w:p w14:paraId="3031B06A" w14:textId="6FE1155C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0.9</w:t>
            </w:r>
          </w:p>
        </w:tc>
      </w:tr>
      <w:tr w:rsidR="0094050B" w:rsidRPr="0094050B" w14:paraId="1E7279EE" w14:textId="77777777" w:rsidTr="0080630E">
        <w:tc>
          <w:tcPr>
            <w:tcW w:w="4148" w:type="dxa"/>
            <w:vAlign w:val="bottom"/>
          </w:tcPr>
          <w:p w14:paraId="0EE13E72" w14:textId="14D52905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White bread, commercially prepared, 1 slice </w:t>
            </w:r>
          </w:p>
        </w:tc>
        <w:tc>
          <w:tcPr>
            <w:tcW w:w="4148" w:type="dxa"/>
            <w:vAlign w:val="bottom"/>
          </w:tcPr>
          <w:p w14:paraId="72255D20" w14:textId="28FD4F6D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0.9</w:t>
            </w:r>
          </w:p>
        </w:tc>
      </w:tr>
      <w:tr w:rsidR="0094050B" w:rsidRPr="0094050B" w14:paraId="6D674AF2" w14:textId="77777777" w:rsidTr="0080630E">
        <w:tc>
          <w:tcPr>
            <w:tcW w:w="4148" w:type="dxa"/>
            <w:vAlign w:val="bottom"/>
          </w:tcPr>
          <w:p w14:paraId="28BC691E" w14:textId="66EFBE7B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Whole-wheat bread, commercially prepared, 1 slice </w:t>
            </w:r>
          </w:p>
        </w:tc>
        <w:tc>
          <w:tcPr>
            <w:tcW w:w="4148" w:type="dxa"/>
            <w:vAlign w:val="bottom"/>
          </w:tcPr>
          <w:p w14:paraId="5F196C94" w14:textId="18DCDCBF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0.7</w:t>
            </w:r>
          </w:p>
        </w:tc>
      </w:tr>
      <w:tr w:rsidR="0094050B" w:rsidRPr="0094050B" w14:paraId="65FA597F" w14:textId="77777777" w:rsidTr="0080630E">
        <w:tc>
          <w:tcPr>
            <w:tcW w:w="4148" w:type="dxa"/>
            <w:vAlign w:val="bottom"/>
          </w:tcPr>
          <w:p w14:paraId="2EB3164F" w14:textId="24334B06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Spaghetti or macaroni, whole wheat, cooked, ½ cup </w:t>
            </w:r>
          </w:p>
        </w:tc>
        <w:tc>
          <w:tcPr>
            <w:tcW w:w="4148" w:type="dxa"/>
            <w:vAlign w:val="bottom"/>
          </w:tcPr>
          <w:p w14:paraId="276B99DC" w14:textId="6C0D3E30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0.7</w:t>
            </w:r>
          </w:p>
        </w:tc>
      </w:tr>
      <w:tr w:rsidR="0094050B" w:rsidRPr="0094050B" w14:paraId="034F2186" w14:textId="77777777" w:rsidTr="0080630E">
        <w:tc>
          <w:tcPr>
            <w:tcW w:w="4148" w:type="dxa"/>
            <w:vAlign w:val="bottom"/>
          </w:tcPr>
          <w:p w14:paraId="50484F67" w14:textId="2F04706A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Peanut butter, smooth style, 2 tbsp </w:t>
            </w:r>
          </w:p>
        </w:tc>
        <w:tc>
          <w:tcPr>
            <w:tcW w:w="4148" w:type="dxa"/>
            <w:vAlign w:val="bottom"/>
          </w:tcPr>
          <w:p w14:paraId="011AFC56" w14:textId="5317971F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0.6</w:t>
            </w:r>
          </w:p>
        </w:tc>
      </w:tr>
      <w:tr w:rsidR="0094050B" w:rsidRPr="0094050B" w14:paraId="4474CB18" w14:textId="77777777" w:rsidTr="0080630E">
        <w:tc>
          <w:tcPr>
            <w:tcW w:w="4148" w:type="dxa"/>
            <w:vAlign w:val="bottom"/>
          </w:tcPr>
          <w:p w14:paraId="0DC5C097" w14:textId="66E38A92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Brown rice, medium-grain, cooked, ½ cup </w:t>
            </w:r>
          </w:p>
        </w:tc>
        <w:tc>
          <w:tcPr>
            <w:tcW w:w="4148" w:type="dxa"/>
            <w:vAlign w:val="bottom"/>
          </w:tcPr>
          <w:p w14:paraId="767A1497" w14:textId="4B0D5874" w:rsidR="0094050B" w:rsidRPr="0094050B" w:rsidRDefault="0094050B" w:rsidP="0094050B">
            <w:pPr>
              <w:jc w:val="center"/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0.5</w:t>
            </w:r>
          </w:p>
        </w:tc>
      </w:tr>
    </w:tbl>
    <w:p w14:paraId="4FA03EE5" w14:textId="77777777" w:rsidR="0094050B" w:rsidRPr="008D2139" w:rsidRDefault="0094050B" w:rsidP="0094050B">
      <w:pPr>
        <w:textAlignment w:val="baseline"/>
        <w:rPr>
          <w:rFonts w:asciiTheme="majorBidi" w:eastAsia="Times New Roman" w:hAnsiTheme="majorBidi" w:cstheme="majorBidi"/>
          <w:color w:val="1A1A1A"/>
        </w:rPr>
      </w:pPr>
      <w:r w:rsidRPr="0094050B">
        <w:rPr>
          <w:rFonts w:asciiTheme="majorBidi" w:eastAsia="Times New Roman" w:hAnsiTheme="majorBidi" w:cstheme="majorBidi"/>
          <w:color w:val="1A1A1A"/>
        </w:rPr>
        <w:t xml:space="preserve">a: </w:t>
      </w:r>
      <w:r w:rsidRPr="008D2139">
        <w:rPr>
          <w:rFonts w:asciiTheme="majorBidi" w:eastAsia="Times New Roman" w:hAnsiTheme="majorBidi" w:cstheme="majorBidi"/>
          <w:color w:val="1A1A1A"/>
        </w:rPr>
        <w:t>Source of iron value was obtained from a manufacturer of this type of molasses.</w:t>
      </w:r>
    </w:p>
    <w:p w14:paraId="5199B59A" w14:textId="77777777" w:rsidR="0094050B" w:rsidRPr="008D2139" w:rsidRDefault="0094050B" w:rsidP="0094050B">
      <w:pPr>
        <w:spacing w:beforeAutospacing="1" w:afterAutospacing="1"/>
        <w:textAlignment w:val="baseline"/>
        <w:rPr>
          <w:rFonts w:asciiTheme="majorBidi" w:eastAsia="Times New Roman" w:hAnsiTheme="majorBidi" w:cstheme="majorBidi"/>
          <w:color w:val="1A1A1A"/>
        </w:rPr>
      </w:pPr>
      <w:r w:rsidRPr="008D2139">
        <w:rPr>
          <w:rFonts w:asciiTheme="majorBidi" w:eastAsia="Times New Roman" w:hAnsiTheme="majorBidi" w:cstheme="majorBidi"/>
          <w:color w:val="1A1A1A"/>
        </w:rPr>
        <w:t>Source of iron values in foods: US Department of Agriculture, Agricultural Research Service. USDA National Nutrient Database for Standard Reference, Release 20: Nutrient Data Laboratory home page. Available at: </w:t>
      </w:r>
      <w:r w:rsidRPr="008D2139">
        <w:rPr>
          <w:rFonts w:asciiTheme="majorBidi" w:eastAsia="Times New Roman" w:hAnsiTheme="majorBidi" w:cstheme="majorBidi"/>
          <w:color w:val="1A1A1A"/>
        </w:rPr>
        <w:fldChar w:fldCharType="begin"/>
      </w:r>
      <w:r w:rsidRPr="008D2139">
        <w:rPr>
          <w:rFonts w:asciiTheme="majorBidi" w:eastAsia="Times New Roman" w:hAnsiTheme="majorBidi" w:cstheme="majorBidi"/>
          <w:color w:val="1A1A1A"/>
        </w:rPr>
        <w:instrText>HYPERLINK "http://www.ars.usda.gov/ba/bhnrc/ndl" \t "_blank"</w:instrText>
      </w:r>
      <w:r w:rsidRPr="008D2139">
        <w:rPr>
          <w:rFonts w:asciiTheme="majorBidi" w:eastAsia="Times New Roman" w:hAnsiTheme="majorBidi" w:cstheme="majorBidi"/>
          <w:color w:val="1A1A1A"/>
        </w:rPr>
      </w:r>
      <w:r w:rsidRPr="008D2139">
        <w:rPr>
          <w:rFonts w:asciiTheme="majorBidi" w:eastAsia="Times New Roman" w:hAnsiTheme="majorBidi" w:cstheme="majorBidi"/>
          <w:color w:val="1A1A1A"/>
        </w:rPr>
        <w:fldChar w:fldCharType="separate"/>
      </w:r>
      <w:r w:rsidRPr="008D2139">
        <w:rPr>
          <w:rFonts w:asciiTheme="majorBidi" w:eastAsia="Times New Roman" w:hAnsiTheme="majorBidi" w:cstheme="majorBidi"/>
          <w:color w:val="304FFE"/>
          <w:u w:val="single"/>
          <w:bdr w:val="none" w:sz="0" w:space="0" w:color="auto" w:frame="1"/>
        </w:rPr>
        <w:t>www.ars.usda.gov/ba/bhnrc/ndl</w:t>
      </w:r>
      <w:r w:rsidRPr="008D2139">
        <w:rPr>
          <w:rFonts w:asciiTheme="majorBidi" w:eastAsia="Times New Roman" w:hAnsiTheme="majorBidi" w:cstheme="majorBidi"/>
          <w:color w:val="1A1A1A"/>
        </w:rPr>
        <w:fldChar w:fldCharType="end"/>
      </w:r>
      <w:r w:rsidRPr="008D2139">
        <w:rPr>
          <w:rFonts w:asciiTheme="majorBidi" w:eastAsia="Times New Roman" w:hAnsiTheme="majorBidi" w:cstheme="majorBidi"/>
          <w:color w:val="1A1A1A"/>
        </w:rPr>
        <w:t>.</w:t>
      </w:r>
    </w:p>
    <w:p w14:paraId="10D8A9B1" w14:textId="0BCCBE91" w:rsidR="0094050B" w:rsidRPr="0094050B" w:rsidRDefault="0094050B" w:rsidP="0094050B">
      <w:pPr>
        <w:rPr>
          <w:rFonts w:asciiTheme="majorBidi" w:hAnsiTheme="majorBidi" w:cstheme="majorBidi"/>
          <w:color w:val="212121"/>
          <w:shd w:val="clear" w:color="auto" w:fill="FFFFFF"/>
          <w:lang w:val="en-US"/>
        </w:rPr>
      </w:pPr>
      <w:r w:rsidRPr="0094050B">
        <w:rPr>
          <w:rFonts w:asciiTheme="majorBidi" w:hAnsiTheme="majorBidi" w:cstheme="majorBidi"/>
          <w:color w:val="212121"/>
          <w:shd w:val="clear" w:color="auto" w:fill="FFFFFF"/>
          <w:lang w:val="en-US"/>
        </w:rPr>
        <w:t>Adapted from “</w:t>
      </w:r>
      <w:r w:rsidRPr="0094050B">
        <w:rPr>
          <w:rFonts w:asciiTheme="majorBidi" w:hAnsiTheme="majorBidi" w:cstheme="majorBidi"/>
          <w:color w:val="212121"/>
          <w:shd w:val="clear" w:color="auto" w:fill="FFFFFF"/>
        </w:rPr>
        <w:t xml:space="preserve">Baker RD, Greer </w:t>
      </w:r>
      <w:proofErr w:type="gramStart"/>
      <w:r w:rsidRPr="0094050B">
        <w:rPr>
          <w:rFonts w:asciiTheme="majorBidi" w:hAnsiTheme="majorBidi" w:cstheme="majorBidi"/>
          <w:color w:val="212121"/>
          <w:shd w:val="clear" w:color="auto" w:fill="FFFFFF"/>
        </w:rPr>
        <w:t>FR;</w:t>
      </w:r>
      <w:proofErr w:type="gramEnd"/>
      <w:r w:rsidRPr="0094050B">
        <w:rPr>
          <w:rFonts w:asciiTheme="majorBidi" w:hAnsiTheme="majorBidi" w:cstheme="majorBidi"/>
          <w:color w:val="212121"/>
          <w:shd w:val="clear" w:color="auto" w:fill="FFFFFF"/>
        </w:rPr>
        <w:t xml:space="preserve"> Committee on Nutrition American Academy of Pediatrics. Diagnosis and prevention of iron deficiency and iron-deficiency anemia in infants and young children (0-3 years of age). Pediatrics. 2010 Nov;126(5):1040-50. doi: 10.1542/peds.2010-2576. Epub 2010 Oct 5. PMID: 20923825.</w:t>
      </w:r>
      <w:r w:rsidRPr="0094050B">
        <w:rPr>
          <w:rFonts w:asciiTheme="majorBidi" w:hAnsiTheme="majorBidi" w:cstheme="majorBidi"/>
          <w:color w:val="212121"/>
          <w:shd w:val="clear" w:color="auto" w:fill="FFFFFF"/>
          <w:lang w:val="en-US"/>
        </w:rPr>
        <w:t>”</w:t>
      </w:r>
    </w:p>
    <w:p w14:paraId="57F3ED49" w14:textId="77777777" w:rsidR="0094050B" w:rsidRPr="0094050B" w:rsidRDefault="0094050B" w:rsidP="0094050B">
      <w:pPr>
        <w:pStyle w:val="Default"/>
        <w:rPr>
          <w:rFonts w:asciiTheme="majorBidi" w:hAnsiTheme="majorBidi" w:cstheme="majorBidi"/>
          <w:highlight w:val="yellow"/>
        </w:rPr>
      </w:pPr>
    </w:p>
    <w:p w14:paraId="250E8F60" w14:textId="48B77892" w:rsidR="0094050B" w:rsidRPr="0094050B" w:rsidRDefault="0094050B" w:rsidP="0094050B">
      <w:pPr>
        <w:rPr>
          <w:rFonts w:asciiTheme="majorBidi" w:hAnsiTheme="majorBidi" w:cstheme="majorBidi"/>
          <w:b/>
          <w:bCs/>
          <w:color w:val="1A1A1A"/>
          <w:shd w:val="clear" w:color="auto" w:fill="FFFFFF"/>
        </w:rPr>
      </w:pPr>
      <w:r w:rsidRPr="0094050B">
        <w:rPr>
          <w:rFonts w:asciiTheme="majorBidi" w:hAnsiTheme="majorBidi" w:cstheme="majorBidi"/>
          <w:b/>
          <w:bCs/>
          <w:color w:val="1A1A1A"/>
          <w:shd w:val="clear" w:color="auto" w:fill="FFFFFF"/>
        </w:rPr>
        <w:t xml:space="preserve">Table  </w:t>
      </w:r>
      <w:r w:rsidRPr="0094050B">
        <w:rPr>
          <w:rFonts w:asciiTheme="majorBidi" w:hAnsiTheme="majorBidi" w:cstheme="majorBidi"/>
          <w:b/>
          <w:bCs/>
          <w:color w:val="1A1A1A"/>
          <w:shd w:val="clear" w:color="auto" w:fill="FFFFFF"/>
          <w:lang w:val="en-US"/>
        </w:rPr>
        <w:t>8</w:t>
      </w:r>
      <w:r w:rsidRPr="0094050B">
        <w:rPr>
          <w:rFonts w:asciiTheme="majorBidi" w:hAnsiTheme="majorBidi" w:cstheme="majorBidi"/>
          <w:b/>
          <w:bCs/>
          <w:color w:val="1A1A1A"/>
          <w:shd w:val="clear" w:color="auto" w:fill="FFFFFF"/>
        </w:rPr>
        <w:t xml:space="preserve"> : Selected Good Vitamin C Sources to Increase Iron Absorption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4050B" w:rsidRPr="0094050B" w14:paraId="2DCF1303" w14:textId="77777777" w:rsidTr="0080630E">
        <w:tc>
          <w:tcPr>
            <w:tcW w:w="4148" w:type="dxa"/>
            <w:vAlign w:val="bottom"/>
          </w:tcPr>
          <w:p w14:paraId="3A9F13FE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Fruits </w:t>
            </w:r>
          </w:p>
        </w:tc>
        <w:tc>
          <w:tcPr>
            <w:tcW w:w="4148" w:type="dxa"/>
            <w:vAlign w:val="bottom"/>
          </w:tcPr>
          <w:p w14:paraId="03CEC102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Vegetables </w:t>
            </w:r>
          </w:p>
        </w:tc>
      </w:tr>
      <w:tr w:rsidR="0094050B" w:rsidRPr="0094050B" w14:paraId="4B5AD21D" w14:textId="77777777" w:rsidTr="0080630E">
        <w:tc>
          <w:tcPr>
            <w:tcW w:w="4148" w:type="dxa"/>
            <w:vAlign w:val="bottom"/>
          </w:tcPr>
          <w:p w14:paraId="7C193726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Citrus fruits (eg, orange, tangerine, grapefruit) </w:t>
            </w:r>
          </w:p>
        </w:tc>
        <w:tc>
          <w:tcPr>
            <w:tcW w:w="4148" w:type="dxa"/>
            <w:vAlign w:val="bottom"/>
          </w:tcPr>
          <w:p w14:paraId="6E659D92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Green, red, and yellow peppers </w:t>
            </w:r>
          </w:p>
        </w:tc>
      </w:tr>
      <w:tr w:rsidR="0094050B" w:rsidRPr="0094050B" w14:paraId="1757C76A" w14:textId="77777777" w:rsidTr="0080630E">
        <w:tc>
          <w:tcPr>
            <w:tcW w:w="4148" w:type="dxa"/>
            <w:vAlign w:val="bottom"/>
          </w:tcPr>
          <w:p w14:paraId="763B87E9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Pineapples </w:t>
            </w:r>
          </w:p>
        </w:tc>
        <w:tc>
          <w:tcPr>
            <w:tcW w:w="4148" w:type="dxa"/>
            <w:vAlign w:val="bottom"/>
          </w:tcPr>
          <w:p w14:paraId="64D9ECA1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Broccoli </w:t>
            </w:r>
          </w:p>
        </w:tc>
      </w:tr>
      <w:tr w:rsidR="0094050B" w:rsidRPr="0094050B" w14:paraId="7888D978" w14:textId="77777777" w:rsidTr="0080630E">
        <w:tc>
          <w:tcPr>
            <w:tcW w:w="4148" w:type="dxa"/>
            <w:vAlign w:val="bottom"/>
          </w:tcPr>
          <w:p w14:paraId="1D89E8B4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Fruit juices enriched with vitamin C </w:t>
            </w:r>
          </w:p>
        </w:tc>
        <w:tc>
          <w:tcPr>
            <w:tcW w:w="4148" w:type="dxa"/>
            <w:vAlign w:val="bottom"/>
          </w:tcPr>
          <w:p w14:paraId="4EB107E6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Tomatoes </w:t>
            </w:r>
          </w:p>
        </w:tc>
      </w:tr>
      <w:tr w:rsidR="0094050B" w:rsidRPr="0094050B" w14:paraId="7FAA1988" w14:textId="77777777" w:rsidTr="0080630E">
        <w:tc>
          <w:tcPr>
            <w:tcW w:w="4148" w:type="dxa"/>
            <w:vAlign w:val="bottom"/>
          </w:tcPr>
          <w:p w14:paraId="350BC568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Strawberries </w:t>
            </w:r>
          </w:p>
        </w:tc>
        <w:tc>
          <w:tcPr>
            <w:tcW w:w="4148" w:type="dxa"/>
            <w:vAlign w:val="bottom"/>
          </w:tcPr>
          <w:p w14:paraId="1FA10784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Cabbages </w:t>
            </w:r>
          </w:p>
        </w:tc>
      </w:tr>
      <w:tr w:rsidR="0094050B" w:rsidRPr="0094050B" w14:paraId="67360F53" w14:textId="77777777" w:rsidTr="0080630E">
        <w:tc>
          <w:tcPr>
            <w:tcW w:w="4148" w:type="dxa"/>
            <w:vAlign w:val="bottom"/>
          </w:tcPr>
          <w:p w14:paraId="3BA27AA8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Cantaloupe </w:t>
            </w:r>
          </w:p>
        </w:tc>
        <w:tc>
          <w:tcPr>
            <w:tcW w:w="4148" w:type="dxa"/>
            <w:vAlign w:val="bottom"/>
          </w:tcPr>
          <w:p w14:paraId="6348496F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Potatoes </w:t>
            </w:r>
          </w:p>
        </w:tc>
      </w:tr>
      <w:tr w:rsidR="0094050B" w:rsidRPr="0094050B" w14:paraId="681947BE" w14:textId="77777777" w:rsidTr="0080630E">
        <w:tc>
          <w:tcPr>
            <w:tcW w:w="4148" w:type="dxa"/>
            <w:vAlign w:val="bottom"/>
          </w:tcPr>
          <w:p w14:paraId="1FF6C17D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Kiwifruit </w:t>
            </w:r>
          </w:p>
        </w:tc>
        <w:tc>
          <w:tcPr>
            <w:tcW w:w="4148" w:type="dxa"/>
            <w:vAlign w:val="bottom"/>
          </w:tcPr>
          <w:p w14:paraId="5869A62F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Leafy green vegetables </w:t>
            </w:r>
          </w:p>
        </w:tc>
      </w:tr>
      <w:tr w:rsidR="0094050B" w:rsidRPr="0094050B" w14:paraId="122F228B" w14:textId="77777777" w:rsidTr="0080630E">
        <w:tc>
          <w:tcPr>
            <w:tcW w:w="4148" w:type="dxa"/>
            <w:vAlign w:val="bottom"/>
          </w:tcPr>
          <w:p w14:paraId="2CE228BB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Raspberries </w:t>
            </w:r>
          </w:p>
        </w:tc>
        <w:tc>
          <w:tcPr>
            <w:tcW w:w="4148" w:type="dxa"/>
            <w:vAlign w:val="bottom"/>
          </w:tcPr>
          <w:p w14:paraId="7B414634" w14:textId="77777777" w:rsidR="0094050B" w:rsidRPr="0094050B" w:rsidRDefault="0094050B" w:rsidP="0080630E">
            <w:pPr>
              <w:rPr>
                <w:rFonts w:asciiTheme="majorBidi" w:hAnsiTheme="majorBidi" w:cstheme="majorBidi"/>
                <w:color w:val="212121"/>
                <w:shd w:val="clear" w:color="auto" w:fill="FFFFFF"/>
              </w:rPr>
            </w:pPr>
            <w:r w:rsidRPr="0094050B">
              <w:rPr>
                <w:rFonts w:asciiTheme="majorBidi" w:hAnsiTheme="majorBidi" w:cstheme="majorBidi"/>
                <w:color w:val="1A1A1A"/>
              </w:rPr>
              <w:t>Cauliflower </w:t>
            </w:r>
          </w:p>
        </w:tc>
      </w:tr>
    </w:tbl>
    <w:p w14:paraId="354CE652" w14:textId="77777777" w:rsidR="0094050B" w:rsidRPr="0094050B" w:rsidRDefault="0094050B" w:rsidP="0094050B">
      <w:pPr>
        <w:rPr>
          <w:rFonts w:asciiTheme="majorBidi" w:hAnsiTheme="majorBidi" w:cstheme="majorBidi"/>
          <w:color w:val="212121"/>
          <w:shd w:val="clear" w:color="auto" w:fill="FFFFFF"/>
        </w:rPr>
      </w:pPr>
    </w:p>
    <w:p w14:paraId="4FE15FA2" w14:textId="27B92585" w:rsidR="0094050B" w:rsidRPr="0094050B" w:rsidRDefault="0094050B" w:rsidP="0094050B">
      <w:pPr>
        <w:rPr>
          <w:rFonts w:asciiTheme="majorBidi" w:hAnsiTheme="majorBidi" w:cstheme="majorBidi"/>
          <w:color w:val="212121"/>
          <w:shd w:val="clear" w:color="auto" w:fill="FFFFFF"/>
        </w:rPr>
      </w:pPr>
      <w:r w:rsidRPr="0094050B">
        <w:rPr>
          <w:rFonts w:asciiTheme="majorBidi" w:hAnsiTheme="majorBidi" w:cstheme="majorBidi"/>
          <w:color w:val="212121"/>
          <w:shd w:val="clear" w:color="auto" w:fill="FFFFFF"/>
        </w:rPr>
        <w:t>Baker RD, Greer FR; Committee on Nutrition American Academy of Pediatrics. Diagnosis and prevention of iron deficiency and iron-deficiency anemia in infants and young children (0-3 years of age). Pediatrics. 2010 Nov;126(5):1040-50. doi: 10.1542/peds.2010-2576. Epub 2010 Oct 5. PMID: 20923825.</w:t>
      </w:r>
    </w:p>
    <w:p w14:paraId="2D17E1B2" w14:textId="1B2CBC49" w:rsidR="0094050B" w:rsidRPr="0094050B" w:rsidRDefault="0094050B" w:rsidP="0094050B">
      <w:pPr>
        <w:pStyle w:val="NormalWeb"/>
        <w:contextualSpacing/>
        <w:rPr>
          <w:rFonts w:asciiTheme="majorBidi" w:hAnsiTheme="majorBidi" w:cstheme="majorBidi"/>
          <w:b/>
          <w:bCs/>
        </w:rPr>
      </w:pPr>
      <w:r w:rsidRPr="0094050B">
        <w:rPr>
          <w:rFonts w:asciiTheme="majorBidi" w:hAnsiTheme="majorBidi" w:cstheme="majorBidi"/>
          <w:b/>
          <w:bCs/>
        </w:rPr>
        <w:t xml:space="preserve">Table </w:t>
      </w:r>
      <w:r w:rsidRPr="0094050B">
        <w:rPr>
          <w:rFonts w:asciiTheme="majorBidi" w:hAnsiTheme="majorBidi" w:cstheme="majorBidi"/>
          <w:b/>
          <w:bCs/>
          <w:lang w:val="en-US"/>
        </w:rPr>
        <w:t xml:space="preserve">9: </w:t>
      </w:r>
      <w:r w:rsidRPr="0094050B">
        <w:rPr>
          <w:rFonts w:asciiTheme="majorBidi" w:hAnsiTheme="majorBidi" w:cstheme="majorBidi"/>
          <w:b/>
          <w:bCs/>
        </w:rPr>
        <w:t xml:space="preserve">Plant foods that reduce iron absorption.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4050B" w:rsidRPr="0094050B" w14:paraId="344204B0" w14:textId="77777777" w:rsidTr="0080630E">
        <w:tc>
          <w:tcPr>
            <w:tcW w:w="4148" w:type="dxa"/>
          </w:tcPr>
          <w:p w14:paraId="083A3FAF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t xml:space="preserve">Oxalate-rich foods </w:t>
            </w:r>
          </w:p>
          <w:p w14:paraId="3DA9E422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4148" w:type="dxa"/>
          </w:tcPr>
          <w:p w14:paraId="39A1B1BC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lang w:val="en-US"/>
              </w:rPr>
              <w:t>B</w:t>
            </w:r>
            <w:r w:rsidRPr="0094050B">
              <w:rPr>
                <w:rFonts w:asciiTheme="majorBidi" w:hAnsiTheme="majorBidi" w:cstheme="majorBidi"/>
              </w:rPr>
              <w:t>everages: Coffee, tea (especially black tea)</w:t>
            </w:r>
          </w:p>
          <w:p w14:paraId="0B2C5AC8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Cereals: Wheat bran </w:t>
            </w:r>
          </w:p>
          <w:p w14:paraId="3FA36A32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Chocolate </w:t>
            </w:r>
          </w:p>
          <w:p w14:paraId="7B2DDB33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lastRenderedPageBreak/>
              <w:t xml:space="preserve">Fruits: Strawberries </w:t>
            </w:r>
          </w:p>
          <w:p w14:paraId="293F27F8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Herbs: Rhubarb, oregano, basil, parsley </w:t>
            </w:r>
          </w:p>
          <w:p w14:paraId="76ED12E8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Vegetables: Beans, beets (roots and leaves), </w:t>
            </w:r>
          </w:p>
          <w:p w14:paraId="7FFB48DC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celery, s</w:t>
            </w:r>
            <w:proofErr w:type="spellStart"/>
            <w:r w:rsidRPr="0094050B">
              <w:rPr>
                <w:rFonts w:asciiTheme="majorBidi" w:hAnsiTheme="majorBidi" w:cstheme="majorBidi"/>
                <w:lang w:val="en-US"/>
              </w:rPr>
              <w:t>pinach</w:t>
            </w:r>
            <w:proofErr w:type="spellEnd"/>
            <w:r w:rsidRPr="0094050B">
              <w:rPr>
                <w:rFonts w:asciiTheme="majorBidi" w:hAnsiTheme="majorBidi" w:cstheme="majorBidi"/>
                <w:lang w:val="en-US"/>
              </w:rPr>
              <w:t>, kale</w:t>
            </w:r>
            <w:r w:rsidRPr="0094050B">
              <w:rPr>
                <w:rFonts w:asciiTheme="majorBidi" w:hAnsiTheme="majorBidi" w:cstheme="majorBidi"/>
              </w:rPr>
              <w:t xml:space="preserve"> </w:t>
            </w:r>
          </w:p>
          <w:p w14:paraId="6627266B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Nuts: Peanuts</w:t>
            </w:r>
          </w:p>
          <w:p w14:paraId="06F9B283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Oilseeds: Soybeans </w:t>
            </w:r>
          </w:p>
        </w:tc>
      </w:tr>
      <w:tr w:rsidR="0094050B" w:rsidRPr="0094050B" w14:paraId="05F51F46" w14:textId="77777777" w:rsidTr="0080630E">
        <w:tc>
          <w:tcPr>
            <w:tcW w:w="4148" w:type="dxa"/>
          </w:tcPr>
          <w:p w14:paraId="63BA9725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lastRenderedPageBreak/>
              <w:t xml:space="preserve">Polyphenol-rich foods </w:t>
            </w:r>
          </w:p>
          <w:p w14:paraId="08456406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4148" w:type="dxa"/>
          </w:tcPr>
          <w:p w14:paraId="691AFE23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Beverages: Coffee, </w:t>
            </w:r>
            <w:r w:rsidRPr="0094050B">
              <w:rPr>
                <w:rFonts w:asciiTheme="majorBidi" w:hAnsiTheme="majorBidi" w:cstheme="majorBidi"/>
                <w:lang w:val="en-US"/>
              </w:rPr>
              <w:t>green tea, black tea, r</w:t>
            </w:r>
            <w:r w:rsidRPr="0094050B">
              <w:rPr>
                <w:rFonts w:asciiTheme="majorBidi" w:hAnsiTheme="majorBidi" w:cstheme="majorBidi"/>
              </w:rPr>
              <w:t>ed wine, cider</w:t>
            </w:r>
            <w:r w:rsidRPr="0094050B">
              <w:rPr>
                <w:rFonts w:asciiTheme="majorBidi" w:hAnsiTheme="majorBidi" w:cstheme="majorBidi"/>
              </w:rPr>
              <w:br/>
            </w:r>
            <w:r w:rsidRPr="0094050B">
              <w:rPr>
                <w:rFonts w:asciiTheme="majorBidi" w:hAnsiTheme="majorBidi" w:cstheme="majorBidi"/>
                <w:shd w:val="clear" w:color="auto" w:fill="FFFFFF"/>
              </w:rPr>
              <w:t>Cereals: Corn, wheat, rice, oat</w:t>
            </w:r>
            <w:r w:rsidRPr="0094050B">
              <w:rPr>
                <w:rFonts w:asciiTheme="majorBidi" w:hAnsiTheme="majorBidi" w:cstheme="majorBidi"/>
                <w:shd w:val="clear" w:color="auto" w:fill="FFFFFF"/>
              </w:rPr>
              <w:br/>
            </w:r>
            <w:r w:rsidRPr="0094050B">
              <w:rPr>
                <w:rFonts w:asciiTheme="majorBidi" w:hAnsiTheme="majorBidi" w:cstheme="majorBidi"/>
              </w:rPr>
              <w:t xml:space="preserve">Cocoa </w:t>
            </w:r>
          </w:p>
          <w:p w14:paraId="4B947B40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Apples, blackberries, raspberries, blueberries, black currant, strawberry, kiwi, cherry, plum, pear, apricot, peach, black </w:t>
            </w:r>
          </w:p>
          <w:p w14:paraId="1A492DBB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lang w:val="en-US"/>
              </w:rPr>
              <w:t xml:space="preserve">Fruits: </w:t>
            </w:r>
            <w:r w:rsidRPr="0094050B">
              <w:rPr>
                <w:rFonts w:asciiTheme="majorBidi" w:hAnsiTheme="majorBidi" w:cstheme="majorBidi"/>
              </w:rPr>
              <w:t xml:space="preserve">grape, red grape </w:t>
            </w:r>
          </w:p>
          <w:p w14:paraId="046C0C7E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Herbs: Rhubarb, peppermint, parsley </w:t>
            </w:r>
          </w:p>
          <w:p w14:paraId="40280209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Vegetables: Potato, red cabbage, yellow onion, tomato, broccoli, beans, green or white, chicory, artichoke, curly kale, leek, celery, capsicum pepper Nuts: Walnuts </w:t>
            </w:r>
          </w:p>
          <w:p w14:paraId="59E2D8F4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Oilseeds: Soybeans </w:t>
            </w:r>
          </w:p>
          <w:p w14:paraId="6EA9DFA1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Spices </w:t>
            </w:r>
          </w:p>
        </w:tc>
      </w:tr>
      <w:tr w:rsidR="0094050B" w:rsidRPr="0094050B" w14:paraId="61F5BF68" w14:textId="77777777" w:rsidTr="0080630E">
        <w:tc>
          <w:tcPr>
            <w:tcW w:w="4148" w:type="dxa"/>
          </w:tcPr>
          <w:p w14:paraId="27BD769B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t xml:space="preserve">Phytate-rich foods </w:t>
            </w:r>
          </w:p>
          <w:p w14:paraId="2A7BD84D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4148" w:type="dxa"/>
          </w:tcPr>
          <w:p w14:paraId="6C25BA17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Cereals: Wheat, oats, rice, corn (maize), barley, sorghum, rye, millet, soybean </w:t>
            </w:r>
          </w:p>
          <w:p w14:paraId="7E61066D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Nuts: Walnuts, peanuts, nuts </w:t>
            </w:r>
          </w:p>
          <w:p w14:paraId="6B409063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Oilseeds: Soybeans, linseed, sesame seed, sunflower meal </w:t>
            </w:r>
          </w:p>
          <w:p w14:paraId="26F00B7F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Vegetables: Dried beans, lentils, peas, chickpeas </w:t>
            </w:r>
          </w:p>
        </w:tc>
      </w:tr>
      <w:tr w:rsidR="0094050B" w:rsidRPr="0094050B" w14:paraId="7A5CAB7C" w14:textId="77777777" w:rsidTr="0080630E">
        <w:tc>
          <w:tcPr>
            <w:tcW w:w="4148" w:type="dxa"/>
          </w:tcPr>
          <w:p w14:paraId="2BBCE26F" w14:textId="77777777" w:rsidR="0094050B" w:rsidRPr="0094050B" w:rsidRDefault="0094050B" w:rsidP="0080630E">
            <w:pPr>
              <w:pStyle w:val="NormalWeb"/>
              <w:contextualSpacing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  <w:b/>
                <w:bCs/>
              </w:rPr>
              <w:t xml:space="preserve">Calcium-rich foods </w:t>
            </w:r>
          </w:p>
          <w:p w14:paraId="08477426" w14:textId="77777777" w:rsidR="0094050B" w:rsidRPr="0094050B" w:rsidRDefault="0094050B" w:rsidP="0080630E">
            <w:pPr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4148" w:type="dxa"/>
          </w:tcPr>
          <w:p w14:paraId="383F95A5" w14:textId="77777777" w:rsidR="0094050B" w:rsidRPr="0094050B" w:rsidRDefault="0094050B" w:rsidP="0080630E">
            <w:pPr>
              <w:pStyle w:val="NormalWeb"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>Fruits: Figs</w:t>
            </w:r>
            <w:r w:rsidRPr="0094050B">
              <w:rPr>
                <w:rFonts w:asciiTheme="majorBidi" w:hAnsiTheme="majorBidi" w:cstheme="majorBidi"/>
              </w:rPr>
              <w:br/>
              <w:t>Herbs: Rhubarb</w:t>
            </w:r>
            <w:r w:rsidRPr="0094050B">
              <w:rPr>
                <w:rFonts w:asciiTheme="majorBidi" w:hAnsiTheme="majorBidi" w:cstheme="majorBidi"/>
              </w:rPr>
              <w:br/>
              <w:t>Nuts: Almonds</w:t>
            </w:r>
            <w:r w:rsidRPr="0094050B">
              <w:rPr>
                <w:rFonts w:asciiTheme="majorBidi" w:hAnsiTheme="majorBidi" w:cstheme="majorBidi"/>
              </w:rPr>
              <w:br/>
              <w:t>Oilseeds: Soya beans</w:t>
            </w:r>
            <w:r w:rsidRPr="0094050B">
              <w:rPr>
                <w:rFonts w:asciiTheme="majorBidi" w:hAnsiTheme="majorBidi" w:cstheme="majorBidi"/>
              </w:rPr>
              <w:br/>
              <w:t xml:space="preserve">Vegetables: Broccoli, cabbage, okra, turnip greens, beans, kale </w:t>
            </w:r>
          </w:p>
        </w:tc>
      </w:tr>
    </w:tbl>
    <w:p w14:paraId="638502E8" w14:textId="77777777" w:rsidR="0094050B" w:rsidRDefault="0094050B" w:rsidP="0094050B">
      <w:pPr>
        <w:rPr>
          <w:rFonts w:ascii="Segoe UI" w:hAnsi="Segoe UI" w:cs="Segoe UI"/>
          <w:color w:val="212121"/>
          <w:shd w:val="clear" w:color="auto" w:fill="FFFFFF"/>
        </w:rPr>
      </w:pPr>
      <w:r>
        <w:rPr>
          <w:rFonts w:ascii="Segoe UI" w:hAnsi="Segoe UI" w:cs="Segoe UI"/>
          <w:color w:val="212121"/>
          <w:shd w:val="clear" w:color="auto" w:fill="FFFFFF"/>
        </w:rPr>
        <w:t>Mantadakis E, Chatzimichael E, Zikidou P. Iron Deficiency Anemia in Children Residing in High and Low-Income Countries: Risk Factors, Prevention, Diagnosis and Therapy. Mediterr J Hematol Infect Dis. 2020 Jul 1;12(1):e2020041. doi: 10.4084/MJHID.2020.041. PMID: 32670519; PMCID: PMC7340216.</w:t>
      </w:r>
    </w:p>
    <w:p w14:paraId="502BBE5D" w14:textId="77777777" w:rsidR="0094050B" w:rsidRPr="0094050B" w:rsidRDefault="0094050B" w:rsidP="0094050B">
      <w:pPr>
        <w:contextualSpacing/>
        <w:rPr>
          <w:rFonts w:asciiTheme="majorBidi" w:hAnsiTheme="majorBidi" w:cstheme="majorBidi"/>
        </w:rPr>
      </w:pPr>
    </w:p>
    <w:p w14:paraId="2C005D78" w14:textId="77777777" w:rsidR="0094050B" w:rsidRPr="0094050B" w:rsidRDefault="0094050B" w:rsidP="0094050B">
      <w:pPr>
        <w:pStyle w:val="Default"/>
        <w:rPr>
          <w:rFonts w:asciiTheme="majorBidi" w:hAnsiTheme="majorBidi" w:cstheme="majorBidi"/>
          <w:highlight w:val="yellow"/>
        </w:rPr>
      </w:pPr>
    </w:p>
    <w:p w14:paraId="44F404DB" w14:textId="6E2ABCC6" w:rsidR="0094050B" w:rsidRPr="0094050B" w:rsidRDefault="0094050B" w:rsidP="0094050B">
      <w:pPr>
        <w:pStyle w:val="Default"/>
        <w:rPr>
          <w:rFonts w:asciiTheme="majorBidi" w:hAnsiTheme="majorBidi" w:cstheme="majorBidi"/>
          <w:b/>
          <w:bCs/>
        </w:rPr>
      </w:pPr>
      <w:r w:rsidRPr="0094050B">
        <w:rPr>
          <w:rFonts w:asciiTheme="majorBidi" w:hAnsiTheme="majorBidi" w:cstheme="majorBidi"/>
          <w:b/>
          <w:bCs/>
        </w:rPr>
        <w:t xml:space="preserve"> Table 10: </w:t>
      </w:r>
      <w:r w:rsidRPr="0094050B">
        <w:rPr>
          <w:rFonts w:asciiTheme="majorBidi" w:hAnsiTheme="majorBidi" w:cstheme="majorBidi"/>
          <w:b/>
          <w:bCs/>
        </w:rPr>
        <w:t>TIPS FOR OPTIMIZING ORAL IRON THERAPY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94050B" w:rsidRPr="0094050B" w14:paraId="246E8B38" w14:textId="77777777" w:rsidTr="0080630E">
        <w:tc>
          <w:tcPr>
            <w:tcW w:w="8296" w:type="dxa"/>
          </w:tcPr>
          <w:p w14:paraId="606B2EFB" w14:textId="77777777" w:rsidR="0094050B" w:rsidRPr="0094050B" w:rsidRDefault="0094050B" w:rsidP="0094050B">
            <w:pPr>
              <w:pStyle w:val="Default"/>
              <w:numPr>
                <w:ilvl w:val="0"/>
                <w:numId w:val="3"/>
              </w:numPr>
              <w:spacing w:after="190"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lastRenderedPageBreak/>
              <w:t xml:space="preserve">Calculation of dosage should always consider </w:t>
            </w:r>
            <w:r w:rsidRPr="0094050B">
              <w:rPr>
                <w:rFonts w:asciiTheme="majorBidi" w:hAnsiTheme="majorBidi" w:cstheme="majorBidi"/>
                <w:i/>
                <w:iCs/>
              </w:rPr>
              <w:t xml:space="preserve">elemental iron </w:t>
            </w:r>
            <w:r w:rsidRPr="0094050B">
              <w:rPr>
                <w:rFonts w:asciiTheme="majorBidi" w:hAnsiTheme="majorBidi" w:cstheme="majorBidi"/>
              </w:rPr>
              <w:t xml:space="preserve">content of product. </w:t>
            </w:r>
          </w:p>
          <w:p w14:paraId="0AF642D5" w14:textId="77777777" w:rsidR="0094050B" w:rsidRPr="0094050B" w:rsidRDefault="0094050B" w:rsidP="0080630E">
            <w:pPr>
              <w:pStyle w:val="Default"/>
              <w:rPr>
                <w:rFonts w:asciiTheme="majorBidi" w:hAnsiTheme="majorBidi" w:cstheme="majorBidi"/>
              </w:rPr>
            </w:pPr>
          </w:p>
        </w:tc>
      </w:tr>
      <w:tr w:rsidR="0094050B" w:rsidRPr="0094050B" w14:paraId="1D46A116" w14:textId="77777777" w:rsidTr="0080630E">
        <w:tc>
          <w:tcPr>
            <w:tcW w:w="8296" w:type="dxa"/>
          </w:tcPr>
          <w:p w14:paraId="3FDFB2C5" w14:textId="77777777" w:rsidR="0094050B" w:rsidRPr="0094050B" w:rsidRDefault="0094050B" w:rsidP="0094050B">
            <w:pPr>
              <w:pStyle w:val="Default"/>
              <w:numPr>
                <w:ilvl w:val="0"/>
                <w:numId w:val="3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To maximize absorption, iron supplements should: </w:t>
            </w:r>
          </w:p>
          <w:p w14:paraId="03D9F7BA" w14:textId="77777777" w:rsidR="0094050B" w:rsidRPr="0094050B" w:rsidRDefault="0094050B" w:rsidP="0080630E">
            <w:pPr>
              <w:pStyle w:val="Default"/>
              <w:ind w:left="1080"/>
              <w:rPr>
                <w:rFonts w:asciiTheme="majorBidi" w:hAnsiTheme="majorBidi" w:cstheme="majorBidi"/>
              </w:rPr>
            </w:pPr>
          </w:p>
          <w:p w14:paraId="5C014AF9" w14:textId="77777777" w:rsidR="0094050B" w:rsidRPr="0094050B" w:rsidRDefault="0094050B" w:rsidP="0094050B">
            <w:pPr>
              <w:pStyle w:val="Default"/>
              <w:numPr>
                <w:ilvl w:val="1"/>
                <w:numId w:val="3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Be taken on an empty stomach with full glass of water or fruit juice, if appropriate (e.g., one hour before or two hours after meals). </w:t>
            </w:r>
          </w:p>
          <w:p w14:paraId="38A61956" w14:textId="77777777" w:rsidR="0094050B" w:rsidRPr="0094050B" w:rsidRDefault="0094050B" w:rsidP="0094050B">
            <w:pPr>
              <w:pStyle w:val="Default"/>
              <w:numPr>
                <w:ilvl w:val="1"/>
                <w:numId w:val="3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Be taken in the morning or earlier in the day. </w:t>
            </w:r>
          </w:p>
          <w:p w14:paraId="5726BAC7" w14:textId="77777777" w:rsidR="0094050B" w:rsidRPr="0094050B" w:rsidRDefault="0094050B" w:rsidP="0094050B">
            <w:pPr>
              <w:pStyle w:val="Default"/>
              <w:numPr>
                <w:ilvl w:val="1"/>
                <w:numId w:val="3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Be taken with a supplement or dietary source of Vitamin C (e.g., fruit juice, oranges, tomatoes). </w:t>
            </w:r>
          </w:p>
          <w:p w14:paraId="03D84986" w14:textId="77777777" w:rsidR="0094050B" w:rsidRPr="0094050B" w:rsidRDefault="0094050B" w:rsidP="0094050B">
            <w:pPr>
              <w:pStyle w:val="Default"/>
              <w:numPr>
                <w:ilvl w:val="1"/>
                <w:numId w:val="3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NOT be taken with Calcium products (e.g.: supplements, certain antacids) or foods (e.g., dairy products such as milk, cheese, yogurt). </w:t>
            </w:r>
          </w:p>
          <w:p w14:paraId="1B895C5E" w14:textId="77777777" w:rsidR="0094050B" w:rsidRPr="0094050B" w:rsidRDefault="0094050B" w:rsidP="0094050B">
            <w:pPr>
              <w:pStyle w:val="Default"/>
              <w:numPr>
                <w:ilvl w:val="1"/>
                <w:numId w:val="3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NOT be taken with high-oxalate foods (e.g., coffee, tea, spinach, kale, broccoli). </w:t>
            </w:r>
          </w:p>
          <w:p w14:paraId="7FA94EF2" w14:textId="77777777" w:rsidR="0094050B" w:rsidRPr="0094050B" w:rsidRDefault="0094050B" w:rsidP="0080630E">
            <w:pPr>
              <w:pStyle w:val="Default"/>
              <w:rPr>
                <w:rFonts w:asciiTheme="majorBidi" w:hAnsiTheme="majorBidi" w:cstheme="majorBidi"/>
              </w:rPr>
            </w:pPr>
          </w:p>
        </w:tc>
      </w:tr>
      <w:tr w:rsidR="0094050B" w:rsidRPr="0094050B" w14:paraId="414F67A2" w14:textId="77777777" w:rsidTr="0080630E">
        <w:tc>
          <w:tcPr>
            <w:tcW w:w="8296" w:type="dxa"/>
          </w:tcPr>
          <w:p w14:paraId="399E968B" w14:textId="77777777" w:rsidR="0094050B" w:rsidRPr="0094050B" w:rsidRDefault="0094050B" w:rsidP="0094050B">
            <w:pPr>
              <w:pStyle w:val="Default"/>
              <w:numPr>
                <w:ilvl w:val="0"/>
                <w:numId w:val="4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Oral iron can cause nausea, vomiting, dyspepsia, constipation, diarrhea, metallic </w:t>
            </w:r>
            <w:proofErr w:type="gramStart"/>
            <w:r w:rsidRPr="0094050B">
              <w:rPr>
                <w:rFonts w:asciiTheme="majorBidi" w:hAnsiTheme="majorBidi" w:cstheme="majorBidi"/>
              </w:rPr>
              <w:t>taste</w:t>
            </w:r>
            <w:proofErr w:type="gramEnd"/>
            <w:r w:rsidRPr="0094050B">
              <w:rPr>
                <w:rFonts w:asciiTheme="majorBidi" w:hAnsiTheme="majorBidi" w:cstheme="majorBidi"/>
              </w:rPr>
              <w:t xml:space="preserve"> or dark stools. If your patient is experiencing GI based adverse effects, consider the following: </w:t>
            </w:r>
          </w:p>
          <w:p w14:paraId="14022C43" w14:textId="77777777" w:rsidR="0094050B" w:rsidRPr="0094050B" w:rsidRDefault="0094050B" w:rsidP="0094050B">
            <w:pPr>
              <w:pStyle w:val="Default"/>
              <w:numPr>
                <w:ilvl w:val="1"/>
                <w:numId w:val="4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Start at a lower dose (e.g., one tablet once daily) and titrate up slowly (i.e., every four to five days). </w:t>
            </w:r>
          </w:p>
          <w:p w14:paraId="3268D10B" w14:textId="77777777" w:rsidR="0094050B" w:rsidRPr="0094050B" w:rsidRDefault="0094050B" w:rsidP="0094050B">
            <w:pPr>
              <w:pStyle w:val="Default"/>
              <w:numPr>
                <w:ilvl w:val="1"/>
                <w:numId w:val="4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Switch to liquid form for smaller dose titrations. </w:t>
            </w:r>
          </w:p>
          <w:p w14:paraId="7A287081" w14:textId="77777777" w:rsidR="0094050B" w:rsidRPr="0094050B" w:rsidRDefault="0094050B" w:rsidP="0094050B">
            <w:pPr>
              <w:pStyle w:val="Default"/>
              <w:numPr>
                <w:ilvl w:val="1"/>
                <w:numId w:val="4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Switch to another preparation with less elemental iron. </w:t>
            </w:r>
          </w:p>
          <w:p w14:paraId="7C70F913" w14:textId="77777777" w:rsidR="0094050B" w:rsidRPr="0094050B" w:rsidRDefault="0094050B" w:rsidP="0094050B">
            <w:pPr>
              <w:pStyle w:val="Default"/>
              <w:numPr>
                <w:ilvl w:val="1"/>
                <w:numId w:val="4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Recommend taking iron with small snack or with meals (however food will decrease iron absorption by 40%). </w:t>
            </w:r>
          </w:p>
          <w:p w14:paraId="1510439E" w14:textId="77777777" w:rsidR="0094050B" w:rsidRPr="0094050B" w:rsidRDefault="0094050B" w:rsidP="0094050B">
            <w:pPr>
              <w:pStyle w:val="Default"/>
              <w:numPr>
                <w:ilvl w:val="1"/>
                <w:numId w:val="4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Take at bedtime (however, iron absorption is lowest in evening when Hepcidin hormone levels are highest). </w:t>
            </w:r>
          </w:p>
          <w:p w14:paraId="2BFEC5AA" w14:textId="77777777" w:rsidR="0094050B" w:rsidRPr="0094050B" w:rsidRDefault="0094050B" w:rsidP="0094050B">
            <w:pPr>
              <w:pStyle w:val="Default"/>
              <w:numPr>
                <w:ilvl w:val="1"/>
                <w:numId w:val="4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 Could consider polysaccharide iron complex as an option however, it is more </w:t>
            </w:r>
            <w:proofErr w:type="gramStart"/>
            <w:r w:rsidRPr="0094050B">
              <w:rPr>
                <w:rFonts w:asciiTheme="majorBidi" w:hAnsiTheme="majorBidi" w:cstheme="majorBidi"/>
              </w:rPr>
              <w:t>expensive</w:t>
            </w:r>
            <w:proofErr w:type="gramEnd"/>
            <w:r w:rsidRPr="0094050B">
              <w:rPr>
                <w:rFonts w:asciiTheme="majorBidi" w:hAnsiTheme="majorBidi" w:cstheme="majorBidi"/>
              </w:rPr>
              <w:t xml:space="preserve"> and its effectiveness is no better than other iron salts.</w:t>
            </w:r>
          </w:p>
          <w:p w14:paraId="67F1C640" w14:textId="77777777" w:rsidR="0094050B" w:rsidRPr="0094050B" w:rsidRDefault="0094050B" w:rsidP="0080630E">
            <w:pPr>
              <w:pStyle w:val="Default"/>
              <w:rPr>
                <w:rFonts w:asciiTheme="majorBidi" w:hAnsiTheme="majorBidi" w:cstheme="majorBidi"/>
              </w:rPr>
            </w:pPr>
          </w:p>
        </w:tc>
      </w:tr>
    </w:tbl>
    <w:p w14:paraId="1E477849" w14:textId="6C003292" w:rsidR="0094050B" w:rsidRPr="0094050B" w:rsidRDefault="0094050B" w:rsidP="0094050B">
      <w:pPr>
        <w:pStyle w:val="Default"/>
        <w:rPr>
          <w:rFonts w:asciiTheme="majorBidi" w:hAnsiTheme="majorBidi" w:cstheme="majorBidi"/>
        </w:rPr>
      </w:pPr>
      <w:r w:rsidRPr="0094050B">
        <w:rPr>
          <w:rFonts w:asciiTheme="majorBidi" w:hAnsiTheme="majorBidi" w:cstheme="majorBidi"/>
        </w:rPr>
        <w:t>Adapted from “T</w:t>
      </w:r>
      <w:r w:rsidRPr="0094050B">
        <w:rPr>
          <w:rFonts w:asciiTheme="majorBidi" w:hAnsiTheme="majorBidi" w:cstheme="majorBidi"/>
        </w:rPr>
        <w:t xml:space="preserve">owards </w:t>
      </w:r>
      <w:r w:rsidRPr="0094050B">
        <w:rPr>
          <w:rFonts w:asciiTheme="majorBidi" w:hAnsiTheme="majorBidi" w:cstheme="majorBidi"/>
        </w:rPr>
        <w:t>O</w:t>
      </w:r>
      <w:r w:rsidRPr="0094050B">
        <w:rPr>
          <w:rFonts w:asciiTheme="majorBidi" w:hAnsiTheme="majorBidi" w:cstheme="majorBidi"/>
        </w:rPr>
        <w:t>ptimiz</w:t>
      </w:r>
      <w:r w:rsidRPr="0094050B">
        <w:rPr>
          <w:rFonts w:asciiTheme="majorBidi" w:hAnsiTheme="majorBidi" w:cstheme="majorBidi"/>
        </w:rPr>
        <w:t>ed</w:t>
      </w:r>
      <w:r w:rsidRPr="0094050B">
        <w:rPr>
          <w:rFonts w:asciiTheme="majorBidi" w:hAnsiTheme="majorBidi" w:cstheme="majorBidi"/>
        </w:rPr>
        <w:t xml:space="preserve"> practice, </w:t>
      </w:r>
      <w:r w:rsidRPr="0094050B">
        <w:rPr>
          <w:rFonts w:asciiTheme="majorBidi" w:hAnsiTheme="majorBidi" w:cstheme="majorBidi"/>
        </w:rPr>
        <w:t>I</w:t>
      </w:r>
      <w:r w:rsidRPr="0094050B">
        <w:rPr>
          <w:rFonts w:asciiTheme="majorBidi" w:hAnsiTheme="majorBidi" w:cstheme="majorBidi"/>
        </w:rPr>
        <w:t xml:space="preserve">ron </w:t>
      </w:r>
      <w:r w:rsidRPr="0094050B">
        <w:rPr>
          <w:rFonts w:asciiTheme="majorBidi" w:hAnsiTheme="majorBidi" w:cstheme="majorBidi"/>
        </w:rPr>
        <w:t>D</w:t>
      </w:r>
      <w:r w:rsidRPr="0094050B">
        <w:rPr>
          <w:rFonts w:asciiTheme="majorBidi" w:hAnsiTheme="majorBidi" w:cstheme="majorBidi"/>
        </w:rPr>
        <w:t xml:space="preserve">eficiency </w:t>
      </w:r>
      <w:r w:rsidRPr="0094050B">
        <w:rPr>
          <w:rFonts w:asciiTheme="majorBidi" w:hAnsiTheme="majorBidi" w:cstheme="majorBidi"/>
        </w:rPr>
        <w:t>A</w:t>
      </w:r>
      <w:r w:rsidRPr="0094050B">
        <w:rPr>
          <w:rFonts w:asciiTheme="majorBidi" w:hAnsiTheme="majorBidi" w:cstheme="majorBidi"/>
        </w:rPr>
        <w:t xml:space="preserve">nemia, </w:t>
      </w:r>
      <w:r w:rsidRPr="0094050B">
        <w:rPr>
          <w:rFonts w:asciiTheme="majorBidi" w:hAnsiTheme="majorBidi" w:cstheme="majorBidi"/>
        </w:rPr>
        <w:t>C</w:t>
      </w:r>
      <w:r w:rsidRPr="0094050B">
        <w:rPr>
          <w:rFonts w:asciiTheme="majorBidi" w:hAnsiTheme="majorBidi" w:cstheme="majorBidi"/>
        </w:rPr>
        <w:t xml:space="preserve">linical </w:t>
      </w:r>
      <w:r w:rsidRPr="0094050B">
        <w:rPr>
          <w:rFonts w:asciiTheme="majorBidi" w:hAnsiTheme="majorBidi" w:cstheme="majorBidi"/>
        </w:rPr>
        <w:t>P</w:t>
      </w:r>
      <w:r w:rsidRPr="0094050B">
        <w:rPr>
          <w:rFonts w:asciiTheme="majorBidi" w:hAnsiTheme="majorBidi" w:cstheme="majorBidi"/>
        </w:rPr>
        <w:t xml:space="preserve">ractice </w:t>
      </w:r>
      <w:r w:rsidRPr="0094050B">
        <w:rPr>
          <w:rFonts w:asciiTheme="majorBidi" w:hAnsiTheme="majorBidi" w:cstheme="majorBidi"/>
        </w:rPr>
        <w:t>G</w:t>
      </w:r>
      <w:r w:rsidRPr="0094050B">
        <w:rPr>
          <w:rFonts w:asciiTheme="majorBidi" w:hAnsiTheme="majorBidi" w:cstheme="majorBidi"/>
        </w:rPr>
        <w:t>uidelines, March 2018</w:t>
      </w:r>
      <w:r w:rsidRPr="0094050B">
        <w:rPr>
          <w:rFonts w:asciiTheme="majorBidi" w:hAnsiTheme="majorBidi" w:cstheme="majorBidi"/>
        </w:rPr>
        <w:t xml:space="preserve">. </w:t>
      </w:r>
      <w:r w:rsidRPr="0094050B">
        <w:rPr>
          <w:rFonts w:asciiTheme="majorBidi" w:hAnsiTheme="majorBidi" w:cstheme="majorBidi"/>
        </w:rPr>
        <w:t>https://actt.albertadoctors.org/media/tc4lq52r/ida-cpg.pdf</w:t>
      </w:r>
      <w:r w:rsidRPr="0094050B">
        <w:rPr>
          <w:rFonts w:asciiTheme="majorBidi" w:hAnsiTheme="majorBidi" w:cstheme="majorBidi"/>
        </w:rPr>
        <w:t>”</w:t>
      </w:r>
    </w:p>
    <w:p w14:paraId="36DE5878" w14:textId="77777777" w:rsidR="0094050B" w:rsidRPr="0094050B" w:rsidRDefault="0094050B" w:rsidP="0094050B">
      <w:pPr>
        <w:pStyle w:val="Default"/>
        <w:rPr>
          <w:rFonts w:asciiTheme="majorBidi" w:hAnsiTheme="majorBidi" w:cstheme="majorBidi"/>
        </w:rPr>
      </w:pPr>
    </w:p>
    <w:p w14:paraId="0AF4C62B" w14:textId="77777777" w:rsidR="0094050B" w:rsidRPr="0094050B" w:rsidRDefault="0094050B" w:rsidP="0094050B">
      <w:pPr>
        <w:pStyle w:val="Default"/>
        <w:rPr>
          <w:rFonts w:asciiTheme="majorBidi" w:hAnsiTheme="majorBidi" w:cstheme="majorBidi"/>
        </w:rPr>
      </w:pPr>
    </w:p>
    <w:p w14:paraId="6B63198A" w14:textId="1ACB17B2" w:rsidR="0094050B" w:rsidRPr="0094050B" w:rsidRDefault="0094050B" w:rsidP="0094050B">
      <w:pPr>
        <w:pStyle w:val="Default"/>
        <w:rPr>
          <w:rFonts w:asciiTheme="majorBidi" w:hAnsiTheme="majorBidi" w:cstheme="majorBidi"/>
          <w:b/>
          <w:bCs/>
        </w:rPr>
      </w:pPr>
      <w:r w:rsidRPr="0094050B">
        <w:rPr>
          <w:rFonts w:asciiTheme="majorBidi" w:hAnsiTheme="majorBidi" w:cstheme="majorBidi"/>
          <w:b/>
          <w:bCs/>
        </w:rPr>
        <w:t xml:space="preserve">Table </w:t>
      </w:r>
      <w:r w:rsidRPr="0094050B">
        <w:rPr>
          <w:rFonts w:asciiTheme="majorBidi" w:hAnsiTheme="majorBidi" w:cstheme="majorBidi"/>
          <w:b/>
          <w:bCs/>
        </w:rPr>
        <w:t>11</w:t>
      </w:r>
      <w:r w:rsidRPr="0094050B">
        <w:rPr>
          <w:rFonts w:asciiTheme="majorBidi" w:hAnsiTheme="majorBidi" w:cstheme="majorBidi"/>
          <w:b/>
          <w:bCs/>
        </w:rPr>
        <w:t xml:space="preserve">: MONITORING OF RESPONSE TO ORAL IRON THERAPY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94050B" w:rsidRPr="0094050B" w14:paraId="5B461486" w14:textId="77777777" w:rsidTr="0080630E">
        <w:tc>
          <w:tcPr>
            <w:tcW w:w="8296" w:type="dxa"/>
          </w:tcPr>
          <w:p w14:paraId="53D7ACA2" w14:textId="77777777" w:rsidR="0094050B" w:rsidRPr="0094050B" w:rsidRDefault="0094050B" w:rsidP="0080630E">
            <w:pPr>
              <w:pStyle w:val="Default"/>
              <w:spacing w:after="161"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Order a CBC and reticulocytes at two to four weeks to see if the patient is responding to replacement regimen.  </w:t>
            </w:r>
          </w:p>
          <w:p w14:paraId="1406931A" w14:textId="77777777" w:rsidR="0094050B" w:rsidRPr="0094050B" w:rsidRDefault="0094050B" w:rsidP="0080630E">
            <w:pPr>
              <w:pStyle w:val="Default"/>
              <w:rPr>
                <w:rFonts w:asciiTheme="majorBidi" w:hAnsiTheme="majorBidi" w:cstheme="majorBidi"/>
              </w:rPr>
            </w:pPr>
          </w:p>
        </w:tc>
      </w:tr>
      <w:tr w:rsidR="0094050B" w:rsidRPr="0094050B" w14:paraId="695D11C2" w14:textId="77777777" w:rsidTr="0080630E">
        <w:tc>
          <w:tcPr>
            <w:tcW w:w="8296" w:type="dxa"/>
          </w:tcPr>
          <w:p w14:paraId="2A8E4ED8" w14:textId="77777777" w:rsidR="0094050B" w:rsidRPr="0094050B" w:rsidRDefault="0094050B" w:rsidP="0080630E">
            <w:pPr>
              <w:pStyle w:val="Default"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Indicators of response to (i.e., targets for) iron therapy include: </w:t>
            </w:r>
          </w:p>
          <w:p w14:paraId="3073791B" w14:textId="77777777" w:rsidR="0094050B" w:rsidRPr="0094050B" w:rsidRDefault="0094050B" w:rsidP="0094050B">
            <w:pPr>
              <w:pStyle w:val="Default"/>
              <w:numPr>
                <w:ilvl w:val="0"/>
                <w:numId w:val="5"/>
              </w:numPr>
              <w:rPr>
                <w:rFonts w:asciiTheme="majorBidi" w:hAnsiTheme="majorBidi" w:cstheme="majorBidi"/>
              </w:rPr>
            </w:pPr>
            <w:proofErr w:type="spellStart"/>
            <w:r w:rsidRPr="0094050B">
              <w:rPr>
                <w:rFonts w:asciiTheme="majorBidi" w:hAnsiTheme="majorBidi" w:cstheme="majorBidi"/>
              </w:rPr>
              <w:t>Reticulocytosis</w:t>
            </w:r>
            <w:proofErr w:type="spellEnd"/>
            <w:r w:rsidRPr="0094050B">
              <w:rPr>
                <w:rFonts w:asciiTheme="majorBidi" w:hAnsiTheme="majorBidi" w:cstheme="majorBidi"/>
              </w:rPr>
              <w:t xml:space="preserve"> in four days </w:t>
            </w:r>
          </w:p>
          <w:p w14:paraId="58F9C2F8" w14:textId="77777777" w:rsidR="0094050B" w:rsidRPr="0094050B" w:rsidRDefault="0094050B" w:rsidP="0094050B">
            <w:pPr>
              <w:pStyle w:val="Default"/>
              <w:numPr>
                <w:ilvl w:val="0"/>
                <w:numId w:val="5"/>
              </w:numPr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Increasing hemoglobin &gt;1gm/dl in four weeks </w:t>
            </w:r>
          </w:p>
          <w:p w14:paraId="00B98CD9" w14:textId="77777777" w:rsidR="0094050B" w:rsidRPr="0094050B" w:rsidRDefault="0094050B" w:rsidP="0080630E">
            <w:pPr>
              <w:pStyle w:val="Default"/>
              <w:rPr>
                <w:rFonts w:asciiTheme="majorBidi" w:hAnsiTheme="majorBidi" w:cstheme="majorBidi"/>
              </w:rPr>
            </w:pPr>
          </w:p>
        </w:tc>
      </w:tr>
      <w:tr w:rsidR="0094050B" w:rsidRPr="0094050B" w14:paraId="547ECD15" w14:textId="77777777" w:rsidTr="0080630E">
        <w:tc>
          <w:tcPr>
            <w:tcW w:w="8296" w:type="dxa"/>
          </w:tcPr>
          <w:p w14:paraId="327F30C5" w14:textId="77521244" w:rsidR="0094050B" w:rsidRPr="0094050B" w:rsidRDefault="0094050B" w:rsidP="0080630E">
            <w:pPr>
              <w:pStyle w:val="Default"/>
              <w:rPr>
                <w:rFonts w:asciiTheme="majorBidi" w:hAnsiTheme="majorBidi" w:cstheme="majorBidi"/>
              </w:rPr>
            </w:pPr>
            <w:r w:rsidRPr="0094050B">
              <w:rPr>
                <w:rFonts w:asciiTheme="majorBidi" w:hAnsiTheme="majorBidi" w:cstheme="majorBidi"/>
              </w:rPr>
              <w:t xml:space="preserve">Correction of IDA should be observed within two to four months if appropriate iron dosages are </w:t>
            </w:r>
            <w:r w:rsidRPr="0094050B">
              <w:rPr>
                <w:rFonts w:asciiTheme="majorBidi" w:hAnsiTheme="majorBidi" w:cstheme="majorBidi"/>
              </w:rPr>
              <w:t>administered,</w:t>
            </w:r>
            <w:r w:rsidRPr="0094050B">
              <w:rPr>
                <w:rFonts w:asciiTheme="majorBidi" w:hAnsiTheme="majorBidi" w:cstheme="majorBidi"/>
              </w:rPr>
              <w:t xml:space="preserve"> and underlying cause of iron deficiency is addressed.</w:t>
            </w:r>
          </w:p>
        </w:tc>
      </w:tr>
    </w:tbl>
    <w:p w14:paraId="4CE79962" w14:textId="77777777" w:rsidR="0094050B" w:rsidRPr="0094050B" w:rsidRDefault="0094050B" w:rsidP="0094050B">
      <w:pPr>
        <w:pStyle w:val="Default"/>
        <w:rPr>
          <w:rFonts w:asciiTheme="majorBidi" w:hAnsiTheme="majorBidi" w:cstheme="majorBidi"/>
        </w:rPr>
      </w:pPr>
      <w:r w:rsidRPr="0094050B">
        <w:rPr>
          <w:rFonts w:asciiTheme="majorBidi" w:hAnsiTheme="majorBidi" w:cstheme="majorBidi"/>
        </w:rPr>
        <w:t>Adapted from “Towards Optimized practice, Iron Deficiency Anemia, Clinical Practice Guidelines, March 2018. https://actt.albertadoctors.org/media/tc4lq52r/ida-cpg.pdf”</w:t>
      </w:r>
    </w:p>
    <w:p w14:paraId="1F8E7E77" w14:textId="77777777" w:rsidR="0094050B" w:rsidRPr="0094050B" w:rsidRDefault="0094050B" w:rsidP="0094050B">
      <w:pPr>
        <w:pStyle w:val="Default"/>
        <w:rPr>
          <w:rFonts w:asciiTheme="majorBidi" w:hAnsiTheme="majorBidi" w:cstheme="majorBidi"/>
        </w:rPr>
      </w:pPr>
    </w:p>
    <w:p w14:paraId="37D3443B" w14:textId="77777777" w:rsidR="00960346" w:rsidRPr="00871F2B" w:rsidRDefault="00960346" w:rsidP="00960346">
      <w:pPr>
        <w:rPr>
          <w:rFonts w:asciiTheme="majorBidi" w:hAnsiTheme="majorBidi" w:cstheme="majorBidi"/>
        </w:rPr>
      </w:pPr>
    </w:p>
    <w:p w14:paraId="3EED6306" w14:textId="77777777" w:rsidR="00960346" w:rsidRPr="00871F2B" w:rsidRDefault="00960346" w:rsidP="00960346">
      <w:pPr>
        <w:rPr>
          <w:rFonts w:asciiTheme="majorBidi" w:hAnsiTheme="majorBidi" w:cstheme="majorBidi"/>
          <w:b/>
          <w:bCs/>
          <w:lang w:val="en-US"/>
        </w:rPr>
      </w:pPr>
      <w:r w:rsidRPr="00871F2B">
        <w:rPr>
          <w:rFonts w:asciiTheme="majorBidi" w:hAnsiTheme="majorBidi" w:cstheme="majorBidi"/>
          <w:b/>
          <w:bCs/>
          <w:lang w:val="en-US"/>
        </w:rPr>
        <w:t>References fo</w:t>
      </w:r>
      <w:r>
        <w:rPr>
          <w:rFonts w:asciiTheme="majorBidi" w:hAnsiTheme="majorBidi" w:cstheme="majorBidi"/>
          <w:b/>
          <w:bCs/>
          <w:lang w:val="en-US"/>
        </w:rPr>
        <w:t>r</w:t>
      </w:r>
      <w:r w:rsidRPr="00871F2B">
        <w:rPr>
          <w:rFonts w:asciiTheme="majorBidi" w:hAnsiTheme="majorBidi" w:cstheme="majorBidi"/>
          <w:b/>
          <w:bCs/>
          <w:lang w:val="en-US"/>
        </w:rPr>
        <w:t xml:space="preserve"> the implementation tools:</w:t>
      </w:r>
    </w:p>
    <w:p w14:paraId="28327490" w14:textId="77777777" w:rsidR="00B30CA4" w:rsidRPr="00871F2B" w:rsidRDefault="00B30CA4" w:rsidP="00960346">
      <w:pPr>
        <w:rPr>
          <w:rFonts w:asciiTheme="majorBidi" w:hAnsiTheme="majorBidi" w:cstheme="majorBidi"/>
          <w:lang w:val="en-US"/>
        </w:rPr>
      </w:pPr>
    </w:p>
    <w:p w14:paraId="32AE7F7F" w14:textId="77777777" w:rsidR="00B30CA4" w:rsidRPr="00B30CA4" w:rsidRDefault="00B30CA4" w:rsidP="00B30CA4">
      <w:pPr>
        <w:autoSpaceDE w:val="0"/>
        <w:autoSpaceDN w:val="0"/>
        <w:adjustRightInd w:val="0"/>
        <w:ind w:left="360"/>
        <w:rPr>
          <w:rFonts w:asciiTheme="majorBidi" w:hAnsiTheme="majorBidi" w:cstheme="majorBidi"/>
        </w:rPr>
      </w:pPr>
    </w:p>
    <w:p w14:paraId="6B5DF40A" w14:textId="77777777" w:rsidR="00B30CA4" w:rsidRPr="00871F2B" w:rsidRDefault="00B30CA4" w:rsidP="00960346">
      <w:pPr>
        <w:pStyle w:val="ListParagraph"/>
        <w:numPr>
          <w:ilvl w:val="0"/>
          <w:numId w:val="12"/>
        </w:numPr>
        <w:rPr>
          <w:rFonts w:asciiTheme="majorBidi" w:eastAsia="Times New Roman" w:hAnsiTheme="majorBidi" w:cstheme="majorBidi"/>
        </w:rPr>
      </w:pPr>
      <w:r w:rsidRPr="00871F2B">
        <w:rPr>
          <w:rFonts w:asciiTheme="majorBidi" w:eastAsia="Times New Roman" w:hAnsiTheme="majorBidi" w:cstheme="majorBidi"/>
        </w:rPr>
        <w:t xml:space="preserve">Aladhadhi AM, Etaiwi ST, Alqahtani KM, Bajafar AA, Nono AF, Aldrees SA, Almutawa SM, Alghraibi SA. </w:t>
      </w:r>
      <w:r w:rsidRPr="00871F2B">
        <w:rPr>
          <w:rFonts w:asciiTheme="majorBidi" w:hAnsiTheme="majorBidi" w:cstheme="majorBidi"/>
          <w:shd w:val="clear" w:color="auto" w:fill="FFFFFF"/>
        </w:rPr>
        <w:t xml:space="preserve">Pediatrics Iron deficiency anemia from diagnosis to treatment. </w:t>
      </w:r>
      <w:r w:rsidRPr="00871F2B">
        <w:rPr>
          <w:rFonts w:asciiTheme="majorBidi" w:hAnsiTheme="majorBidi" w:cstheme="majorBidi"/>
        </w:rPr>
        <w:t xml:space="preserve">The Egyptian Journal of Hospital Medicine (October 2018) Vol. 73 (8), Page 7268-7273 </w:t>
      </w:r>
    </w:p>
    <w:p w14:paraId="0E6819B9" w14:textId="77777777" w:rsidR="00B30CA4" w:rsidRPr="00871F2B" w:rsidRDefault="00B30CA4" w:rsidP="00960346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color w:val="212121"/>
          <w:shd w:val="clear" w:color="auto" w:fill="FFFFFF"/>
          <w:lang w:val="en-US"/>
        </w:rPr>
      </w:pPr>
      <w:r w:rsidRPr="00871F2B">
        <w:rPr>
          <w:rFonts w:asciiTheme="majorBidi" w:hAnsiTheme="majorBidi" w:cstheme="majorBidi"/>
          <w:color w:val="212121"/>
          <w:shd w:val="clear" w:color="auto" w:fill="FFFFFF"/>
        </w:rPr>
        <w:t>Baker RD, Greer FR; Committee on Nutrition American Academy of Pediatrics. Diagnosis and prevention of iron deficiency and iron-deficiency anemia in infants and young children (0-3 years of age). Pediatrics. 2010 Nov;126(5):1040-50. doi: 10.1542/peds.2010-2576. Epub 2010 Oct 5. PMID: 20923825</w:t>
      </w:r>
      <w:r w:rsidRPr="00871F2B">
        <w:rPr>
          <w:rFonts w:asciiTheme="majorBidi" w:hAnsiTheme="majorBidi" w:cstheme="majorBidi"/>
          <w:color w:val="212121"/>
          <w:shd w:val="clear" w:color="auto" w:fill="FFFFFF"/>
          <w:lang w:val="en-US"/>
        </w:rPr>
        <w:t>.</w:t>
      </w:r>
    </w:p>
    <w:p w14:paraId="4AAF8BDF" w14:textId="77777777" w:rsidR="00B30CA4" w:rsidRPr="00871F2B" w:rsidRDefault="00B30CA4" w:rsidP="00960346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Theme="majorBidi" w:hAnsiTheme="majorBidi" w:cstheme="majorBidi"/>
          <w:color w:val="000000"/>
          <w:kern w:val="0"/>
          <w:lang w:val="en-US"/>
        </w:rPr>
      </w:pPr>
      <w:r w:rsidRPr="00871F2B">
        <w:rPr>
          <w:rFonts w:asciiTheme="majorBidi" w:hAnsiTheme="majorBidi" w:cstheme="majorBidi"/>
          <w:color w:val="000000"/>
          <w:kern w:val="0"/>
          <w:lang w:val="en-US"/>
        </w:rPr>
        <w:t xml:space="preserve">Food and Nutrition Board, US Institute of Medicine: Dietary reference intakes for water, potassium, sodium, chloride, and sulfate (website). </w:t>
      </w:r>
      <w:proofErr w:type="gramStart"/>
      <w:r w:rsidRPr="00871F2B">
        <w:rPr>
          <w:rFonts w:asciiTheme="majorBidi" w:hAnsiTheme="majorBidi" w:cstheme="majorBidi"/>
          <w:color w:val="0000EF"/>
          <w:kern w:val="0"/>
          <w:lang w:val="en-US"/>
        </w:rPr>
        <w:t xml:space="preserve">http://www.nap.edu/openbook.php?record_id=10925 </w:t>
      </w:r>
      <w:r w:rsidRPr="00871F2B">
        <w:rPr>
          <w:rFonts w:asciiTheme="majorBidi" w:hAnsiTheme="majorBidi" w:cstheme="majorBidi"/>
          <w:color w:val="000000"/>
          <w:kern w:val="0"/>
          <w:lang w:val="en-US"/>
        </w:rPr>
        <w:t>;</w:t>
      </w:r>
      <w:proofErr w:type="gramEnd"/>
      <w:r w:rsidRPr="00871F2B">
        <w:rPr>
          <w:rFonts w:asciiTheme="majorBidi" w:hAnsiTheme="majorBidi" w:cstheme="majorBidi"/>
          <w:color w:val="000000"/>
          <w:kern w:val="0"/>
          <w:lang w:val="en-US"/>
        </w:rPr>
        <w:t xml:space="preserve"> and Ross AC, US Institute of Medicine, Committee to Review Dietary Reference Intakes for Vitamin D and Calcium: Dietary reference intakes: calcium, vitamin D, Washington, DC, 2011, National Academies Press, pp xv, 536.</w:t>
      </w:r>
    </w:p>
    <w:p w14:paraId="4B95D6A8" w14:textId="77777777" w:rsidR="00B30CA4" w:rsidRPr="00B30CA4" w:rsidRDefault="00B30CA4" w:rsidP="00B30CA4">
      <w:pPr>
        <w:pStyle w:val="Default"/>
        <w:numPr>
          <w:ilvl w:val="0"/>
          <w:numId w:val="12"/>
        </w:numPr>
        <w:rPr>
          <w:rFonts w:asciiTheme="majorBidi" w:hAnsiTheme="majorBidi" w:cstheme="majorBidi"/>
          <w:color w:val="auto"/>
        </w:rPr>
      </w:pPr>
      <w:r w:rsidRPr="00B30CA4">
        <w:rPr>
          <w:rFonts w:asciiTheme="majorBidi" w:hAnsiTheme="majorBidi" w:cstheme="majorBidi"/>
          <w:color w:val="auto"/>
        </w:rPr>
        <w:t>Guideline: Daily iron supplementation in infants and children. Geneva: World Health Organization; 2016.</w:t>
      </w:r>
    </w:p>
    <w:p w14:paraId="4E58D368" w14:textId="77777777" w:rsidR="00B30CA4" w:rsidRPr="00871F2B" w:rsidRDefault="00B30CA4" w:rsidP="00960346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color w:val="212121"/>
          <w:shd w:val="clear" w:color="auto" w:fill="FFFFFF"/>
        </w:rPr>
      </w:pPr>
      <w:r w:rsidRPr="00871F2B">
        <w:rPr>
          <w:rFonts w:asciiTheme="majorBidi" w:hAnsiTheme="majorBidi" w:cstheme="majorBidi"/>
          <w:color w:val="212121"/>
          <w:shd w:val="clear" w:color="auto" w:fill="FFFFFF"/>
        </w:rPr>
        <w:t>Mantadakis E, Chatzimichael E, Zikidou P. Iron Deficiency Anemia in Children Residing in High and Low-Income Countries: Risk Factors, Prevention, Diagnosis and Therapy. Mediterr J Hematol Infect Dis. 2020 Jul 1;12(1):e2020041. doi: 10.4084/MJHID.2020.041. PMID: 32670519; PMCID: PMC7340216.</w:t>
      </w:r>
    </w:p>
    <w:p w14:paraId="40B31798" w14:textId="77777777" w:rsidR="00B30CA4" w:rsidRPr="00B30CA4" w:rsidRDefault="00B30CA4" w:rsidP="00B30CA4">
      <w:pPr>
        <w:pStyle w:val="Default"/>
        <w:numPr>
          <w:ilvl w:val="0"/>
          <w:numId w:val="12"/>
        </w:numPr>
        <w:rPr>
          <w:rFonts w:asciiTheme="majorBidi" w:hAnsiTheme="majorBidi" w:cstheme="majorBidi"/>
          <w:color w:val="auto"/>
        </w:rPr>
      </w:pPr>
      <w:r w:rsidRPr="00B30CA4">
        <w:rPr>
          <w:rFonts w:asciiTheme="majorBidi" w:hAnsiTheme="majorBidi" w:cstheme="majorBidi"/>
          <w:color w:val="auto"/>
        </w:rPr>
        <w:t xml:space="preserve">National Blood Authority (NBA) (2016). Patient Blood Management Guidelines: Module 6 – Neonatal and </w:t>
      </w:r>
      <w:proofErr w:type="spellStart"/>
      <w:r w:rsidRPr="00B30CA4">
        <w:rPr>
          <w:rFonts w:asciiTheme="majorBidi" w:hAnsiTheme="majorBidi" w:cstheme="majorBidi"/>
          <w:color w:val="auto"/>
        </w:rPr>
        <w:t>Paediatrics</w:t>
      </w:r>
      <w:proofErr w:type="spellEnd"/>
      <w:r w:rsidRPr="00B30CA4">
        <w:rPr>
          <w:rFonts w:asciiTheme="majorBidi" w:hAnsiTheme="majorBidi" w:cstheme="majorBidi"/>
          <w:color w:val="auto"/>
        </w:rPr>
        <w:t>. NBA, Canberra, Australia.</w:t>
      </w:r>
    </w:p>
    <w:p w14:paraId="319D01C1" w14:textId="77777777" w:rsidR="00B30CA4" w:rsidRPr="00871F2B" w:rsidRDefault="00B30CA4" w:rsidP="00960346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color w:val="212121"/>
          <w:shd w:val="clear" w:color="auto" w:fill="FFFFFF"/>
        </w:rPr>
      </w:pPr>
      <w:r w:rsidRPr="00871F2B">
        <w:rPr>
          <w:rFonts w:asciiTheme="majorBidi" w:hAnsiTheme="majorBidi" w:cstheme="majorBidi"/>
          <w:color w:val="212121"/>
          <w:shd w:val="clear" w:color="auto" w:fill="FFFFFF"/>
        </w:rPr>
        <w:t>Özdemir N. Iron deficiency anemia from diagnosis to treatment in children. Turk Pediatri Ars. 2015 Mar 1;50(1):11-9. doi: 10.5152/tpa.2015.2337. PMID: 26078692; PMCID: PMC4462328.</w:t>
      </w:r>
    </w:p>
    <w:p w14:paraId="6F59134A" w14:textId="77777777" w:rsidR="00B30CA4" w:rsidRPr="00871F2B" w:rsidRDefault="00B30CA4" w:rsidP="00960346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lang w:val="en-US"/>
        </w:rPr>
      </w:pPr>
      <w:r w:rsidRPr="00871F2B">
        <w:rPr>
          <w:rFonts w:asciiTheme="majorBidi" w:hAnsiTheme="majorBidi" w:cstheme="majorBidi"/>
        </w:rPr>
        <w:t>Towards Optimized practice, Iron Deficiency Anemia, Clinical Practice Guidelines, March 2018. https://actt.albertadoctors.org/media/tc4lq52r/ida-cpg.pdf</w:t>
      </w:r>
    </w:p>
    <w:p w14:paraId="4745F757" w14:textId="77777777" w:rsidR="00B30CA4" w:rsidRPr="00871F2B" w:rsidRDefault="00B30CA4" w:rsidP="00960346">
      <w:pPr>
        <w:pStyle w:val="ListParagraph"/>
        <w:numPr>
          <w:ilvl w:val="0"/>
          <w:numId w:val="12"/>
        </w:numPr>
        <w:spacing w:beforeAutospacing="1" w:afterAutospacing="1"/>
        <w:textAlignment w:val="baseline"/>
        <w:rPr>
          <w:rFonts w:asciiTheme="majorBidi" w:eastAsia="Times New Roman" w:hAnsiTheme="majorBidi" w:cstheme="majorBidi"/>
          <w:color w:val="1A1A1A"/>
        </w:rPr>
      </w:pPr>
      <w:r w:rsidRPr="00871F2B">
        <w:rPr>
          <w:rFonts w:asciiTheme="majorBidi" w:eastAsia="Times New Roman" w:hAnsiTheme="majorBidi" w:cstheme="majorBidi"/>
          <w:color w:val="1A1A1A"/>
        </w:rPr>
        <w:t>US Department of Agriculture, Agricultural Research Service. USDA National Nutrient Database for Standard Reference, Release 20: Nutrient Data Laboratory home page. Available at: </w:t>
      </w:r>
      <w:hyperlink r:id="rId6" w:tgtFrame="_blank" w:history="1">
        <w:r w:rsidRPr="00871F2B">
          <w:rPr>
            <w:rFonts w:asciiTheme="majorBidi" w:eastAsia="Times New Roman" w:hAnsiTheme="majorBidi" w:cstheme="majorBidi"/>
            <w:color w:val="304FFE"/>
            <w:u w:val="single"/>
            <w:bdr w:val="none" w:sz="0" w:space="0" w:color="auto" w:frame="1"/>
          </w:rPr>
          <w:t>www.ars.usda.gov/ba/bhnrc/ndl</w:t>
        </w:r>
      </w:hyperlink>
      <w:r w:rsidRPr="00871F2B">
        <w:rPr>
          <w:rFonts w:asciiTheme="majorBidi" w:eastAsia="Times New Roman" w:hAnsiTheme="majorBidi" w:cstheme="majorBidi"/>
          <w:color w:val="1A1A1A"/>
        </w:rPr>
        <w:t>.</w:t>
      </w:r>
    </w:p>
    <w:p w14:paraId="622EAF60" w14:textId="77777777" w:rsidR="00B30CA4" w:rsidRDefault="00B30CA4" w:rsidP="00960346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Theme="majorBidi" w:hAnsiTheme="majorBidi" w:cstheme="majorBidi"/>
        </w:rPr>
      </w:pPr>
      <w:r w:rsidRPr="00871F2B">
        <w:rPr>
          <w:rFonts w:asciiTheme="majorBidi" w:hAnsiTheme="majorBidi" w:cstheme="majorBidi"/>
        </w:rPr>
        <w:t xml:space="preserve">US second National Health and Nutrition Examination Survey (NHANES II) after excluding those with abnormal tests related to iron; Yip R, Johnson C, Dallman PR. Age-related changes in laboratory values used in the diagnosis of anemia and iron deficiency. </w:t>
      </w:r>
      <w:r w:rsidRPr="00871F2B">
        <w:rPr>
          <w:rFonts w:asciiTheme="majorBidi" w:hAnsiTheme="majorBidi" w:cstheme="majorBidi"/>
          <w:i/>
          <w:iCs/>
        </w:rPr>
        <w:t>American Journal of Clinical Nutrition</w:t>
      </w:r>
      <w:r w:rsidRPr="00871F2B">
        <w:rPr>
          <w:rFonts w:asciiTheme="majorBidi" w:hAnsiTheme="majorBidi" w:cstheme="majorBidi"/>
        </w:rPr>
        <w:t>, 1984, 39:427-436.</w:t>
      </w:r>
    </w:p>
    <w:p w14:paraId="340AEFDC" w14:textId="77777777" w:rsidR="00B30CA4" w:rsidRPr="00B30CA4" w:rsidRDefault="00B30CA4" w:rsidP="00B30CA4">
      <w:pPr>
        <w:pStyle w:val="Default"/>
        <w:numPr>
          <w:ilvl w:val="0"/>
          <w:numId w:val="12"/>
        </w:numPr>
        <w:rPr>
          <w:rFonts w:asciiTheme="majorBidi" w:hAnsiTheme="majorBidi" w:cstheme="majorBidi"/>
          <w:color w:val="auto"/>
        </w:rPr>
      </w:pPr>
      <w:r w:rsidRPr="00B30CA4">
        <w:rPr>
          <w:rFonts w:asciiTheme="majorBidi" w:hAnsiTheme="majorBidi" w:cstheme="majorBidi"/>
          <w:color w:val="auto"/>
        </w:rPr>
        <w:t>World Health Organization.</w:t>
      </w:r>
      <w:r w:rsidRPr="00B30CA4">
        <w:rPr>
          <w:rStyle w:val="apple-converted-space"/>
          <w:rFonts w:asciiTheme="majorBidi" w:hAnsiTheme="majorBidi" w:cstheme="majorBidi"/>
          <w:color w:val="auto"/>
        </w:rPr>
        <w:t> </w:t>
      </w:r>
      <w:r w:rsidRPr="00B30CA4">
        <w:rPr>
          <w:rFonts w:asciiTheme="majorBidi" w:hAnsiTheme="majorBidi" w:cstheme="majorBidi"/>
          <w:color w:val="auto"/>
        </w:rPr>
        <w:t>(</w:t>
      </w:r>
      <w:r w:rsidRPr="00B30CA4">
        <w:rPr>
          <w:rFonts w:asciiTheme="majorBidi" w:hAnsiTheme="majorBidi" w:cstheme="majorBidi"/>
          <w:color w:val="auto"/>
          <w:cs/>
        </w:rPr>
        <w:t>‎</w:t>
      </w:r>
      <w:r w:rsidRPr="00B30CA4">
        <w:rPr>
          <w:rFonts w:asciiTheme="majorBidi" w:hAnsiTheme="majorBidi" w:cstheme="majorBidi"/>
          <w:color w:val="auto"/>
        </w:rPr>
        <w:t>2016)</w:t>
      </w:r>
      <w:r w:rsidRPr="00B30CA4">
        <w:rPr>
          <w:rFonts w:asciiTheme="majorBidi" w:hAnsiTheme="majorBidi" w:cstheme="majorBidi"/>
          <w:color w:val="auto"/>
          <w:cs/>
        </w:rPr>
        <w:t>‎</w:t>
      </w:r>
      <w:r w:rsidRPr="00B30CA4">
        <w:rPr>
          <w:rFonts w:asciiTheme="majorBidi" w:hAnsiTheme="majorBidi" w:cstheme="majorBidi"/>
          <w:color w:val="auto"/>
        </w:rPr>
        <w:t>.</w:t>
      </w:r>
      <w:r w:rsidRPr="00B30CA4">
        <w:rPr>
          <w:rStyle w:val="apple-converted-space"/>
          <w:rFonts w:asciiTheme="majorBidi" w:hAnsiTheme="majorBidi" w:cstheme="majorBidi"/>
          <w:color w:val="auto"/>
        </w:rPr>
        <w:t> </w:t>
      </w:r>
      <w:r w:rsidRPr="00B30CA4">
        <w:rPr>
          <w:rFonts w:asciiTheme="majorBidi" w:hAnsiTheme="majorBidi" w:cstheme="majorBidi"/>
          <w:color w:val="auto"/>
        </w:rPr>
        <w:t>Guideline: daily iron supplementation in adult women and adolescent girls.</w:t>
      </w:r>
      <w:r w:rsidRPr="00B30CA4">
        <w:rPr>
          <w:rStyle w:val="apple-converted-space"/>
          <w:rFonts w:asciiTheme="majorBidi" w:hAnsiTheme="majorBidi" w:cstheme="majorBidi"/>
          <w:color w:val="auto"/>
        </w:rPr>
        <w:t> </w:t>
      </w:r>
      <w:r w:rsidRPr="00B30CA4">
        <w:rPr>
          <w:rFonts w:asciiTheme="majorBidi" w:hAnsiTheme="majorBidi" w:cstheme="majorBidi"/>
          <w:color w:val="auto"/>
        </w:rPr>
        <w:t>World Health Organization.</w:t>
      </w:r>
      <w:r w:rsidRPr="00B30CA4">
        <w:rPr>
          <w:rStyle w:val="apple-converted-space"/>
          <w:rFonts w:asciiTheme="majorBidi" w:hAnsiTheme="majorBidi" w:cstheme="majorBidi"/>
          <w:color w:val="auto"/>
        </w:rPr>
        <w:t> </w:t>
      </w:r>
      <w:hyperlink r:id="rId7" w:history="1">
        <w:r w:rsidRPr="00B30CA4">
          <w:rPr>
            <w:rStyle w:val="Hyperlink"/>
            <w:rFonts w:asciiTheme="majorBidi" w:hAnsiTheme="majorBidi" w:cstheme="majorBidi"/>
            <w:color w:val="auto"/>
            <w:u w:val="none"/>
          </w:rPr>
          <w:t>https://apps.who.int/iris/handle/10665/204761</w:t>
        </w:r>
      </w:hyperlink>
    </w:p>
    <w:p w14:paraId="24377A80" w14:textId="598DC295" w:rsidR="0094050B" w:rsidRPr="0094050B" w:rsidRDefault="0094050B" w:rsidP="0094050B">
      <w:pPr>
        <w:rPr>
          <w:rFonts w:asciiTheme="majorBidi" w:hAnsiTheme="majorBidi" w:cstheme="majorBidi"/>
          <w:u w:val="single"/>
          <w:lang w:val="en-US"/>
        </w:rPr>
      </w:pPr>
    </w:p>
    <w:sectPr w:rsidR="0094050B" w:rsidRPr="0094050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altName w:val="Titling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E5F12"/>
    <w:multiLevelType w:val="hybridMultilevel"/>
    <w:tmpl w:val="F7180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03018"/>
    <w:multiLevelType w:val="hybridMultilevel"/>
    <w:tmpl w:val="89E6B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9406FC"/>
    <w:multiLevelType w:val="hybridMultilevel"/>
    <w:tmpl w:val="BC384642"/>
    <w:lvl w:ilvl="0" w:tplc="639CDA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5B1BD6"/>
    <w:multiLevelType w:val="hybridMultilevel"/>
    <w:tmpl w:val="1EE22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BB4CE7"/>
    <w:multiLevelType w:val="hybridMultilevel"/>
    <w:tmpl w:val="17FECE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21C30092"/>
    <w:multiLevelType w:val="multilevel"/>
    <w:tmpl w:val="0532B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C8559F"/>
    <w:multiLevelType w:val="hybridMultilevel"/>
    <w:tmpl w:val="0A501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F16395"/>
    <w:multiLevelType w:val="hybridMultilevel"/>
    <w:tmpl w:val="4E684C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F50B2E"/>
    <w:multiLevelType w:val="hybridMultilevel"/>
    <w:tmpl w:val="2F842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8820DB"/>
    <w:multiLevelType w:val="multilevel"/>
    <w:tmpl w:val="4B46097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486DCD"/>
    <w:multiLevelType w:val="hybridMultilevel"/>
    <w:tmpl w:val="6C9C1BD0"/>
    <w:lvl w:ilvl="0" w:tplc="8BF2590A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AA53ED5"/>
    <w:multiLevelType w:val="hybridMultilevel"/>
    <w:tmpl w:val="7096A3CE"/>
    <w:lvl w:ilvl="0" w:tplc="8BF2590A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E830CA6"/>
    <w:multiLevelType w:val="hybridMultilevel"/>
    <w:tmpl w:val="EEBA1EEC"/>
    <w:lvl w:ilvl="0" w:tplc="5770C068">
      <w:numFmt w:val="bullet"/>
      <w:lvlText w:val="-"/>
      <w:lvlJc w:val="left"/>
      <w:pPr>
        <w:ind w:left="450" w:hanging="360"/>
      </w:pPr>
      <w:rPr>
        <w:rFonts w:ascii="Calibri" w:eastAsiaTheme="minorHAnsi" w:hAnsi="Calibri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 w16cid:durableId="1118333379">
    <w:abstractNumId w:val="5"/>
  </w:num>
  <w:num w:numId="2" w16cid:durableId="1123888369">
    <w:abstractNumId w:val="9"/>
  </w:num>
  <w:num w:numId="3" w16cid:durableId="608044874">
    <w:abstractNumId w:val="10"/>
  </w:num>
  <w:num w:numId="4" w16cid:durableId="1487160378">
    <w:abstractNumId w:val="11"/>
  </w:num>
  <w:num w:numId="5" w16cid:durableId="836306228">
    <w:abstractNumId w:val="4"/>
  </w:num>
  <w:num w:numId="6" w16cid:durableId="929583960">
    <w:abstractNumId w:val="12"/>
  </w:num>
  <w:num w:numId="7" w16cid:durableId="1185897786">
    <w:abstractNumId w:val="3"/>
  </w:num>
  <w:num w:numId="8" w16cid:durableId="1299647839">
    <w:abstractNumId w:val="6"/>
  </w:num>
  <w:num w:numId="9" w16cid:durableId="2066681694">
    <w:abstractNumId w:val="8"/>
  </w:num>
  <w:num w:numId="10" w16cid:durableId="1215779929">
    <w:abstractNumId w:val="1"/>
  </w:num>
  <w:num w:numId="11" w16cid:durableId="167256146">
    <w:abstractNumId w:val="0"/>
  </w:num>
  <w:num w:numId="12" w16cid:durableId="185992510">
    <w:abstractNumId w:val="7"/>
  </w:num>
  <w:num w:numId="13" w16cid:durableId="18605792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50B"/>
    <w:rsid w:val="002A676F"/>
    <w:rsid w:val="0094050B"/>
    <w:rsid w:val="00960346"/>
    <w:rsid w:val="00B30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838B7"/>
  <w15:chartTrackingRefBased/>
  <w15:docId w15:val="{CBC460D8-12BA-3240-8551-FA7607DCF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EG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05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94050B"/>
  </w:style>
  <w:style w:type="paragraph" w:styleId="ListParagraph">
    <w:name w:val="List Paragraph"/>
    <w:basedOn w:val="Normal"/>
    <w:link w:val="ListParagraphChar"/>
    <w:uiPriority w:val="34"/>
    <w:qFormat/>
    <w:rsid w:val="0094050B"/>
    <w:pPr>
      <w:ind w:left="720"/>
      <w:contextualSpacing/>
    </w:pPr>
  </w:style>
  <w:style w:type="paragraph" w:customStyle="1" w:styleId="Default">
    <w:name w:val="Default"/>
    <w:rsid w:val="0094050B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lang w:val="en-US"/>
    </w:rPr>
  </w:style>
  <w:style w:type="character" w:styleId="Emphasis">
    <w:name w:val="Emphasis"/>
    <w:basedOn w:val="DefaultParagraphFont"/>
    <w:uiPriority w:val="20"/>
    <w:qFormat/>
    <w:rsid w:val="0094050B"/>
    <w:rPr>
      <w:i/>
      <w:iCs/>
    </w:rPr>
  </w:style>
  <w:style w:type="paragraph" w:styleId="NormalWeb">
    <w:name w:val="Normal (Web)"/>
    <w:basedOn w:val="Normal"/>
    <w:uiPriority w:val="99"/>
    <w:unhideWhenUsed/>
    <w:rsid w:val="009405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4050B"/>
  </w:style>
  <w:style w:type="character" w:styleId="Hyperlink">
    <w:name w:val="Hyperlink"/>
    <w:basedOn w:val="DefaultParagraphFont"/>
    <w:rsid w:val="00B30C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85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05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89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9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52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74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8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7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1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42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99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8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45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67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1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5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24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05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3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4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34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9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1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8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pps.who.int/iris/handle/10665/20476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s.usda.gov/ba/bhnrc/ndl" TargetMode="External"/><Relationship Id="rId5" Type="http://schemas.openxmlformats.org/officeDocument/2006/relationships/hyperlink" Target="https://apps.who.int/iris/handle/10665/20476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12</Pages>
  <Words>3270</Words>
  <Characters>19849</Characters>
  <Application>Microsoft Office Word</Application>
  <DocSecurity>0</DocSecurity>
  <Lines>640</Lines>
  <Paragraphs>308</Paragraphs>
  <ScaleCrop>false</ScaleCrop>
  <Company/>
  <LinksUpToDate>false</LinksUpToDate>
  <CharactersWithSpaces>22811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Rasha Abdel-Raouf Abdel-Aziz Afifi</dc:creator>
  <cp:keywords/>
  <dc:description/>
  <cp:lastModifiedBy>Rasha Abdel-Raouf Abdel-Aziz Afifi</cp:lastModifiedBy>
  <cp:revision>5</cp:revision>
  <dcterms:created xsi:type="dcterms:W3CDTF">2023-09-18T17:33:00Z</dcterms:created>
  <dcterms:modified xsi:type="dcterms:W3CDTF">2023-09-22T09:28:00Z</dcterms:modified>
</cp:coreProperties>
</file>