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Toc6116"/>
      <w:bookmarkStart w:id="1" w:name="_Toc28835"/>
      <w:r>
        <w:rPr>
          <w:rFonts w:ascii="Times New Roman" w:hAnsi="Times New Roman" w:cs="Times New Roman"/>
          <w:b/>
          <w:bCs/>
          <w:sz w:val="32"/>
          <w:szCs w:val="32"/>
        </w:rPr>
        <w:t>Supplemental Material</w:t>
      </w:r>
      <w:bookmarkEnd w:id="0"/>
      <w:bookmarkEnd w:id="1"/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both"/>
        <w:rPr>
          <w:rFonts w:hint="default" w:ascii="Times New Roman" w:hAnsi="Times New Roman" w:cs="Times New Roman"/>
          <w:b/>
          <w:bCs/>
          <w:sz w:val="24"/>
          <w:szCs w:val="28"/>
        </w:rPr>
      </w:pPr>
      <w:r>
        <w:rPr>
          <w:rFonts w:hint="default" w:ascii="Times New Roman" w:hAnsi="Times New Roman" w:cs="Times New Roman"/>
          <w:b/>
          <w:bCs/>
          <w:sz w:val="24"/>
          <w:szCs w:val="28"/>
        </w:rPr>
        <w:t>Association of ethylene oxide with nonalcoholic fatty liver disease among US adults.</w:t>
      </w: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both"/>
        <w:rPr>
          <w:rFonts w:hint="default" w:ascii="Times New Roman" w:hAnsi="Times New Roman" w:cs="Times New Roman"/>
          <w:b/>
          <w:bCs/>
          <w:sz w:val="24"/>
          <w:szCs w:val="28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both"/>
        <w:rPr>
          <w:rFonts w:hint="default" w:ascii="Times New Roman" w:hAnsi="Times New Roman" w:cs="Times New Roman"/>
          <w:b w:val="0"/>
          <w:bCs w:val="0"/>
          <w:sz w:val="22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4"/>
        </w:rPr>
        <w:t>Shiwei Yan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</w:rPr>
        <w:t>, Haolong Pe</w:t>
      </w:r>
      <w:bookmarkStart w:id="3" w:name="_GoBack"/>
      <w:bookmarkEnd w:id="3"/>
      <w:r>
        <w:rPr>
          <w:rFonts w:hint="default" w:ascii="Times New Roman" w:hAnsi="Times New Roman" w:cs="Times New Roman"/>
          <w:b w:val="0"/>
          <w:bCs w:val="0"/>
          <w:sz w:val="22"/>
          <w:szCs w:val="24"/>
        </w:rPr>
        <w:t>i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</w:rPr>
        <w:t>, Qian Li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</w:rPr>
        <w:t>, Wenzhe Cao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</w:rPr>
        <w:t>, Yan Dou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</w:rPr>
        <w:t>, Shihan Zhen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</w:rPr>
        <w:t>, Qingyao Wu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</w:rPr>
        <w:t>, Fengchao Liang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 w:val="0"/>
          <w:bCs w:val="0"/>
          <w:sz w:val="22"/>
          <w:szCs w:val="24"/>
        </w:rPr>
        <w:t>*</w:t>
      </w: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both"/>
        <w:rPr>
          <w:rFonts w:hint="default" w:ascii="Times New Roman" w:hAnsi="Times New Roman" w:cs="Times New Roman"/>
          <w:b/>
          <w:bCs/>
          <w:sz w:val="24"/>
          <w:szCs w:val="28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sz w:val="22"/>
          <w:szCs w:val="22"/>
        </w:rPr>
        <w:t xml:space="preserve">Table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eastAsia="等线" w:cs="Times New Roman"/>
          <w:b/>
          <w:bCs/>
          <w:color w:val="000000"/>
          <w:sz w:val="22"/>
          <w:szCs w:val="22"/>
        </w:rPr>
        <w:t>1</w:t>
      </w:r>
      <w:r>
        <w:rPr>
          <w:rFonts w:hint="default" w:ascii="Times New Roman" w:hAnsi="Times New Roman" w:eastAsia="等线" w:cs="Times New Roman"/>
          <w:color w:val="000000"/>
          <w:sz w:val="22"/>
          <w:szCs w:val="22"/>
        </w:rPr>
        <w:t>. Computational methods for non-invasive assessment models</w:t>
      </w:r>
      <w:r>
        <w:rPr>
          <w:rFonts w:hint="eastAsia" w:ascii="Times New Roman" w:hAnsi="Times New Roman" w:eastAsia="等线" w:cs="Times New Roman"/>
          <w:color w:val="000000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color w:val="000000"/>
          <w:sz w:val="22"/>
          <w:szCs w:val="22"/>
        </w:rPr>
        <w:t xml:space="preserve">of </w:t>
      </w:r>
      <w:r>
        <w:rPr>
          <w:rFonts w:hint="eastAsia" w:ascii="Times New Roman" w:hAnsi="Times New Roman" w:eastAsia="等线" w:cs="Times New Roman"/>
          <w:color w:val="000000"/>
          <w:sz w:val="22"/>
          <w:szCs w:val="22"/>
          <w:lang w:val="en-US" w:eastAsia="zh-CN"/>
        </w:rPr>
        <w:t>NAFLD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fldChar w:fldCharType="begin"/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instrText xml:space="preserve">TOC \o "1-1" \h \u </w:instrTex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fldChar w:fldCharType="separate"/>
      </w:r>
      <w:r>
        <w:rPr>
          <w:rFonts w:hint="default" w:ascii="Times New Roman" w:hAnsi="Times New Roman" w:cs="Times New Roman"/>
          <w:bCs w:val="0"/>
          <w:sz w:val="22"/>
          <w:szCs w:val="22"/>
        </w:rPr>
        <w:fldChar w:fldCharType="begin"/>
      </w:r>
      <w:r>
        <w:rPr>
          <w:rFonts w:hint="default" w:ascii="Times New Roman" w:hAnsi="Times New Roman" w:cs="Times New Roman"/>
          <w:bCs w:val="0"/>
          <w:sz w:val="22"/>
          <w:szCs w:val="22"/>
        </w:rPr>
        <w:instrText xml:space="preserve"> HYPERLINK \l _Toc6116 </w:instrText>
      </w:r>
      <w:r>
        <w:rPr>
          <w:rFonts w:hint="default" w:ascii="Times New Roman" w:hAnsi="Times New Roman" w:cs="Times New Roman"/>
          <w:bCs w:val="0"/>
          <w:sz w:val="22"/>
          <w:szCs w:val="22"/>
        </w:rPr>
        <w:fldChar w:fldCharType="separate"/>
      </w:r>
      <w:r>
        <w:rPr>
          <w:rFonts w:hint="default" w:ascii="Times New Roman" w:hAnsi="Times New Roman" w:cs="Times New Roman"/>
          <w:sz w:val="22"/>
          <w:szCs w:val="22"/>
        </w:rPr>
        <w:tab/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1</w:t>
      </w:r>
      <w:r>
        <w:rPr>
          <w:rFonts w:hint="default" w:ascii="Times New Roman" w:hAnsi="Times New Roman" w:cs="Times New Roman"/>
          <w:bCs w:val="0"/>
          <w:sz w:val="22"/>
          <w:szCs w:val="22"/>
        </w:rPr>
        <w:fldChar w:fldCharType="end"/>
      </w: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sz w:val="22"/>
          <w:szCs w:val="22"/>
        </w:rPr>
        <w:t xml:space="preserve">Table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2"/>
          <w:szCs w:val="22"/>
          <w:lang w:val="en-US" w:eastAsia="zh-CN"/>
        </w:rPr>
        <w:t>S2</w:t>
      </w:r>
      <w:r>
        <w:rPr>
          <w:rFonts w:hint="default" w:ascii="Times New Roman" w:hAnsi="Times New Roman" w:eastAsia="等线" w:cs="Times New Roman"/>
          <w:color w:val="000000"/>
          <w:sz w:val="22"/>
          <w:szCs w:val="22"/>
        </w:rPr>
        <w:t>. Baseline characteristics of study variables by NAFLD status in the NHANES 2013-2018.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fldChar w:fldCharType="begin"/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instrText xml:space="preserve">TOC \o "1-1" \h \u </w:instrTex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fldChar w:fldCharType="separate"/>
      </w:r>
      <w:r>
        <w:rPr>
          <w:rFonts w:hint="default" w:ascii="Times New Roman" w:hAnsi="Times New Roman" w:cs="Times New Roman"/>
          <w:bCs w:val="0"/>
          <w:sz w:val="22"/>
          <w:szCs w:val="22"/>
        </w:rPr>
        <w:fldChar w:fldCharType="begin"/>
      </w:r>
      <w:r>
        <w:rPr>
          <w:rFonts w:hint="default" w:ascii="Times New Roman" w:hAnsi="Times New Roman" w:cs="Times New Roman"/>
          <w:bCs w:val="0"/>
          <w:sz w:val="22"/>
          <w:szCs w:val="22"/>
        </w:rPr>
        <w:instrText xml:space="preserve"> HYPERLINK \l _Toc6116 </w:instrText>
      </w:r>
      <w:r>
        <w:rPr>
          <w:rFonts w:hint="default" w:ascii="Times New Roman" w:hAnsi="Times New Roman" w:cs="Times New Roman"/>
          <w:bCs w:val="0"/>
          <w:sz w:val="22"/>
          <w:szCs w:val="22"/>
        </w:rPr>
        <w:fldChar w:fldCharType="separate"/>
      </w:r>
      <w:r>
        <w:rPr>
          <w:rFonts w:hint="default" w:ascii="Times New Roman" w:hAnsi="Times New Roman" w:cs="Times New Roman"/>
          <w:sz w:val="22"/>
          <w:szCs w:val="22"/>
        </w:rPr>
        <w:tab/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2</w:t>
      </w:r>
      <w:r>
        <w:rPr>
          <w:rFonts w:hint="default" w:ascii="Times New Roman" w:hAnsi="Times New Roman" w:cs="Times New Roman"/>
          <w:bCs w:val="0"/>
          <w:sz w:val="22"/>
          <w:szCs w:val="22"/>
        </w:rPr>
        <w:fldChar w:fldCharType="end"/>
      </w:r>
    </w:p>
    <w:p>
      <w:pPr>
        <w:pStyle w:val="8"/>
        <w:tabs>
          <w:tab w:val="right" w:leader="dot" w:pos="8306"/>
        </w:tabs>
        <w:jc w:val="both"/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sz w:val="22"/>
          <w:szCs w:val="22"/>
        </w:rPr>
        <w:t xml:space="preserve">Table </w:t>
      </w:r>
      <w:r>
        <w:rPr>
          <w:rFonts w:hint="eastAsia" w:ascii="Times New Roman" w:hAnsi="Times New Roman" w:eastAsia="等线" w:cs="Times New Roman"/>
          <w:b/>
          <w:bCs/>
          <w:color w:val="000000"/>
          <w:sz w:val="22"/>
          <w:szCs w:val="22"/>
          <w:lang w:val="en-US" w:eastAsia="zh-CN"/>
        </w:rPr>
        <w:t>S3</w:t>
      </w:r>
      <w:r>
        <w:rPr>
          <w:rFonts w:hint="default" w:ascii="Times New Roman" w:hAnsi="Times New Roman" w:eastAsia="等线" w:cs="Times New Roman"/>
          <w:color w:val="000000"/>
          <w:sz w:val="22"/>
          <w:szCs w:val="22"/>
        </w:rPr>
        <w:t>. Sensitivity analyses: Sensitivity analyses: Association of HbEO levels with the risk of NAFLD assessed by USFLI</w:t>
      </w:r>
      <w:r>
        <w:rPr>
          <w:rFonts w:hint="eastAsia" w:ascii="Times New Roman" w:hAnsi="Times New Roman" w:eastAsia="等线" w:cs="Times New Roman"/>
          <w:color w:val="000000"/>
          <w:sz w:val="22"/>
          <w:szCs w:val="22"/>
          <w:lang w:val="en-US" w:eastAsia="zh-CN"/>
        </w:rPr>
        <w:t xml:space="preserve"> and</w:t>
      </w:r>
      <w:r>
        <w:rPr>
          <w:rFonts w:hint="default" w:ascii="Times New Roman" w:hAnsi="Times New Roman" w:eastAsia="等线" w:cs="Times New Roman"/>
          <w:color w:val="000000"/>
          <w:sz w:val="22"/>
          <w:szCs w:val="22"/>
        </w:rPr>
        <w:t xml:space="preserve"> FLI in adults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fldChar w:fldCharType="begin"/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instrText xml:space="preserve">TOC \o "1-1" \h \u </w:instrTex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fldChar w:fldCharType="separate"/>
      </w:r>
      <w:r>
        <w:rPr>
          <w:rFonts w:hint="default" w:ascii="Times New Roman" w:hAnsi="Times New Roman" w:cs="Times New Roman"/>
          <w:bCs w:val="0"/>
          <w:sz w:val="22"/>
          <w:szCs w:val="22"/>
        </w:rPr>
        <w:fldChar w:fldCharType="begin"/>
      </w:r>
      <w:r>
        <w:rPr>
          <w:rFonts w:hint="default" w:ascii="Times New Roman" w:hAnsi="Times New Roman" w:cs="Times New Roman"/>
          <w:bCs w:val="0"/>
          <w:sz w:val="22"/>
          <w:szCs w:val="22"/>
        </w:rPr>
        <w:instrText xml:space="preserve"> HYPERLINK \l _Toc6116 </w:instrText>
      </w:r>
      <w:r>
        <w:rPr>
          <w:rFonts w:hint="default" w:ascii="Times New Roman" w:hAnsi="Times New Roman" w:cs="Times New Roman"/>
          <w:bCs w:val="0"/>
          <w:sz w:val="22"/>
          <w:szCs w:val="22"/>
        </w:rPr>
        <w:fldChar w:fldCharType="separate"/>
      </w:r>
      <w:r>
        <w:rPr>
          <w:rFonts w:hint="default" w:ascii="Times New Roman" w:hAnsi="Times New Roman" w:cs="Times New Roman"/>
          <w:sz w:val="22"/>
          <w:szCs w:val="22"/>
        </w:rPr>
        <w:tab/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3</w:t>
      </w:r>
    </w:p>
    <w:p>
      <w:pPr>
        <w:pStyle w:val="8"/>
        <w:tabs>
          <w:tab w:val="right" w:leader="dot" w:pos="8306"/>
        </w:tabs>
        <w:jc w:val="both"/>
        <w:rPr>
          <w:rFonts w:hint="eastAsia" w:ascii="Times New Roman" w:hAnsi="Times New Roman" w:cs="Times New Roman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Cs w:val="0"/>
          <w:sz w:val="22"/>
          <w:szCs w:val="22"/>
        </w:rPr>
        <w:fldChar w:fldCharType="end"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Figure S1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t>.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hint="eastAsia" w:ascii="Times New Roman" w:hAnsi="Times New Roman" w:cs="Times New Roman"/>
          <w:bCs w:val="0"/>
          <w:sz w:val="22"/>
          <w:szCs w:val="22"/>
          <w:lang w:val="en-US" w:eastAsia="zh-CN"/>
        </w:rPr>
        <w:t>Flowchart of the screening process of eligible participants from NHANES 2013-2018</w:t>
      </w:r>
      <w:r>
        <w:rPr>
          <w:rFonts w:hint="default" w:ascii="Times New Roman" w:hAnsi="Times New Roman" w:cs="Times New Roman"/>
          <w:bCs w:val="0"/>
          <w:sz w:val="22"/>
          <w:szCs w:val="22"/>
        </w:rPr>
        <w:t>..</w:t>
      </w:r>
      <w:r>
        <w:rPr>
          <w:rFonts w:hint="default" w:ascii="Times New Roman" w:hAnsi="Times New Roman" w:cs="Times New Roman"/>
          <w:bCs w:val="0"/>
          <w:sz w:val="22"/>
          <w:szCs w:val="22"/>
        </w:rPr>
        <w:tab/>
      </w:r>
      <w:r>
        <w:rPr>
          <w:rFonts w:hint="eastAsia" w:ascii="Times New Roman" w:hAnsi="Times New Roman" w:cs="Times New Roman"/>
          <w:bCs w:val="0"/>
          <w:sz w:val="22"/>
          <w:szCs w:val="22"/>
          <w:lang w:val="en-US" w:eastAsia="zh-CN"/>
        </w:rPr>
        <w:t>4</w:t>
      </w: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Figure S2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t>.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hint="eastAsia" w:ascii="Times New Roman" w:hAnsi="Times New Roman" w:cs="Times New Roman"/>
          <w:bCs w:val="0"/>
          <w:sz w:val="22"/>
          <w:szCs w:val="22"/>
          <w:lang w:val="en-US" w:eastAsia="zh-CN"/>
        </w:rPr>
        <w:t>Mediation analysis of inflammatory markers on the relationship between HbEO and risk of NAFLD</w:t>
      </w:r>
      <w:r>
        <w:rPr>
          <w:rFonts w:hint="default" w:ascii="Times New Roman" w:hAnsi="Times New Roman" w:cs="Times New Roman"/>
          <w:bCs w:val="0"/>
          <w:sz w:val="22"/>
          <w:szCs w:val="22"/>
        </w:rPr>
        <w:t>..</w:t>
      </w:r>
    </w:p>
    <w:p>
      <w:pPr>
        <w:pStyle w:val="8"/>
        <w:tabs>
          <w:tab w:val="right" w:leader="dot" w:pos="8306"/>
        </w:tabs>
        <w:jc w:val="both"/>
        <w:rPr>
          <w:rFonts w:hint="eastAsia" w:ascii="Times New Roman" w:hAnsi="Times New Roman" w:cs="Times New Roman"/>
          <w:bCs w:val="0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Figure S3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t>.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hint="eastAsia" w:ascii="Times New Roman" w:hAnsi="Times New Roman" w:cs="Times New Roman"/>
          <w:bCs w:val="0"/>
          <w:sz w:val="22"/>
          <w:szCs w:val="22"/>
          <w:lang w:val="en-US" w:eastAsia="zh-CN"/>
        </w:rPr>
        <w:t>Mediation analysis of inflammatory markers on the relationship between HbEO and USFLI and FLI</w:t>
      </w:r>
      <w:r>
        <w:rPr>
          <w:rFonts w:hint="default" w:ascii="Times New Roman" w:hAnsi="Times New Roman" w:cs="Times New Roman"/>
          <w:bCs w:val="0"/>
          <w:sz w:val="22"/>
          <w:szCs w:val="22"/>
        </w:rPr>
        <w:t>..</w:t>
      </w:r>
      <w:r>
        <w:rPr>
          <w:rFonts w:hint="default" w:ascii="Times New Roman" w:hAnsi="Times New Roman" w:cs="Times New Roman"/>
          <w:bCs w:val="0"/>
          <w:sz w:val="22"/>
          <w:szCs w:val="22"/>
        </w:rPr>
        <w:tab/>
      </w:r>
      <w:r>
        <w:rPr>
          <w:rFonts w:hint="eastAsia" w:ascii="Times New Roman" w:hAnsi="Times New Roman" w:cs="Times New Roman"/>
          <w:bCs w:val="0"/>
          <w:sz w:val="22"/>
          <w:szCs w:val="22"/>
          <w:lang w:val="en-US" w:eastAsia="zh-CN"/>
        </w:rPr>
        <w:t>5</w:t>
      </w: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  <w:lang w:val="en-US" w:eastAsia="zh-CN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  <w:r>
        <w:rPr>
          <w:rFonts w:hint="default" w:ascii="Times New Roman" w:hAnsi="Times New Roman" w:cs="Times New Roman"/>
          <w:bCs w:val="0"/>
          <w:sz w:val="22"/>
          <w:szCs w:val="22"/>
        </w:rPr>
        <w:fldChar w:fldCharType="end"/>
      </w: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 w:eastAsiaTheme="minorEastAsia"/>
          <w:b/>
          <w:bCs/>
          <w:i w:val="0"/>
          <w:iCs w:val="0"/>
          <w:sz w:val="22"/>
          <w:szCs w:val="22"/>
          <w:lang w:val="en-US" w:eastAsia="zh-CN"/>
        </w:rPr>
      </w:pPr>
      <w:bookmarkStart w:id="2" w:name="_Hlk124963058"/>
      <w:r>
        <w:rPr>
          <w:rFonts w:hint="default" w:ascii="Times New Roman" w:hAnsi="Times New Roman" w:cs="Times New Roman"/>
          <w:b/>
          <w:bCs/>
          <w:i w:val="0"/>
          <w:iCs w:val="0"/>
          <w:sz w:val="22"/>
          <w:szCs w:val="22"/>
        </w:rPr>
        <w:t xml:space="preserve">Table </w:t>
      </w:r>
      <w:r>
        <w:rPr>
          <w:rFonts w:hint="eastAsia" w:ascii="Times New Roman" w:hAnsi="Times New Roman" w:cs="Times New Roman"/>
          <w:b/>
          <w:bCs/>
          <w:i w:val="0"/>
          <w:i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i w:val="0"/>
          <w:iCs w:val="0"/>
          <w:sz w:val="22"/>
          <w:szCs w:val="22"/>
        </w:rPr>
        <w:t>1</w:t>
      </w:r>
      <w:bookmarkEnd w:id="2"/>
      <w:r>
        <w:rPr>
          <w:rFonts w:hint="eastAsia" w:ascii="Times New Roman" w:hAnsi="Times New Roman" w:cs="Times New Roman"/>
          <w:b/>
          <w:bCs/>
          <w:i w:val="0"/>
          <w:iCs w:val="0"/>
          <w:sz w:val="22"/>
          <w:szCs w:val="22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i w:val="0"/>
          <w:iCs w:val="0"/>
          <w:sz w:val="22"/>
          <w:szCs w:val="22"/>
        </w:rPr>
        <w:t xml:space="preserve"> Computational methods for non-invasive assessment models of </w:t>
      </w:r>
      <w:r>
        <w:rPr>
          <w:rFonts w:hint="eastAsia" w:ascii="Times New Roman" w:hAnsi="Times New Roman" w:cs="Times New Roman"/>
          <w:b/>
          <w:bCs/>
          <w:i w:val="0"/>
          <w:iCs w:val="0"/>
          <w:sz w:val="22"/>
          <w:szCs w:val="22"/>
          <w:lang w:val="en-US" w:eastAsia="zh-CN"/>
        </w:rPr>
        <w:t>NAFLD</w:t>
      </w:r>
    </w:p>
    <w:tbl>
      <w:tblPr>
        <w:tblStyle w:val="6"/>
        <w:tblpPr w:leftFromText="180" w:rightFromText="180" w:vertAnchor="text" w:horzAnchor="page" w:tblpXSpec="center" w:tblpY="58"/>
        <w:tblOverlap w:val="never"/>
        <w:tblW w:w="14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4"/>
        <w:gridCol w:w="11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984" w:type="dxa"/>
            <w:tcBorders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2"/>
                <w:szCs w:val="22"/>
              </w:rPr>
              <w:t>Scoring System</w:t>
            </w:r>
          </w:p>
        </w:tc>
        <w:tc>
          <w:tcPr>
            <w:tcW w:w="11055" w:type="dxa"/>
            <w:tcBorders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2"/>
                <w:szCs w:val="22"/>
              </w:rPr>
              <w:t>Algorithms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color w:val="000000"/>
                <w:kern w:val="0"/>
                <w:sz w:val="22"/>
                <w:szCs w:val="22"/>
                <w:lang w:val="en-US" w:eastAsia="zh-CN"/>
              </w:rPr>
              <w:t>US f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2"/>
                <w:szCs w:val="22"/>
              </w:rPr>
              <w:t>atty liver index (</w:t>
            </w:r>
            <w:r>
              <w:rPr>
                <w:rFonts w:hint="eastAsia" w:ascii="Times New Roman" w:hAnsi="Times New Roman" w:eastAsia="微软雅黑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US 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2"/>
                <w:szCs w:val="22"/>
              </w:rPr>
              <w:t>FLI)</w:t>
            </w:r>
          </w:p>
        </w:tc>
        <w:tc>
          <w:tcPr>
            <w:tcW w:w="110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position w:val="-30"/>
                <w:sz w:val="22"/>
                <w:szCs w:val="22"/>
                <w:highlight w:val="none"/>
                <w:lang w:val="en-US" w:eastAsia="zh-CN"/>
              </w:rPr>
              <w:object>
                <v:shape id="_x0000_i1025" o:spt="75" type="#_x0000_t75" style="height:30.75pt;width:487.45pt;" o:ole="t" filled="f" o:preferrelative="t" stroked="f" coordsize="21600,21600">
                  <v:path/>
                  <v:fill on="f" focussize="0,0"/>
                  <v:stroke on="f"/>
                  <v:imagedata r:id="rId6" o:title=""/>
                  <o:lock v:ext="edit" aspectratio="t"/>
                  <w10:wrap type="none"/>
                  <w10:anchorlock/>
                </v:shape>
                <o:OLEObject Type="Embed" ProgID="Equation.KSEE3" ShapeID="_x0000_i1025" DrawAspect="Content" ObjectID="_1468075725" r:id="rId5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微软雅黑" w:cs="Times New Roman"/>
                <w:color w:val="000000"/>
                <w:kern w:val="0"/>
                <w:sz w:val="22"/>
                <w:szCs w:val="22"/>
                <w:lang w:val="en-US" w:eastAsia="zh-CN"/>
              </w:rPr>
              <w:t>F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22"/>
                <w:szCs w:val="22"/>
              </w:rPr>
              <w:t>atty liver index (FLI)</w:t>
            </w:r>
          </w:p>
        </w:tc>
        <w:tc>
          <w:tcPr>
            <w:tcW w:w="1105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微软雅黑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position w:val="-34"/>
                <w:sz w:val="22"/>
                <w:szCs w:val="22"/>
                <w:highlight w:val="none"/>
                <w:lang w:val="en-US" w:eastAsia="zh-CN"/>
              </w:rPr>
              <w:object>
                <v:shape id="_x0000_i1026" o:spt="75" type="#_x0000_t75" style="height:31.4pt;width:257pt;" o:ole="t" filled="f" o:preferrelative="t" stroked="f" coordsize="21600,21600">
                  <v:path/>
                  <v:fill on="f" focussize="0,0"/>
                  <v:stroke on="f"/>
                  <v:imagedata r:id="rId8" o:title=""/>
                  <o:lock v:ext="edit" aspectratio="t"/>
                  <w10:wrap type="none"/>
                  <w10:anchorlock/>
                </v:shape>
                <o:OLEObject Type="Embed" ProgID="Equation.KSEE3" ShapeID="_x0000_i1026" DrawAspect="Content" ObjectID="_1468075726" r:id="rId7">
                  <o:LockedField>false</o:LockedField>
                </o:OLEObject>
              </w:object>
            </w:r>
          </w:p>
        </w:tc>
      </w:tr>
    </w:tbl>
    <w:p>
      <w:pPr>
        <w:rPr>
          <w:rFonts w:hint="eastAsia" w:ascii="Times New Roman" w:hAnsi="Times New Roman" w:eastAsia="微软雅黑" w:cs="Times New Roman"/>
          <w:bCs w:val="0"/>
          <w:sz w:val="22"/>
          <w:szCs w:val="22"/>
          <w:lang w:val="en-US" w:eastAsia="zh-CN"/>
        </w:rPr>
      </w:pPr>
      <w:r>
        <w:rPr>
          <w:rFonts w:ascii="Times New Roman" w:hAnsi="Times New Roman" w:eastAsia="微软雅黑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 xml:space="preserve">Abbreviations: </w:t>
      </w:r>
      <w:r>
        <w:rPr>
          <w:rFonts w:hint="eastAsia" w:ascii="Times New Roman" w:hAnsi="Times New Roman" w:eastAsia="微软雅黑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 xml:space="preserve">ALB, albumin; </w:t>
      </w:r>
      <w:r>
        <w:rPr>
          <w:rFonts w:ascii="Times New Roman" w:hAnsi="Times New Roman" w:eastAsia="微软雅黑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BMI, body mass index;</w:t>
      </w:r>
      <w:r>
        <w:rPr>
          <w:rFonts w:hint="eastAsia" w:ascii="Times New Roman" w:hAnsi="Times New Roman" w:eastAsia="微软雅黑" w:cs="Times New Roman"/>
          <w:color w:val="000000" w:themeColor="text1"/>
          <w:kern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微软雅黑" w:cs="Times New Roman"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GGT, gamma glutamyl transferase</w:t>
      </w:r>
      <w:r>
        <w:rPr>
          <w:rFonts w:hint="eastAsia" w:ascii="Times New Roman" w:hAnsi="Times New Roman" w:eastAsia="微软雅黑" w:cs="Times New Roman"/>
          <w:color w:val="000000" w:themeColor="text1"/>
          <w:kern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</w:p>
    <w:p>
      <w:pPr>
        <w:pStyle w:val="8"/>
        <w:tabs>
          <w:tab w:val="right" w:leader="dot" w:pos="8306"/>
        </w:tabs>
        <w:jc w:val="both"/>
        <w:rPr>
          <w:rFonts w:hint="default" w:ascii="Times New Roman" w:hAnsi="Times New Roman" w:cs="Times New Roman"/>
          <w:bCs w:val="0"/>
          <w:sz w:val="22"/>
          <w:szCs w:val="22"/>
        </w:rPr>
      </w:pPr>
      <w:r>
        <w:rPr>
          <w:rFonts w:hint="default" w:ascii="Times New Roman" w:hAnsi="Times New Roman" w:cs="Times New Roman"/>
          <w:bCs w:val="0"/>
          <w:sz w:val="22"/>
          <w:szCs w:val="2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Cs w:val="0"/>
          <w:sz w:val="24"/>
          <w:szCs w:val="24"/>
        </w:rPr>
        <w:sectPr>
          <w:footerReference r:id="rId3" w:type="default"/>
          <w:pgSz w:w="16838" w:h="11906" w:orient="landscape"/>
          <w:pgMar w:top="1701" w:right="1417" w:bottom="1701" w:left="1417" w:header="851" w:footer="992" w:gutter="0"/>
          <w:pgNumType w:start="1"/>
          <w:cols w:space="0" w:num="1"/>
          <w:rtlGutter w:val="0"/>
          <w:docGrid w:type="lines" w:linePitch="319" w:charSpace="0"/>
        </w:sectPr>
      </w:pPr>
      <w:r>
        <w:rPr>
          <w:rFonts w:hint="default" w:ascii="Times New Roman" w:hAnsi="Times New Roman" w:cs="Times New Roman"/>
          <w:bCs w:val="0"/>
          <w:sz w:val="22"/>
          <w:szCs w:val="22"/>
        </w:rPr>
        <w:fldChar w:fldCharType="end"/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2"/>
          <w:szCs w:val="22"/>
        </w:rPr>
        <w:t>Table</w:t>
      </w: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2"/>
          <w:szCs w:val="22"/>
          <w:lang w:val="en-US" w:eastAsia="zh-CN"/>
        </w:rPr>
        <w:t>S2</w:t>
      </w: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lang w:val="en-US" w:eastAsia="zh-CN"/>
        </w:rPr>
        <w:t xml:space="preserve">. Baseline characteristics of study variables by </w:t>
      </w:r>
      <w:r>
        <w:rPr>
          <w:rFonts w:hint="eastAsia" w:ascii="Times New Roman" w:hAnsi="Times New Roman" w:cs="Times New Roman"/>
          <w:b/>
          <w:bCs/>
          <w:color w:val="auto"/>
          <w:sz w:val="22"/>
          <w:szCs w:val="22"/>
          <w:lang w:val="en-US" w:eastAsia="zh-CN"/>
        </w:rPr>
        <w:t>NAFLD</w:t>
      </w: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lang w:val="en-US" w:eastAsia="zh-CN"/>
        </w:rPr>
        <w:t xml:space="preserve"> status in the NHANES 20</w:t>
      </w:r>
      <w:r>
        <w:rPr>
          <w:rFonts w:hint="eastAsia" w:ascii="Times New Roman" w:hAnsi="Times New Roman" w:cs="Times New Roman"/>
          <w:b/>
          <w:bCs/>
          <w:color w:val="auto"/>
          <w:sz w:val="22"/>
          <w:szCs w:val="22"/>
          <w:lang w:val="en-US" w:eastAsia="zh-CN"/>
        </w:rPr>
        <w:t>13</w:t>
      </w: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lang w:val="en-US" w:eastAsia="zh-CN"/>
        </w:rPr>
        <w:t>-201</w:t>
      </w:r>
      <w:r>
        <w:rPr>
          <w:rFonts w:hint="eastAsia" w:ascii="Times New Roman" w:hAnsi="Times New Roman" w:cs="Times New Roman"/>
          <w:b/>
          <w:bCs/>
          <w:color w:val="auto"/>
          <w:sz w:val="22"/>
          <w:szCs w:val="22"/>
          <w:lang w:val="en-US" w:eastAsia="zh-CN"/>
        </w:rPr>
        <w:t>8</w:t>
      </w: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lang w:val="en-US" w:eastAsia="zh-CN"/>
        </w:rPr>
        <w:t>.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1"/>
        <w:gridCol w:w="2160"/>
        <w:gridCol w:w="2160"/>
        <w:gridCol w:w="1269"/>
        <w:gridCol w:w="2151"/>
        <w:gridCol w:w="2152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98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Variables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NAFLD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subscript"/>
                <w:lang w:val="en-US" w:eastAsia="zh-CN"/>
              </w:rPr>
              <w:t>USFLI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Non-NAFLD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subscript"/>
                <w:lang w:val="en-US" w:eastAsia="zh-CN"/>
              </w:rPr>
              <w:t>USFLI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22"/>
                <w:szCs w:val="22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-value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NAFLD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subscript"/>
                <w:lang w:val="en-US" w:eastAsia="zh-CN"/>
              </w:rPr>
              <w:t>FLI</w:t>
            </w:r>
          </w:p>
        </w:tc>
        <w:tc>
          <w:tcPr>
            <w:tcW w:w="21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Non-NAFLD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subscript"/>
                <w:lang w:val="en-US" w:eastAsia="zh-CN"/>
              </w:rPr>
              <w:t>FLI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22"/>
                <w:szCs w:val="22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98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Number of participants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792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1,602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1,005</w:t>
            </w:r>
          </w:p>
        </w:tc>
        <w:tc>
          <w:tcPr>
            <w:tcW w:w="2152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1,389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Age, years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52.2 (16.5)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46.2 (18.2)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50.6 (16.1)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46.5 (18.9)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Gender (female), %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367 (46.3)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809 (50.5)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0.055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485 (48.3)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691 (49.7)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0.47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</w:rPr>
              <w:t xml:space="preserve">Non-Hispanic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w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</w:rPr>
              <w:t>hite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, %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318 (40.2)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618 (38.6)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395 (39.3)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541 (38.9)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</w:rPr>
              <w:t>College graduate or above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, %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134 (16.9)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407 (25.4)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170 (16.9)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371 (26.7)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Over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$75,000 , %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171 (21.6)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439 (27.4)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0.031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216 (21.5)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394 (28.4)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Current s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moking, %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188 (23.7)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496 (31.0)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282 (28.1)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402 (28.9)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0.89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Current drinking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, %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452 (57.1)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1,005 (62.7)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0.002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607 (60.4)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850 (61.2)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0.87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BMI, kg/m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34.2 (7.1)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26.4 (5.3)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34.8 (6.4)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24.8 (3.7)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Waist circumference, cm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112.8 (14.7)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92.1 (13.0)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113.5 (12.9)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88.5 (10.1)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SBP, mmHg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128.4 (17.0)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121.9 (18.9)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128.1 (17.8)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121.1 (18.5)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DBP, mmHg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71.8 (11.9)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68.8 (12.0)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72.4 (12.3)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68.0 (11.5)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Hypertension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, %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447 (56.4)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556 (34.7)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556 (55.3)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447 (32.2)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Fasting glucose, mg/dL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127.7 (48.7)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101.1 (22.6)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119.2 (42.9)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103.1 (27.7)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Fasting insulin, pmol/L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145.2 (132.9)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45.3 (24.0)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116.2 (117.5)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51.0 (52.7)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Glycohemoglobin, %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6.25 (1.46)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5.53 (0.72)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6.05 (1.29)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5.56 (0.83)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  <w:t>Diabetes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, %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300 (37.9)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158 (9.9)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304 (30.2)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454 (11.1)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TG, mg/dL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158.5 (121.3)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95.1 (74.5)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158.8 (152.7)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84.8 (46.1)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TC, mg/dL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191.7 (42.4)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186.2 (41.1)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0.002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195.4 (42.8)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182.7 (40.0)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ALT, U/L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31.7 (22.2)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20.7 (15.5)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28.7 (19.7)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21.2 (17.4)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AST, U/L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27.7 (32.0)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22.7 (12.7)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26.1 (28.6)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23.2 (13.7)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GGT, U/L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44.2 (53.3)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22.1 (22.0)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40.4 (50.5)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21.4 (19.2)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TBIL, umol/L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9.57 (4.57)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10.3 (5.05)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9.57 (4.75)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10.41 (4.99)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ALB, g/dL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4.15 (0.34)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4.24 (0.34)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4.15 (0.35)</w:t>
            </w:r>
          </w:p>
        </w:tc>
        <w:tc>
          <w:tcPr>
            <w:tcW w:w="215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4.26 (0.33)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tabs>
          <w:tab w:val="left" w:pos="755"/>
        </w:tabs>
        <w:bidi w:val="0"/>
        <w:jc w:val="both"/>
        <w:rPr>
          <w:rFonts w:hint="default" w:ascii="Times New Roman" w:hAnsi="Times New Roman" w:eastAsia="宋体" w:cs="Times New Roman"/>
          <w:color w:val="auto"/>
          <w:kern w:val="2"/>
          <w:sz w:val="22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color w:val="auto"/>
          <w:kern w:val="2"/>
          <w:sz w:val="22"/>
          <w:szCs w:val="22"/>
          <w:lang w:val="en-US" w:eastAsia="zh-CN" w:bidi="ar-SA"/>
        </w:rPr>
        <w:t>*</w:t>
      </w:r>
      <w:r>
        <w:rPr>
          <w:rFonts w:hint="eastAsia" w:ascii="Times New Roman" w:hAnsi="Times New Roman" w:eastAsia="宋体" w:cs="Times New Roman"/>
          <w:i/>
          <w:iCs/>
          <w:color w:val="auto"/>
          <w:kern w:val="2"/>
          <w:sz w:val="22"/>
          <w:szCs w:val="22"/>
          <w:lang w:val="en-US" w:eastAsia="zh-CN" w:bidi="ar-SA"/>
        </w:rPr>
        <w:t>P</w:t>
      </w:r>
      <w:r>
        <w:rPr>
          <w:rFonts w:hint="eastAsia" w:ascii="Times New Roman" w:hAnsi="Times New Roman" w:eastAsia="宋体" w:cs="Times New Roman"/>
          <w:color w:val="auto"/>
          <w:kern w:val="2"/>
          <w:sz w:val="22"/>
          <w:szCs w:val="22"/>
          <w:lang w:val="en-US" w:eastAsia="zh-CN" w:bidi="ar-SA"/>
        </w:rPr>
        <w:t>&lt;0.05, **</w:t>
      </w:r>
      <w:r>
        <w:rPr>
          <w:rFonts w:hint="eastAsia" w:ascii="Times New Roman" w:hAnsi="Times New Roman" w:eastAsia="宋体" w:cs="Times New Roman"/>
          <w:i/>
          <w:iCs/>
          <w:color w:val="auto"/>
          <w:kern w:val="2"/>
          <w:sz w:val="22"/>
          <w:szCs w:val="22"/>
          <w:lang w:val="en-US" w:eastAsia="zh-CN" w:bidi="ar-SA"/>
        </w:rPr>
        <w:t>P</w:t>
      </w:r>
      <w:r>
        <w:rPr>
          <w:rFonts w:hint="eastAsia" w:ascii="Times New Roman" w:hAnsi="Times New Roman" w:eastAsia="宋体" w:cs="Times New Roman"/>
          <w:color w:val="auto"/>
          <w:kern w:val="2"/>
          <w:sz w:val="22"/>
          <w:szCs w:val="22"/>
          <w:lang w:val="en-US" w:eastAsia="zh-CN" w:bidi="ar-SA"/>
        </w:rPr>
        <w:t xml:space="preserve">&lt;0.01. </w:t>
      </w:r>
      <w:r>
        <w:rPr>
          <w:rFonts w:hint="default" w:ascii="Times New Roman" w:hAnsi="Times New Roman" w:eastAsia="宋体" w:cs="Times New Roman"/>
          <w:color w:val="auto"/>
          <w:kern w:val="2"/>
          <w:sz w:val="22"/>
          <w:szCs w:val="22"/>
          <w:lang w:val="en-US" w:eastAsia="zh-CN" w:bidi="ar-SA"/>
        </w:rPr>
        <w:t>Abbreviation: BMI, body mass index;</w:t>
      </w:r>
      <w:r>
        <w:rPr>
          <w:rFonts w:hint="eastAsia" w:ascii="Times New Roman" w:hAnsi="Times New Roman" w:cs="Times New Roman"/>
          <w:color w:val="auto"/>
          <w:kern w:val="2"/>
          <w:sz w:val="22"/>
          <w:szCs w:val="22"/>
          <w:lang w:val="en-US" w:eastAsia="zh-CN" w:bidi="ar-SA"/>
        </w:rPr>
        <w:t xml:space="preserve"> SBP</w:t>
      </w:r>
      <w:r>
        <w:rPr>
          <w:rFonts w:hint="default" w:ascii="Times New Roman" w:hAnsi="Times New Roman" w:cs="Times New Roman"/>
          <w:color w:val="auto"/>
          <w:kern w:val="2"/>
          <w:sz w:val="22"/>
          <w:szCs w:val="22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2"/>
          <w:szCs w:val="22"/>
          <w:shd w:val="clear" w:fill="FFFFFF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 xml:space="preserve">ystolic 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2"/>
          <w:szCs w:val="22"/>
          <w:shd w:val="clear" w:fill="FFFFFF"/>
          <w:lang w:val="en-US" w:eastAsia="zh-CN"/>
        </w:rPr>
        <w:t>blood p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ressure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2"/>
          <w:szCs w:val="22"/>
          <w:shd w:val="clear" w:fill="FFFFFF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color w:val="auto"/>
          <w:kern w:val="2"/>
          <w:sz w:val="22"/>
          <w:szCs w:val="22"/>
          <w:lang w:val="en-US" w:eastAsia="zh-CN" w:bidi="ar-SA"/>
        </w:rPr>
        <w:t>DBP</w:t>
      </w:r>
      <w:r>
        <w:rPr>
          <w:rFonts w:hint="default" w:ascii="Times New Roman" w:hAnsi="Times New Roman" w:cs="Times New Roman"/>
          <w:color w:val="auto"/>
          <w:kern w:val="2"/>
          <w:sz w:val="22"/>
          <w:szCs w:val="22"/>
          <w:lang w:val="en-US" w:eastAsia="zh-CN" w:bidi="ar-SA"/>
        </w:rPr>
        <w:t xml:space="preserve">, 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22"/>
          <w:szCs w:val="22"/>
          <w:shd w:val="clear" w:fill="FFFFFF"/>
          <w:lang w:val="en-US" w:eastAsia="zh-CN"/>
        </w:rPr>
        <w:t>d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2"/>
          <w:szCs w:val="22"/>
          <w:shd w:val="clear" w:fill="FFFFFF"/>
          <w:lang w:val="en-US" w:eastAsia="zh-CN"/>
        </w:rPr>
        <w:t>iastolic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2"/>
          <w:szCs w:val="22"/>
          <w:shd w:val="clear" w:fill="FFFFFF"/>
          <w:lang w:val="en-US" w:eastAsia="zh-CN"/>
        </w:rPr>
        <w:t>blood p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ressure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2"/>
          <w:szCs w:val="22"/>
          <w:shd w:val="clear" w:fill="FFFFFF"/>
          <w:lang w:val="en-US" w:eastAsia="zh-CN"/>
        </w:rPr>
        <w:t>;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22"/>
          <w:szCs w:val="22"/>
          <w:shd w:val="clear" w:fill="FFFFFF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kern w:val="2"/>
          <w:sz w:val="22"/>
          <w:szCs w:val="22"/>
          <w:lang w:val="en-US" w:eastAsia="zh-CN" w:bidi="ar-SA"/>
        </w:rPr>
        <w:t xml:space="preserve">TG, triglyceride; TC, total cholesterol; </w:t>
      </w:r>
      <w:r>
        <w:rPr>
          <w:rFonts w:hint="default" w:ascii="Times New Roman" w:hAnsi="Times New Roman" w:eastAsia="宋体" w:cs="Times New Roman"/>
          <w:color w:val="auto"/>
          <w:kern w:val="2"/>
          <w:sz w:val="22"/>
          <w:szCs w:val="22"/>
          <w:lang w:val="en-US" w:eastAsia="zh-CN" w:bidi="ar-SA"/>
        </w:rPr>
        <w:t>ALT, alanine aminotransferase; AST, aspartate aminotransferase;</w:t>
      </w:r>
      <w:r>
        <w:rPr>
          <w:rFonts w:hint="eastAsia" w:ascii="Times New Roman" w:hAnsi="Times New Roman" w:cs="Times New Roman"/>
          <w:color w:val="auto"/>
          <w:kern w:val="2"/>
          <w:sz w:val="22"/>
          <w:szCs w:val="22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2"/>
          <w:sz w:val="22"/>
          <w:szCs w:val="22"/>
          <w:lang w:val="en-US" w:eastAsia="zh-CN" w:bidi="ar-SA"/>
        </w:rPr>
        <w:t>GGT, gamma glutamyl transaminase;</w:t>
      </w:r>
      <w:r>
        <w:rPr>
          <w:rFonts w:hint="eastAsia" w:ascii="Times New Roman" w:hAnsi="Times New Roman" w:cs="Times New Roman"/>
          <w:color w:val="auto"/>
          <w:kern w:val="2"/>
          <w:sz w:val="22"/>
          <w:szCs w:val="22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/>
          <w:color w:val="auto"/>
          <w:sz w:val="22"/>
          <w:szCs w:val="22"/>
          <w:vertAlign w:val="baseline"/>
          <w:lang w:val="en-US" w:eastAsia="zh-CN"/>
        </w:rPr>
        <w:t xml:space="preserve">TBIL, total bilirubin; ALB, albumin; </w:t>
      </w:r>
      <w:r>
        <w:rPr>
          <w:rFonts w:hint="eastAsia" w:ascii="Times New Roman" w:hAnsi="Times New Roman" w:cs="Times New Roman"/>
          <w:color w:val="auto"/>
          <w:kern w:val="2"/>
          <w:sz w:val="22"/>
          <w:szCs w:val="22"/>
          <w:lang w:val="en-US" w:eastAsia="zh-CN" w:bidi="ar-SA"/>
        </w:rPr>
        <w:t>U</w:t>
      </w:r>
      <w:r>
        <w:rPr>
          <w:rFonts w:hint="default" w:ascii="Times New Roman" w:hAnsi="Times New Roman" w:eastAsia="宋体" w:cs="Times New Roman"/>
          <w:color w:val="auto"/>
          <w:kern w:val="2"/>
          <w:sz w:val="22"/>
          <w:szCs w:val="22"/>
          <w:lang w:val="en-US" w:eastAsia="zh-CN" w:bidi="ar-SA"/>
        </w:rPr>
        <w:t>SFLI, US fatty liver index; NAFLD, non-alcoholic fatty liver disease.</w:t>
      </w:r>
    </w:p>
    <w:p>
      <w:pPr>
        <w:tabs>
          <w:tab w:val="left" w:pos="755"/>
        </w:tabs>
        <w:bidi w:val="0"/>
        <w:jc w:val="both"/>
        <w:rPr>
          <w:sz w:val="22"/>
          <w:szCs w:val="22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2"/>
          <w:szCs w:val="22"/>
          <w:lang w:val="en-US" w:eastAsia="zh-CN" w:bidi="ar-SA"/>
        </w:rPr>
        <w:t>Continuous variables are presented as mean and SD. Categorical variables are presented as numbers and frequency.</w:t>
      </w:r>
      <w:r>
        <w:rPr>
          <w:rFonts w:hint="default" w:ascii="Times New Roman" w:hAnsi="Times New Roman" w:cs="Times New Roman"/>
          <w:color w:val="auto"/>
          <w:kern w:val="2"/>
          <w:sz w:val="22"/>
          <w:szCs w:val="22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lang w:val="en-US" w:eastAsia="zh-CN"/>
        </w:rPr>
        <w:sectPr>
          <w:pgSz w:w="16838" w:h="11906" w:orient="landscape"/>
          <w:pgMar w:top="170" w:right="1304" w:bottom="0" w:left="1304" w:header="851" w:footer="992" w:gutter="0"/>
          <w:cols w:space="0" w:num="1"/>
          <w:rtlGutter w:val="0"/>
          <w:docGrid w:type="lines" w:linePitch="319" w:charSpace="0"/>
        </w:sectPr>
      </w:pPr>
    </w:p>
    <w:p>
      <w:pPr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 Bold" w:hAnsi="Times New Roman Bold" w:cs="Times New Roman Bold"/>
          <w:b/>
          <w:bCs/>
          <w:sz w:val="22"/>
          <w:szCs w:val="22"/>
          <w:lang w:val="en-US" w:eastAsia="zh-CN"/>
        </w:rPr>
        <w:t>Table</w:t>
      </w:r>
      <w:r>
        <w:rPr>
          <w:rFonts w:hint="eastAsia" w:ascii="Times New Roman Bold" w:hAnsi="Times New Roman Bold" w:cs="Times New Roman Bold"/>
          <w:b/>
          <w:bCs/>
          <w:sz w:val="22"/>
          <w:szCs w:val="22"/>
          <w:lang w:val="en-US" w:eastAsia="zh-CN"/>
        </w:rPr>
        <w:t xml:space="preserve"> S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3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. Sensitivity analyses: </w:t>
      </w:r>
      <w:r>
        <w:rPr>
          <w:rFonts w:hint="default" w:ascii="Times New Roman" w:hAnsi="Times New Roman" w:cs="Times New Roman"/>
          <w:sz w:val="22"/>
          <w:szCs w:val="22"/>
        </w:rPr>
        <w:t xml:space="preserve">Association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>of HbEO levels with the risk of NAFLD assessed by USFLI and FLI in adults</w:t>
      </w:r>
    </w:p>
    <w:tbl>
      <w:tblPr>
        <w:tblStyle w:val="6"/>
        <w:tblW w:w="7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2456"/>
        <w:gridCol w:w="2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45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 Regular" w:hAnsi="Times New Roman Regular" w:cs="Times New Roman Regular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NAFLD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subscript"/>
                <w:lang w:val="en-US" w:eastAsia="zh-CN"/>
              </w:rPr>
              <w:t>USFLI</w:t>
            </w:r>
          </w:p>
        </w:tc>
        <w:tc>
          <w:tcPr>
            <w:tcW w:w="245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NAFLD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subscript"/>
                <w:lang w:val="en-US" w:eastAsia="zh-CN"/>
              </w:rPr>
              <w:t>FLI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32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Ln-transformed continuation</w:t>
            </w:r>
          </w:p>
        </w:tc>
        <w:tc>
          <w:tcPr>
            <w:tcW w:w="245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0.83 (0.74-0.92)</w:t>
            </w:r>
          </w:p>
        </w:tc>
        <w:tc>
          <w:tcPr>
            <w:tcW w:w="245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0.83 (0.75-0.91)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220" w:firstLineChars="100"/>
              <w:jc w:val="both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Q1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Style w:val="9"/>
                <w:rFonts w:hint="default" w:ascii="Times New Roman Regular" w:hAnsi="Times New Roman Regular" w:cs="Times New Roman Regular"/>
                <w:sz w:val="22"/>
                <w:szCs w:val="22"/>
                <w:lang w:val="en-US" w:eastAsia="zh-CN" w:bidi="ar"/>
              </w:rPr>
              <w:t>1.00 (Ref)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Style w:val="9"/>
                <w:rFonts w:hint="default" w:ascii="Times New Roman Regular" w:hAnsi="Times New Roman Regular" w:cs="Times New Roman Regular"/>
                <w:sz w:val="22"/>
                <w:szCs w:val="22"/>
                <w:lang w:val="en-US" w:eastAsia="zh-CN" w:bidi="ar"/>
              </w:rPr>
              <w:t>1.00 (Ref)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 w:firstLineChars="100"/>
              <w:jc w:val="both"/>
              <w:textAlignment w:val="auto"/>
              <w:rPr>
                <w:rFonts w:hint="default" w:ascii="Times New Roman Regular" w:hAnsi="Times New Roman Regular" w:cs="Times New Roman Regular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2"/>
                <w:szCs w:val="22"/>
                <w:vertAlign w:val="baseline"/>
                <w:lang w:val="en-US" w:eastAsia="zh-CN"/>
              </w:rPr>
              <w:t>Q2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Times New Roman Regular" w:hAnsi="Times New Roman Regular" w:cs="Times New Roman Regular"/>
                <w:sz w:val="22"/>
                <w:szCs w:val="22"/>
                <w:lang w:val="en-US" w:eastAsia="zh-CN" w:bidi="ar"/>
              </w:rPr>
              <w:t>0.90</w:t>
            </w:r>
            <w:r>
              <w:rPr>
                <w:rStyle w:val="9"/>
                <w:rFonts w:hint="default" w:ascii="Times New Roman Regular" w:hAnsi="Times New Roman Regular" w:cs="Times New Roman Regular"/>
                <w:sz w:val="22"/>
                <w:szCs w:val="22"/>
                <w:lang w:val="en-US" w:eastAsia="zh-CN" w:bidi="ar"/>
              </w:rPr>
              <w:t xml:space="preserve"> (</w:t>
            </w:r>
            <w:r>
              <w:rPr>
                <w:rStyle w:val="9"/>
                <w:rFonts w:hint="eastAsia" w:ascii="Times New Roman Regular" w:hAnsi="Times New Roman Regular" w:cs="Times New Roman Regular"/>
                <w:sz w:val="22"/>
                <w:szCs w:val="22"/>
                <w:lang w:val="en-US" w:eastAsia="zh-CN" w:bidi="ar"/>
              </w:rPr>
              <w:t>0.69-1.19</w:t>
            </w:r>
            <w:r>
              <w:rPr>
                <w:rStyle w:val="9"/>
                <w:rFonts w:hint="default" w:ascii="Times New Roman Regular" w:hAnsi="Times New Roman Regular" w:cs="Times New Roman Regular"/>
                <w:sz w:val="22"/>
                <w:szCs w:val="22"/>
                <w:lang w:val="en-US" w:eastAsia="zh-CN" w:bidi="ar"/>
              </w:rPr>
              <w:t>)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0.80 (0.62-1.05</w:t>
            </w:r>
            <w:r>
              <w:rPr>
                <w:rStyle w:val="10"/>
                <w:rFonts w:hint="default" w:ascii="Times New Roman Regular" w:hAnsi="Times New Roman Regular" w:cs="Times New Roman Regular"/>
                <w:sz w:val="22"/>
                <w:szCs w:val="22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 w:firstLineChars="100"/>
              <w:jc w:val="both"/>
              <w:textAlignment w:val="auto"/>
              <w:rPr>
                <w:rFonts w:hint="default" w:ascii="Times New Roman Regular" w:hAnsi="Times New Roman Regular" w:cs="Times New Roman Regular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2"/>
                <w:szCs w:val="22"/>
                <w:vertAlign w:val="baseline"/>
                <w:lang w:val="en-US" w:eastAsia="zh-CN"/>
              </w:rPr>
              <w:t>Q3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Times New Roman Regular" w:hAnsi="Times New Roman Regular" w:cs="Times New Roman Regular"/>
                <w:b/>
                <w:bCs/>
                <w:sz w:val="22"/>
                <w:szCs w:val="22"/>
                <w:lang w:val="en-US" w:eastAsia="zh-CN" w:bidi="ar"/>
              </w:rPr>
              <w:t>0.71</w:t>
            </w:r>
            <w:r>
              <w:rPr>
                <w:rStyle w:val="9"/>
                <w:rFonts w:hint="default" w:ascii="Times New Roman Regular" w:hAnsi="Times New Roman Regular" w:cs="Times New Roman Regular"/>
                <w:b/>
                <w:bCs/>
                <w:sz w:val="22"/>
                <w:szCs w:val="22"/>
                <w:lang w:val="en-US" w:eastAsia="zh-CN" w:bidi="ar"/>
              </w:rPr>
              <w:t xml:space="preserve"> (</w:t>
            </w:r>
            <w:r>
              <w:rPr>
                <w:rStyle w:val="9"/>
                <w:rFonts w:hint="eastAsia" w:ascii="Times New Roman Regular" w:hAnsi="Times New Roman Regular" w:cs="Times New Roman Regular"/>
                <w:b/>
                <w:bCs/>
                <w:sz w:val="22"/>
                <w:szCs w:val="22"/>
                <w:lang w:val="en-US" w:eastAsia="zh-CN" w:bidi="ar"/>
              </w:rPr>
              <w:t>0.54-0.95</w:t>
            </w:r>
            <w:r>
              <w:rPr>
                <w:rStyle w:val="9"/>
                <w:rFonts w:hint="default" w:ascii="Times New Roman Regular" w:hAnsi="Times New Roman Regular" w:cs="Times New Roman Regular"/>
                <w:b/>
                <w:bCs/>
                <w:sz w:val="22"/>
                <w:szCs w:val="22"/>
                <w:lang w:val="en-US" w:eastAsia="zh-CN" w:bidi="ar"/>
              </w:rPr>
              <w:t>)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  <w:t>0.55 (0.42-0.73)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 w:firstLineChars="100"/>
              <w:jc w:val="both"/>
              <w:textAlignment w:val="auto"/>
              <w:rPr>
                <w:rFonts w:hint="default" w:ascii="Times New Roman Regular" w:hAnsi="Times New Roman Regular" w:cs="Times New Roman Regular" w:eastAsia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sz w:val="22"/>
                <w:szCs w:val="22"/>
                <w:vertAlign w:val="baseline"/>
                <w:lang w:val="en-US" w:eastAsia="zh-CN"/>
              </w:rPr>
              <w:t>Q4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Times New Roman Regular" w:hAnsi="Times New Roman Regular" w:cs="Times New Roman Regular"/>
                <w:b/>
                <w:bCs/>
                <w:sz w:val="22"/>
                <w:szCs w:val="22"/>
                <w:lang w:val="en-US" w:eastAsia="zh-CN" w:bidi="ar"/>
              </w:rPr>
              <w:t>0.60</w:t>
            </w:r>
            <w:r>
              <w:rPr>
                <w:rStyle w:val="9"/>
                <w:rFonts w:hint="default" w:ascii="Times New Roman Regular" w:hAnsi="Times New Roman Regular" w:cs="Times New Roman Regular"/>
                <w:b/>
                <w:bCs/>
                <w:sz w:val="22"/>
                <w:szCs w:val="22"/>
                <w:lang w:val="en-US" w:eastAsia="zh-CN" w:bidi="ar"/>
              </w:rPr>
              <w:t xml:space="preserve"> (</w:t>
            </w:r>
            <w:r>
              <w:rPr>
                <w:rStyle w:val="9"/>
                <w:rFonts w:hint="eastAsia" w:ascii="Times New Roman Regular" w:hAnsi="Times New Roman Regular" w:cs="Times New Roman Regular"/>
                <w:b/>
                <w:bCs/>
                <w:sz w:val="22"/>
                <w:szCs w:val="22"/>
                <w:lang w:val="en-US" w:eastAsia="zh-CN" w:bidi="ar"/>
              </w:rPr>
              <w:t>0.45-0.82</w:t>
            </w:r>
            <w:r>
              <w:rPr>
                <w:rStyle w:val="9"/>
                <w:rFonts w:hint="default" w:ascii="Times New Roman Regular" w:hAnsi="Times New Roman Regular" w:cs="Times New Roman Regular"/>
                <w:b/>
                <w:bCs/>
                <w:sz w:val="22"/>
                <w:szCs w:val="22"/>
                <w:lang w:val="en-US" w:eastAsia="zh-CN" w:bidi="ar"/>
              </w:rPr>
              <w:t>)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cs="Times New Roman Regular" w:eastAsiaTheme="minorEastAsia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  <w:t>0.59 (0.45-0.78)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232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 w:firstLineChars="100"/>
              <w:jc w:val="both"/>
              <w:textAlignment w:val="auto"/>
              <w:rPr>
                <w:rFonts w:hint="default" w:ascii="Times New Roman Regular" w:hAnsi="Times New Roman Regular" w:cs="Times New Roman Regular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 Regular" w:hAnsi="Times New Roman Regular" w:cs="Times New Roman Regular"/>
                <w:i/>
                <w:iCs/>
                <w:sz w:val="22"/>
                <w:szCs w:val="22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 Regular" w:hAnsi="Times New Roman Regular" w:cs="Times New Roman Regular"/>
                <w:sz w:val="22"/>
                <w:szCs w:val="22"/>
                <w:vertAlign w:val="baseline"/>
                <w:lang w:val="en-US" w:eastAsia="zh-CN"/>
              </w:rPr>
              <w:t>-trend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 Regular" w:hAnsi="Times New Roman Regular" w:cs="Times New Roman Regular"/>
                <w:sz w:val="22"/>
                <w:szCs w:val="22"/>
                <w:lang w:val="en-US" w:eastAsia="zh-CN" w:bidi="ar"/>
              </w:rPr>
            </w:pPr>
            <w:r>
              <w:rPr>
                <w:rStyle w:val="9"/>
                <w:rFonts w:hint="eastAsia" w:ascii="Times New Roman Regular" w:hAnsi="Times New Roman Regular" w:cs="Times New Roman Regular"/>
                <w:sz w:val="22"/>
                <w:szCs w:val="22"/>
                <w:lang w:val="en-US" w:eastAsia="zh-CN" w:bidi="ar"/>
              </w:rPr>
              <w:t>0.003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vertAlign w:val="baseline"/>
                <w:lang w:val="en-US" w:eastAsia="zh-CN"/>
              </w:rPr>
              <w:t>0.009</w:t>
            </w:r>
          </w:p>
        </w:tc>
      </w:tr>
    </w:tbl>
    <w:p>
      <w:pPr>
        <w:tabs>
          <w:tab w:val="left" w:pos="3151"/>
        </w:tabs>
        <w:bidi w:val="0"/>
        <w:jc w:val="both"/>
        <w:rPr>
          <w:rFonts w:hint="default" w:ascii="Times New Roman" w:hAnsi="Times New Roman" w:cs="Times New Roman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2"/>
          <w:szCs w:val="22"/>
          <w:highlight w:val="none"/>
          <w:lang w:val="en-US" w:eastAsia="zh-CN"/>
        </w:rPr>
        <w:t>Adjusted covariates included age, gender, race, education, income, smoking, drinking, diabetes, hypertension, TC, family history of CVD.</w:t>
      </w: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2"/>
          <w:szCs w:val="2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-986790</wp:posOffset>
            </wp:positionH>
            <wp:positionV relativeFrom="paragraph">
              <wp:posOffset>173990</wp:posOffset>
            </wp:positionV>
            <wp:extent cx="6715760" cy="5792470"/>
            <wp:effectExtent l="0" t="0" r="0" b="0"/>
            <wp:wrapNone/>
            <wp:docPr id="2" name="图片 2" descr="Fig S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 S1-01"/>
                    <pic:cNvPicPr>
                      <a:picLocks noChangeAspect="1"/>
                    </pic:cNvPicPr>
                  </pic:nvPicPr>
                  <pic:blipFill>
                    <a:blip r:embed="rId9"/>
                    <a:srcRect t="10944"/>
                    <a:stretch>
                      <a:fillRect/>
                    </a:stretch>
                  </pic:blipFill>
                  <pic:spPr>
                    <a:xfrm>
                      <a:off x="0" y="0"/>
                      <a:ext cx="6715760" cy="5792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 w:eastAsiaTheme="minorEastAsia"/>
          <w:b/>
          <w:bCs/>
          <w:sz w:val="22"/>
          <w:szCs w:val="22"/>
          <w:lang w:eastAsia="zh-CN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eastAsia" w:ascii="Times New Roman" w:hAnsi="Times New Roman" w:cs="Times New Roman" w:eastAsiaTheme="minorEastAsia"/>
          <w:b/>
          <w:bCs/>
          <w:sz w:val="22"/>
          <w:szCs w:val="22"/>
          <w:lang w:eastAsia="zh-CN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3151"/>
        </w:tabs>
        <w:bidi w:val="0"/>
        <w:jc w:val="left"/>
        <w:rPr>
          <w:rFonts w:hint="default" w:ascii="Times New Roman" w:hAnsi="Times New Roman" w:cs="Times New Roman"/>
          <w:b/>
          <w:bCs/>
          <w:sz w:val="22"/>
          <w:szCs w:val="22"/>
        </w:rPr>
      </w:pPr>
    </w:p>
    <w:p>
      <w:pPr>
        <w:tabs>
          <w:tab w:val="left" w:pos="2444"/>
        </w:tabs>
        <w:bidi w:val="0"/>
        <w:jc w:val="left"/>
        <w:rPr>
          <w:rFonts w:hint="eastAsia"/>
          <w:lang w:val="en-US" w:eastAsia="zh-CN"/>
        </w:rPr>
        <w:sectPr>
          <w:pgSz w:w="11906" w:h="16838"/>
          <w:pgMar w:top="1984" w:right="2381" w:bottom="1984" w:left="2381" w:header="851" w:footer="992" w:gutter="0"/>
          <w:cols w:space="0" w:num="1"/>
          <w:rtlGutter w:val="0"/>
          <w:docGrid w:type="lines" w:linePitch="321" w:charSpace="0"/>
        </w:sectPr>
      </w:pPr>
    </w:p>
    <w:p>
      <w:pPr>
        <w:tabs>
          <w:tab w:val="left" w:pos="2444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1434465</wp:posOffset>
            </wp:positionH>
            <wp:positionV relativeFrom="paragraph">
              <wp:posOffset>-299720</wp:posOffset>
            </wp:positionV>
            <wp:extent cx="7746365" cy="5892165"/>
            <wp:effectExtent l="0" t="0" r="10795" b="5715"/>
            <wp:wrapNone/>
            <wp:docPr id="4" name="图片 4" descr="meditions_all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meditions_all_画板 1"/>
                    <pic:cNvPicPr>
                      <a:picLocks noChangeAspect="1"/>
                    </pic:cNvPicPr>
                  </pic:nvPicPr>
                  <pic:blipFill>
                    <a:blip r:embed="rId10"/>
                    <a:srcRect l="8459" t="5395" r="8956" b="5788"/>
                    <a:stretch>
                      <a:fillRect/>
                    </a:stretch>
                  </pic:blipFill>
                  <pic:spPr>
                    <a:xfrm>
                      <a:off x="0" y="0"/>
                      <a:ext cx="7746365" cy="5892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444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444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2444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2444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2444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2444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2444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2444"/>
        </w:tabs>
        <w:bidi w:val="0"/>
        <w:jc w:val="left"/>
        <w:rPr>
          <w:rFonts w:hint="default"/>
          <w:lang w:val="en-US" w:eastAsia="zh-CN"/>
        </w:rPr>
      </w:pPr>
    </w:p>
    <w:sectPr>
      <w:pgSz w:w="20976" w:h="11906" w:orient="landscape"/>
      <w:pgMar w:top="1928" w:right="1984" w:bottom="1928" w:left="1984" w:header="851" w:footer="992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 New Roman Bold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2ODBlYTQ3NDBhMzFiYTcxMGNjYTQ0YTNiN2Y3MmEifQ=="/>
  </w:docVars>
  <w:rsids>
    <w:rsidRoot w:val="450C266C"/>
    <w:rsid w:val="0144330B"/>
    <w:rsid w:val="02537303"/>
    <w:rsid w:val="03071604"/>
    <w:rsid w:val="034712EC"/>
    <w:rsid w:val="04E61F84"/>
    <w:rsid w:val="06927957"/>
    <w:rsid w:val="085D5CFA"/>
    <w:rsid w:val="0CD619C5"/>
    <w:rsid w:val="0F8E68DB"/>
    <w:rsid w:val="103456A0"/>
    <w:rsid w:val="12116250"/>
    <w:rsid w:val="198F6599"/>
    <w:rsid w:val="3408194C"/>
    <w:rsid w:val="41CA2F47"/>
    <w:rsid w:val="439D5641"/>
    <w:rsid w:val="450C266C"/>
    <w:rsid w:val="45E35BB7"/>
    <w:rsid w:val="47D963E0"/>
    <w:rsid w:val="495518E8"/>
    <w:rsid w:val="4A205A52"/>
    <w:rsid w:val="4D96420E"/>
    <w:rsid w:val="543C3DD0"/>
    <w:rsid w:val="55D10548"/>
    <w:rsid w:val="5D1F65A8"/>
    <w:rsid w:val="5E4775F9"/>
    <w:rsid w:val="601654D5"/>
    <w:rsid w:val="64912264"/>
    <w:rsid w:val="678A1ED0"/>
    <w:rsid w:val="67D131F5"/>
    <w:rsid w:val="68EE6CF0"/>
    <w:rsid w:val="691868F3"/>
    <w:rsid w:val="69D040C2"/>
    <w:rsid w:val="6B562DA7"/>
    <w:rsid w:val="77C43611"/>
    <w:rsid w:val="7B821570"/>
    <w:rsid w:val="7C06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1"/>
    <w:basedOn w:val="1"/>
    <w:next w:val="1"/>
    <w:autoRedefine/>
    <w:unhideWhenUsed/>
    <w:qFormat/>
    <w:uiPriority w:val="39"/>
    <w:pPr>
      <w:tabs>
        <w:tab w:val="right" w:leader="dot" w:pos="9016"/>
      </w:tabs>
      <w:jc w:val="left"/>
    </w:pPr>
    <w:rPr>
      <w:rFonts w:ascii="Times New Roman" w:hAnsi="Times New Roman" w:eastAsia="Times New Roman"/>
      <w:kern w:val="44"/>
      <w:sz w:val="24"/>
      <w:szCs w:val="24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WPSOffice手动目录 1"/>
    <w:autoRedefine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9">
    <w:name w:val="font0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1"/>
    <w:basedOn w:val="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wmf"/><Relationship Id="rId7" Type="http://schemas.openxmlformats.org/officeDocument/2006/relationships/oleObject" Target="embeddings/oleObject2.bin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2024-01-19T15:05:00Z</dcterms:created>
  <dc:creator>ysw</dc:creator>
  <cp:lastModifiedBy>ysw</cp:lastModifiedBy>
  <dcterms:modified xsi:type="dcterms:W3CDTF">2024-05-08T14:47:51Z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42E12B39D7CF4254BB8189992AA2053E_13</vt:lpwstr>
  </property>
</Properties>
</file>