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955587" w14:textId="77777777" w:rsidR="00247F35" w:rsidRPr="0026539E" w:rsidRDefault="00247F35" w:rsidP="00247F35">
      <w:pPr>
        <w:spacing w:after="0" w:line="360" w:lineRule="auto"/>
        <w:jc w:val="both"/>
        <w:rPr>
          <w:rFonts w:ascii="Times New Roman" w:hAnsi="Times New Roman" w:cs="Times New Roman"/>
          <w:b/>
          <w:bCs/>
          <w:sz w:val="24"/>
          <w:szCs w:val="24"/>
          <w:lang w:val="en-GB"/>
        </w:rPr>
      </w:pPr>
      <w:r w:rsidRPr="0026539E">
        <w:rPr>
          <w:rFonts w:ascii="Times New Roman" w:hAnsi="Times New Roman" w:cs="Times New Roman"/>
          <w:b/>
          <w:bCs/>
          <w:sz w:val="24"/>
          <w:szCs w:val="24"/>
          <w:lang w:val="en-GB"/>
        </w:rPr>
        <w:t xml:space="preserve">Additional file 1. </w:t>
      </w:r>
      <w:r w:rsidRPr="0026539E">
        <w:rPr>
          <w:rFonts w:ascii="Times New Roman" w:eastAsia="Times New Roman" w:hAnsi="Times New Roman" w:cs="Times New Roman"/>
          <w:sz w:val="24"/>
          <w:szCs w:val="24"/>
          <w:lang w:val="en-GB"/>
        </w:rPr>
        <w:t>Illustration of defining the Certainty Index</w:t>
      </w:r>
    </w:p>
    <w:p w14:paraId="49FEF2F6" w14:textId="77777777" w:rsidR="00247F35" w:rsidRPr="0026539E" w:rsidRDefault="00247F35" w:rsidP="00247F35">
      <w:pPr>
        <w:spacing w:after="0" w:line="360" w:lineRule="auto"/>
        <w:jc w:val="both"/>
        <w:rPr>
          <w:rFonts w:ascii="Times New Roman" w:hAnsi="Times New Roman" w:cs="Times New Roman"/>
          <w:b/>
          <w:bCs/>
          <w:sz w:val="24"/>
          <w:szCs w:val="24"/>
          <w:lang w:val="en-GB"/>
        </w:rPr>
      </w:pPr>
    </w:p>
    <w:p w14:paraId="54BB95D1" w14:textId="77777777" w:rsidR="00247F35" w:rsidRPr="0026539E" w:rsidRDefault="00247F35" w:rsidP="00247F35">
      <w:pPr>
        <w:spacing w:after="0" w:line="360" w:lineRule="auto"/>
        <w:jc w:val="both"/>
        <w:rPr>
          <w:rFonts w:ascii="Times New Roman" w:eastAsia="Times New Roman" w:hAnsi="Times New Roman" w:cs="Times New Roman"/>
          <w:i/>
          <w:sz w:val="24"/>
          <w:szCs w:val="24"/>
          <w:lang w:val="en-GB"/>
        </w:rPr>
      </w:pPr>
      <w:r w:rsidRPr="0026539E">
        <w:rPr>
          <w:rFonts w:ascii="Times New Roman" w:eastAsia="Times New Roman" w:hAnsi="Times New Roman" w:cs="Times New Roman"/>
          <w:i/>
          <w:noProof/>
          <w:sz w:val="24"/>
          <w:szCs w:val="24"/>
          <w:lang w:val="hu-HU"/>
        </w:rPr>
        <w:drawing>
          <wp:inline distT="0" distB="0" distL="0" distR="0" wp14:anchorId="53946DB6" wp14:editId="0041BD88">
            <wp:extent cx="5821506" cy="3473450"/>
            <wp:effectExtent l="0" t="0" r="8255" b="0"/>
            <wp:docPr id="1" name="Ké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844387" cy="3487102"/>
                    </a:xfrm>
                    <a:prstGeom prst="rect">
                      <a:avLst/>
                    </a:prstGeom>
                    <a:noFill/>
                  </pic:spPr>
                </pic:pic>
              </a:graphicData>
            </a:graphic>
          </wp:inline>
        </w:drawing>
      </w:r>
    </w:p>
    <w:p w14:paraId="3B6F5395" w14:textId="77777777" w:rsidR="00247F35" w:rsidRPr="0026539E" w:rsidRDefault="00247F35" w:rsidP="00247F35">
      <w:pPr>
        <w:spacing w:after="0" w:line="360" w:lineRule="auto"/>
        <w:jc w:val="both"/>
        <w:rPr>
          <w:rFonts w:ascii="Times New Roman" w:eastAsia="Times New Roman" w:hAnsi="Times New Roman" w:cs="Times New Roman"/>
          <w:sz w:val="24"/>
          <w:szCs w:val="24"/>
          <w:lang w:val="en-GB"/>
        </w:rPr>
      </w:pPr>
      <w:r w:rsidRPr="0026539E">
        <w:rPr>
          <w:rFonts w:ascii="Times New Roman" w:eastAsia="Times New Roman" w:hAnsi="Times New Roman" w:cs="Times New Roman"/>
          <w:i/>
          <w:sz w:val="24"/>
          <w:szCs w:val="24"/>
          <w:lang w:val="en-GB"/>
        </w:rPr>
        <w:t xml:space="preserve">Notes. </w:t>
      </w:r>
      <w:r w:rsidRPr="0026539E">
        <w:rPr>
          <w:rFonts w:ascii="Times New Roman" w:eastAsia="Times New Roman" w:hAnsi="Times New Roman" w:cs="Times New Roman"/>
          <w:sz w:val="24"/>
          <w:szCs w:val="24"/>
          <w:lang w:val="en-GB"/>
        </w:rPr>
        <w:t xml:space="preserve">1. Collapsing Classes of Recommendations into two categories: to define the Certainty and Uncertainty, we collapsed the Classes of Recommendations into two categories: Uncertainty (‘should + may do’) and Certainty (‘to do + not to do’). 2. Calculation LEVEL areas under CLASS: we calculated the areas using the trapezoid area formula: </w:t>
      </w:r>
      <m:oMath>
        <m:r>
          <w:rPr>
            <w:rFonts w:ascii="Cambria Math" w:eastAsia="Times New Roman" w:hAnsi="Cambria Math" w:cs="Times New Roman"/>
            <w:sz w:val="24"/>
            <w:szCs w:val="24"/>
            <w:lang w:val="en-GB"/>
          </w:rPr>
          <m:t>= </m:t>
        </m:r>
        <m:d>
          <m:dPr>
            <m:ctrlPr>
              <w:rPr>
                <w:rFonts w:ascii="Cambria Math" w:eastAsia="Times New Roman" w:hAnsi="Cambria Math" w:cs="Times New Roman"/>
                <w:i/>
                <w:iCs/>
                <w:sz w:val="24"/>
                <w:szCs w:val="24"/>
                <w:lang w:val="en-GB"/>
              </w:rPr>
            </m:ctrlPr>
          </m:dPr>
          <m:e>
            <m:r>
              <w:rPr>
                <w:rFonts w:ascii="Cambria Math" w:eastAsia="Times New Roman" w:hAnsi="Cambria Math" w:cs="Times New Roman"/>
                <w:sz w:val="24"/>
                <w:szCs w:val="24"/>
                <w:lang w:val="en-GB"/>
              </w:rPr>
              <m:t>a+b</m:t>
            </m:r>
          </m:e>
        </m:d>
        <m:f>
          <m:fPr>
            <m:ctrlPr>
              <w:rPr>
                <w:rFonts w:ascii="Cambria Math" w:eastAsia="Times New Roman" w:hAnsi="Cambria Math" w:cs="Times New Roman"/>
                <w:i/>
                <w:iCs/>
                <w:sz w:val="24"/>
                <w:szCs w:val="24"/>
                <w:lang w:val="en-GB"/>
              </w:rPr>
            </m:ctrlPr>
          </m:fPr>
          <m:num>
            <m:r>
              <w:rPr>
                <w:rFonts w:ascii="Cambria Math" w:eastAsia="Times New Roman" w:hAnsi="Cambria Math" w:cs="Times New Roman"/>
                <w:sz w:val="24"/>
                <w:szCs w:val="24"/>
                <w:lang w:val="en-GB"/>
              </w:rPr>
              <m:t>h</m:t>
            </m:r>
          </m:num>
          <m:den>
            <m:r>
              <w:rPr>
                <w:rFonts w:ascii="Cambria Math" w:eastAsia="Times New Roman" w:hAnsi="Cambria Math" w:cs="Times New Roman"/>
                <w:sz w:val="24"/>
                <w:szCs w:val="24"/>
                <w:lang w:val="en-GB"/>
              </w:rPr>
              <m:t>2</m:t>
            </m:r>
          </m:den>
        </m:f>
      </m:oMath>
      <w:r w:rsidRPr="0026539E">
        <w:rPr>
          <w:rFonts w:ascii="Times New Roman" w:eastAsia="Times New Roman" w:hAnsi="Times New Roman" w:cs="Times New Roman"/>
          <w:sz w:val="24"/>
          <w:szCs w:val="24"/>
          <w:lang w:val="en-GB"/>
        </w:rPr>
        <w:t xml:space="preserve"> . </w:t>
      </w:r>
      <w:r w:rsidRPr="0026539E">
        <w:rPr>
          <w:rFonts w:ascii="Times New Roman" w:eastAsia="Times New Roman" w:hAnsi="Times New Roman" w:cs="Times New Roman"/>
          <w:sz w:val="24"/>
          <w:szCs w:val="24"/>
        </w:rPr>
        <w:t xml:space="preserve"> </w:t>
      </w:r>
      <w:r w:rsidRPr="0026539E">
        <w:rPr>
          <w:rFonts w:ascii="Times New Roman" w:eastAsia="Times New Roman" w:hAnsi="Times New Roman" w:cs="Times New Roman"/>
          <w:sz w:val="24"/>
          <w:szCs w:val="24"/>
          <w:lang w:val="en-GB"/>
        </w:rPr>
        <w:t>3. Defining Certainty and Uncertainty rate: based on the calculation in step 2, we expressed trapezoid areas in percentages.</w:t>
      </w:r>
      <w:r w:rsidRPr="0026539E">
        <w:rPr>
          <w:rFonts w:ascii="Times New Roman" w:eastAsia="Times New Roman" w:hAnsi="Times New Roman" w:cs="Times New Roman"/>
          <w:sz w:val="24"/>
          <w:szCs w:val="24"/>
        </w:rPr>
        <w:t xml:space="preserve"> </w:t>
      </w:r>
      <w:r w:rsidRPr="0026539E">
        <w:rPr>
          <w:rFonts w:ascii="Times New Roman" w:eastAsia="Times New Roman" w:hAnsi="Times New Roman" w:cs="Times New Roman"/>
          <w:sz w:val="24"/>
          <w:szCs w:val="24"/>
          <w:lang w:val="en-GB"/>
        </w:rPr>
        <w:t>4. Forming Certainty Index: based on the percentages in step 3, we formed an index of Certainty/Uncertainty which ranges from -1 to +1; a value of -1 implies 100% of Uncertainty, a value of +1 implies 100% Certainty and a value of 0 implies fifty-fifty Certainty and Uncertainty</w:t>
      </w:r>
    </w:p>
    <w:p w14:paraId="38E6611B" w14:textId="77777777" w:rsidR="00247F35" w:rsidRPr="0026539E" w:rsidRDefault="00247F35" w:rsidP="00247F35">
      <w:pPr>
        <w:spacing w:after="0" w:line="360" w:lineRule="auto"/>
        <w:jc w:val="both"/>
        <w:rPr>
          <w:rFonts w:ascii="Times New Roman" w:hAnsi="Times New Roman" w:cs="Times New Roman"/>
          <w:b/>
          <w:bCs/>
          <w:sz w:val="24"/>
          <w:szCs w:val="24"/>
          <w:lang w:val="en-GB"/>
        </w:rPr>
      </w:pPr>
    </w:p>
    <w:p w14:paraId="79282AD0" w14:textId="77777777" w:rsidR="00247F35" w:rsidRPr="0026539E" w:rsidRDefault="00247F35" w:rsidP="00247F35">
      <w:pPr>
        <w:rPr>
          <w:rFonts w:ascii="Times New Roman" w:hAnsi="Times New Roman" w:cs="Times New Roman"/>
          <w:b/>
          <w:bCs/>
          <w:sz w:val="24"/>
          <w:szCs w:val="24"/>
          <w:lang w:val="en-GB"/>
        </w:rPr>
      </w:pPr>
      <w:r w:rsidRPr="0026539E">
        <w:rPr>
          <w:rFonts w:ascii="Times New Roman" w:hAnsi="Times New Roman" w:cs="Times New Roman"/>
          <w:b/>
          <w:bCs/>
          <w:sz w:val="24"/>
          <w:szCs w:val="24"/>
          <w:lang w:val="en-GB"/>
        </w:rPr>
        <w:br w:type="page"/>
      </w:r>
    </w:p>
    <w:p w14:paraId="14FF5DE2" w14:textId="77777777" w:rsidR="00247F35" w:rsidRPr="0026539E" w:rsidRDefault="00247F35" w:rsidP="00247F35">
      <w:pPr>
        <w:spacing w:after="0" w:line="360" w:lineRule="auto"/>
        <w:jc w:val="both"/>
        <w:rPr>
          <w:rFonts w:ascii="Times New Roman" w:hAnsi="Times New Roman" w:cs="Times New Roman"/>
          <w:b/>
          <w:bCs/>
          <w:sz w:val="24"/>
          <w:szCs w:val="24"/>
          <w:lang w:val="en-GB"/>
        </w:rPr>
      </w:pPr>
      <w:r w:rsidRPr="0026539E">
        <w:rPr>
          <w:rFonts w:ascii="Times New Roman" w:hAnsi="Times New Roman" w:cs="Times New Roman"/>
          <w:b/>
          <w:bCs/>
          <w:sz w:val="24"/>
          <w:szCs w:val="24"/>
          <w:lang w:val="en-GB"/>
        </w:rPr>
        <w:lastRenderedPageBreak/>
        <w:t xml:space="preserve">Additional file 2. </w:t>
      </w:r>
      <w:r w:rsidRPr="0026539E">
        <w:rPr>
          <w:rFonts w:ascii="Times New Roman" w:hAnsi="Times New Roman" w:cs="Times New Roman"/>
          <w:sz w:val="24"/>
          <w:szCs w:val="24"/>
          <w:lang w:val="en-GB"/>
        </w:rPr>
        <w:t>Illustration of the hypothetical optimal distribution based on the LEVEL (Levels of Evidence) and the CLASS (Classes of Recommendations)</w:t>
      </w:r>
    </w:p>
    <w:p w14:paraId="23C1655E" w14:textId="77777777" w:rsidR="00247F35" w:rsidRPr="0026539E" w:rsidRDefault="00247F35" w:rsidP="00247F35">
      <w:pPr>
        <w:spacing w:after="0" w:line="360" w:lineRule="auto"/>
        <w:jc w:val="both"/>
        <w:rPr>
          <w:rFonts w:ascii="Times New Roman" w:hAnsi="Times New Roman" w:cs="Times New Roman"/>
          <w:sz w:val="24"/>
          <w:szCs w:val="24"/>
          <w:lang w:val="en-GB"/>
        </w:rPr>
      </w:pPr>
      <w:r w:rsidRPr="0026539E">
        <w:rPr>
          <w:rFonts w:ascii="Times New Roman" w:hAnsi="Times New Roman" w:cs="Times New Roman"/>
          <w:noProof/>
          <w:sz w:val="24"/>
          <w:szCs w:val="24"/>
          <w:lang w:val="hu-HU"/>
        </w:rPr>
        <w:drawing>
          <wp:inline distT="0" distB="0" distL="0" distR="0" wp14:anchorId="7510B8C9" wp14:editId="1D8DE192">
            <wp:extent cx="5723598" cy="3930650"/>
            <wp:effectExtent l="0" t="0" r="0" b="0"/>
            <wp:docPr id="2" name="Ké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43687" cy="3944446"/>
                    </a:xfrm>
                    <a:prstGeom prst="rect">
                      <a:avLst/>
                    </a:prstGeom>
                    <a:noFill/>
                  </pic:spPr>
                </pic:pic>
              </a:graphicData>
            </a:graphic>
          </wp:inline>
        </w:drawing>
      </w:r>
    </w:p>
    <w:p w14:paraId="4D5A9ED0" w14:textId="77777777" w:rsidR="00247F35" w:rsidRPr="0026539E" w:rsidRDefault="00247F35" w:rsidP="00247F35">
      <w:pPr>
        <w:spacing w:after="0" w:line="360" w:lineRule="auto"/>
        <w:jc w:val="both"/>
        <w:rPr>
          <w:rFonts w:ascii="Times New Roman" w:hAnsi="Times New Roman" w:cs="Times New Roman"/>
          <w:sz w:val="24"/>
          <w:szCs w:val="24"/>
        </w:rPr>
      </w:pPr>
      <w:r w:rsidRPr="0026539E">
        <w:rPr>
          <w:rFonts w:ascii="Times New Roman" w:hAnsi="Times New Roman" w:cs="Times New Roman"/>
          <w:i/>
          <w:sz w:val="24"/>
          <w:szCs w:val="24"/>
        </w:rPr>
        <w:t xml:space="preserve">Notes. </w:t>
      </w:r>
      <w:r w:rsidRPr="0026539E">
        <w:rPr>
          <w:rFonts w:ascii="Times New Roman" w:hAnsi="Times New Roman" w:cs="Times New Roman"/>
          <w:iCs/>
          <w:sz w:val="24"/>
          <w:szCs w:val="24"/>
        </w:rPr>
        <w:t xml:space="preserve">Estimation of the hypothetical optimal distribution using CLASS x LEVEL which specifies the following order of Certainty:  </w:t>
      </w:r>
      <w:r w:rsidRPr="0026539E">
        <w:rPr>
          <w:rFonts w:ascii="Times New Roman" w:hAnsi="Times New Roman" w:cs="Times New Roman"/>
          <w:sz w:val="24"/>
          <w:szCs w:val="24"/>
        </w:rPr>
        <w:t xml:space="preserve">I/IIIA, I/IIIB, I/IIIC (Certainty: ‘to do or not to do’ on the Level of Evidence A, B, C), </w:t>
      </w:r>
      <w:proofErr w:type="spellStart"/>
      <w:r w:rsidRPr="0026539E">
        <w:rPr>
          <w:rFonts w:ascii="Times New Roman" w:hAnsi="Times New Roman" w:cs="Times New Roman"/>
          <w:sz w:val="24"/>
          <w:szCs w:val="24"/>
        </w:rPr>
        <w:t>IIabA</w:t>
      </w:r>
      <w:proofErr w:type="spellEnd"/>
      <w:r w:rsidRPr="0026539E">
        <w:rPr>
          <w:rFonts w:ascii="Times New Roman" w:hAnsi="Times New Roman" w:cs="Times New Roman"/>
          <w:sz w:val="24"/>
          <w:szCs w:val="24"/>
        </w:rPr>
        <w:t xml:space="preserve">, </w:t>
      </w:r>
      <w:proofErr w:type="spellStart"/>
      <w:r w:rsidRPr="0026539E">
        <w:rPr>
          <w:rFonts w:ascii="Times New Roman" w:hAnsi="Times New Roman" w:cs="Times New Roman"/>
          <w:sz w:val="24"/>
          <w:szCs w:val="24"/>
        </w:rPr>
        <w:t>IIabB</w:t>
      </w:r>
      <w:proofErr w:type="spellEnd"/>
      <w:r w:rsidRPr="0026539E">
        <w:rPr>
          <w:rFonts w:ascii="Times New Roman" w:hAnsi="Times New Roman" w:cs="Times New Roman"/>
          <w:sz w:val="24"/>
          <w:szCs w:val="24"/>
        </w:rPr>
        <w:t xml:space="preserve">, </w:t>
      </w:r>
      <w:proofErr w:type="spellStart"/>
      <w:r w:rsidRPr="0026539E">
        <w:rPr>
          <w:rFonts w:ascii="Times New Roman" w:hAnsi="Times New Roman" w:cs="Times New Roman"/>
          <w:sz w:val="24"/>
          <w:szCs w:val="24"/>
        </w:rPr>
        <w:t>IIabC</w:t>
      </w:r>
      <w:proofErr w:type="spellEnd"/>
      <w:r w:rsidRPr="0026539E">
        <w:rPr>
          <w:rFonts w:ascii="Times New Roman" w:hAnsi="Times New Roman" w:cs="Times New Roman"/>
          <w:sz w:val="24"/>
          <w:szCs w:val="24"/>
        </w:rPr>
        <w:t xml:space="preserve"> (Uncertainty: ‘should or may do’ on the Level of Evidence A, B, C). We added an interval with 10 percentages to the point estimations. </w:t>
      </w:r>
    </w:p>
    <w:p w14:paraId="288B7F56" w14:textId="77777777" w:rsidR="00247F35" w:rsidRPr="0026539E" w:rsidRDefault="00247F35" w:rsidP="00247F35">
      <w:pPr>
        <w:rPr>
          <w:b/>
          <w:bCs/>
        </w:rPr>
      </w:pPr>
      <w:r w:rsidRPr="0026539E">
        <w:rPr>
          <w:b/>
          <w:bCs/>
        </w:rPr>
        <w:br w:type="page"/>
      </w:r>
    </w:p>
    <w:p w14:paraId="0AA0BDB1" w14:textId="77777777" w:rsidR="00247F35" w:rsidRPr="0026539E" w:rsidRDefault="00247F35" w:rsidP="00247F35">
      <w:pPr>
        <w:spacing w:after="0" w:line="360" w:lineRule="auto"/>
        <w:jc w:val="both"/>
        <w:rPr>
          <w:rFonts w:ascii="Times New Roman" w:hAnsi="Times New Roman" w:cs="Times New Roman"/>
          <w:sz w:val="24"/>
          <w:szCs w:val="24"/>
          <w:lang w:val="en-GB"/>
        </w:rPr>
      </w:pPr>
      <w:r w:rsidRPr="0026539E">
        <w:rPr>
          <w:rFonts w:ascii="Times New Roman" w:eastAsia="Times New Roman" w:hAnsi="Times New Roman" w:cs="Times New Roman"/>
          <w:b/>
          <w:bCs/>
          <w:sz w:val="24"/>
          <w:szCs w:val="24"/>
          <w:lang w:val="en-GB"/>
        </w:rPr>
        <w:lastRenderedPageBreak/>
        <w:t>Additional file 3</w:t>
      </w:r>
      <w:r w:rsidRPr="0026539E">
        <w:rPr>
          <w:rFonts w:ascii="Times New Roman" w:hAnsi="Times New Roman" w:cs="Times New Roman"/>
          <w:b/>
          <w:bCs/>
          <w:sz w:val="24"/>
          <w:szCs w:val="24"/>
          <w:lang w:val="en-GB"/>
        </w:rPr>
        <w:t xml:space="preserve">.  </w:t>
      </w:r>
      <w:r w:rsidRPr="0026539E">
        <w:rPr>
          <w:rFonts w:ascii="Times New Roman" w:hAnsi="Times New Roman" w:cs="Times New Roman"/>
          <w:sz w:val="24"/>
          <w:szCs w:val="24"/>
          <w:lang w:val="en-GB"/>
        </w:rPr>
        <w:t>The observed distribution by the hypothetical optimal distribution of Certainty regarding both evidence and recommendations in GL-SCE</w:t>
      </w:r>
    </w:p>
    <w:p w14:paraId="5399F2A9" w14:textId="77777777" w:rsidR="00247F35" w:rsidRPr="0026539E" w:rsidRDefault="00247F35" w:rsidP="00247F35">
      <w:pPr>
        <w:spacing w:after="0" w:line="360" w:lineRule="auto"/>
        <w:jc w:val="both"/>
        <w:rPr>
          <w:rFonts w:ascii="Times New Roman" w:hAnsi="Times New Roman" w:cs="Times New Roman"/>
          <w:b/>
          <w:bCs/>
          <w:sz w:val="24"/>
          <w:szCs w:val="24"/>
          <w:lang w:val="en-GB"/>
        </w:rPr>
      </w:pPr>
    </w:p>
    <w:p w14:paraId="53FF228C" w14:textId="77777777" w:rsidR="00247F35" w:rsidRPr="0026539E" w:rsidRDefault="00247F35" w:rsidP="00247F35">
      <w:pPr>
        <w:jc w:val="center"/>
        <w:rPr>
          <w:rFonts w:ascii="Times New Roman" w:hAnsi="Times New Roman" w:cs="Times New Roman"/>
          <w:sz w:val="24"/>
          <w:szCs w:val="24"/>
          <w:lang w:val="en-GB"/>
        </w:rPr>
      </w:pPr>
      <w:r w:rsidRPr="0026539E">
        <w:rPr>
          <w:rFonts w:ascii="Times New Roman" w:hAnsi="Times New Roman" w:cs="Times New Roman"/>
          <w:noProof/>
          <w:sz w:val="24"/>
          <w:szCs w:val="24"/>
          <w:lang w:val="hu-HU"/>
        </w:rPr>
        <w:drawing>
          <wp:inline distT="0" distB="0" distL="0" distR="0" wp14:anchorId="67136B23" wp14:editId="6F021A65">
            <wp:extent cx="2895600" cy="2502549"/>
            <wp:effectExtent l="0" t="0" r="0" b="0"/>
            <wp:docPr id="11" name="Kép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910883" cy="2515757"/>
                    </a:xfrm>
                    <a:prstGeom prst="rect">
                      <a:avLst/>
                    </a:prstGeom>
                    <a:noFill/>
                  </pic:spPr>
                </pic:pic>
              </a:graphicData>
            </a:graphic>
          </wp:inline>
        </w:drawing>
      </w:r>
    </w:p>
    <w:p w14:paraId="7DDD36F0" w14:textId="77777777" w:rsidR="00247F35" w:rsidRPr="0026539E" w:rsidRDefault="00247F35" w:rsidP="00247F35">
      <w:pPr>
        <w:spacing w:after="0" w:line="360" w:lineRule="auto"/>
        <w:jc w:val="both"/>
        <w:rPr>
          <w:rFonts w:ascii="Times New Roman" w:hAnsi="Times New Roman" w:cs="Times New Roman"/>
          <w:sz w:val="24"/>
          <w:szCs w:val="24"/>
          <w:lang w:val="en-GB"/>
        </w:rPr>
      </w:pPr>
      <w:r w:rsidRPr="0026539E">
        <w:rPr>
          <w:rFonts w:ascii="Times New Roman" w:hAnsi="Times New Roman" w:cs="Times New Roman"/>
          <w:sz w:val="24"/>
          <w:szCs w:val="24"/>
          <w:lang w:val="en-GB"/>
        </w:rPr>
        <w:t>In sum, an informed decision can be made on what exercise treatments are recommended or not recommended even if these recommendations are based on consensus or opinion of the experts and/or small studies, as well as on retrospective studies, registries (Evidence C). We can experience a similar pattern in the recommendations for patients with specific cardiovascular diseases. At the same time, recommendations for individuals with cardiovascular risk factors and older adults are far behind from making informed decisions on exercise treatments.</w:t>
      </w:r>
    </w:p>
    <w:p w14:paraId="2A918C7A" w14:textId="77777777" w:rsidR="00247F35" w:rsidRPr="0026539E" w:rsidRDefault="00247F35" w:rsidP="00247F35">
      <w:pPr>
        <w:spacing w:after="0" w:line="360" w:lineRule="auto"/>
        <w:jc w:val="both"/>
        <w:rPr>
          <w:rFonts w:ascii="Times New Roman" w:hAnsi="Times New Roman" w:cs="Times New Roman"/>
          <w:sz w:val="24"/>
          <w:szCs w:val="24"/>
          <w:lang w:val="en-G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5"/>
        <w:gridCol w:w="4537"/>
      </w:tblGrid>
      <w:tr w:rsidR="00247F35" w:rsidRPr="0026539E" w14:paraId="33BA8CA2" w14:textId="77777777" w:rsidTr="0077421F">
        <w:tc>
          <w:tcPr>
            <w:tcW w:w="4535" w:type="dxa"/>
          </w:tcPr>
          <w:p w14:paraId="2CC6DE64" w14:textId="77777777" w:rsidR="00247F35" w:rsidRPr="0026539E" w:rsidRDefault="00247F35" w:rsidP="0077421F">
            <w:pPr>
              <w:spacing w:line="259" w:lineRule="auto"/>
              <w:jc w:val="center"/>
              <w:rPr>
                <w:rFonts w:ascii="Times New Roman" w:hAnsi="Times New Roman" w:cs="Times New Roman"/>
                <w:sz w:val="24"/>
                <w:szCs w:val="24"/>
                <w:lang w:val="en-GB"/>
              </w:rPr>
            </w:pPr>
            <w:r w:rsidRPr="0026539E">
              <w:rPr>
                <w:rFonts w:ascii="Times New Roman" w:hAnsi="Times New Roman" w:cs="Times New Roman"/>
                <w:sz w:val="24"/>
                <w:szCs w:val="24"/>
                <w:lang w:val="en-GB"/>
              </w:rPr>
              <w:t>Individuals with cardiovascular risk factors and older adults</w:t>
            </w:r>
          </w:p>
          <w:p w14:paraId="644E7366" w14:textId="77777777" w:rsidR="00247F35" w:rsidRPr="0026539E" w:rsidRDefault="00247F35" w:rsidP="0077421F">
            <w:pPr>
              <w:jc w:val="center"/>
              <w:rPr>
                <w:sz w:val="24"/>
                <w:szCs w:val="24"/>
                <w:lang w:val="en-GB"/>
              </w:rPr>
            </w:pPr>
            <w:r w:rsidRPr="0026539E">
              <w:rPr>
                <w:lang w:val="en-GB"/>
              </w:rPr>
              <w:object w:dxaOrig="5400" w:dyaOrig="4608" w14:anchorId="232AE4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77.3pt;height:150.45pt" o:ole="">
                  <v:imagedata r:id="rId7" o:title=""/>
                </v:shape>
                <o:OLEObject Type="Embed" ProgID="PBrush" ShapeID="_x0000_i1025" DrawAspect="Content" ObjectID="_1754816888" r:id="rId8"/>
              </w:object>
            </w:r>
          </w:p>
        </w:tc>
        <w:tc>
          <w:tcPr>
            <w:tcW w:w="4537" w:type="dxa"/>
          </w:tcPr>
          <w:p w14:paraId="30ADFE6D" w14:textId="77777777" w:rsidR="00247F35" w:rsidRPr="0026539E" w:rsidRDefault="00247F35" w:rsidP="0077421F">
            <w:pPr>
              <w:jc w:val="center"/>
              <w:rPr>
                <w:rFonts w:ascii="Times New Roman" w:hAnsi="Times New Roman" w:cs="Times New Roman"/>
                <w:sz w:val="24"/>
                <w:szCs w:val="24"/>
                <w:lang w:val="en-GB"/>
              </w:rPr>
            </w:pPr>
            <w:r w:rsidRPr="0026539E">
              <w:rPr>
                <w:rFonts w:ascii="Times New Roman" w:hAnsi="Times New Roman" w:cs="Times New Roman"/>
                <w:sz w:val="24"/>
                <w:szCs w:val="24"/>
                <w:lang w:val="en-GB"/>
              </w:rPr>
              <w:t>Patients with cardiovascular disease</w:t>
            </w:r>
          </w:p>
          <w:p w14:paraId="1E06646E" w14:textId="77777777" w:rsidR="00247F35" w:rsidRPr="0026539E" w:rsidRDefault="00247F35" w:rsidP="0077421F">
            <w:pPr>
              <w:jc w:val="both"/>
              <w:rPr>
                <w:rFonts w:ascii="Times New Roman" w:hAnsi="Times New Roman" w:cs="Times New Roman"/>
                <w:sz w:val="24"/>
                <w:szCs w:val="24"/>
                <w:lang w:val="en-GB"/>
              </w:rPr>
            </w:pPr>
          </w:p>
          <w:p w14:paraId="764798B7" w14:textId="77777777" w:rsidR="00247F35" w:rsidRPr="0026539E" w:rsidRDefault="00247F35" w:rsidP="0077421F">
            <w:pPr>
              <w:jc w:val="both"/>
              <w:rPr>
                <w:sz w:val="24"/>
                <w:szCs w:val="24"/>
                <w:lang w:val="en-GB"/>
              </w:rPr>
            </w:pPr>
            <w:r w:rsidRPr="0026539E">
              <w:rPr>
                <w:lang w:val="en-GB"/>
              </w:rPr>
              <w:object w:dxaOrig="5520" w:dyaOrig="4560" w14:anchorId="3F8D30C9">
                <v:shape id="_x0000_i1026" type="#_x0000_t75" style="width:182.15pt;height:150.45pt" o:ole="">
                  <v:imagedata r:id="rId9" o:title=""/>
                </v:shape>
                <o:OLEObject Type="Embed" ProgID="PBrush" ShapeID="_x0000_i1026" DrawAspect="Content" ObjectID="_1754816889" r:id="rId10"/>
              </w:object>
            </w:r>
          </w:p>
        </w:tc>
      </w:tr>
    </w:tbl>
    <w:p w14:paraId="16B1E8EA" w14:textId="77777777" w:rsidR="00247F35" w:rsidRPr="0026539E" w:rsidRDefault="00247F35" w:rsidP="00247F35">
      <w:pPr>
        <w:spacing w:line="360" w:lineRule="auto"/>
        <w:jc w:val="both"/>
        <w:rPr>
          <w:rFonts w:ascii="Times New Roman" w:hAnsi="Times New Roman" w:cs="Times New Roman"/>
          <w:sz w:val="24"/>
          <w:szCs w:val="24"/>
          <w:lang w:val="en-GB"/>
        </w:rPr>
      </w:pPr>
    </w:p>
    <w:p w14:paraId="4241061D" w14:textId="77777777" w:rsidR="00247F35" w:rsidRPr="0026539E" w:rsidRDefault="00247F35" w:rsidP="00247F35">
      <w:pPr>
        <w:spacing w:line="360" w:lineRule="auto"/>
        <w:jc w:val="both"/>
        <w:rPr>
          <w:rFonts w:ascii="Times New Roman" w:hAnsi="Times New Roman" w:cs="Times New Roman"/>
          <w:sz w:val="24"/>
          <w:szCs w:val="24"/>
          <w:lang w:val="en-GB"/>
        </w:rPr>
      </w:pPr>
      <w:r w:rsidRPr="0026539E">
        <w:rPr>
          <w:rFonts w:ascii="Times New Roman" w:hAnsi="Times New Roman" w:cs="Times New Roman"/>
          <w:sz w:val="24"/>
          <w:szCs w:val="24"/>
          <w:lang w:val="en-GB"/>
        </w:rPr>
        <w:t>Future studies should focus on these ‘to do’ and ‘not to do’ Classes of Recommendations to provide a higher quality of evidence for exercise treatments (Data derived from multiple randomized clinical trials or meta-analyses – Evidence A, and data derived from a single randomized clinical trial or large non-randomized studies – Evidence B).</w:t>
      </w:r>
    </w:p>
    <w:p w14:paraId="65425C70" w14:textId="77777777" w:rsidR="00247F35" w:rsidRDefault="00247F35"/>
    <w:sectPr w:rsidR="00247F35" w:rsidSect="000703A3">
      <w:footerReference w:type="default" r:id="rId11"/>
      <w:pgSz w:w="11906" w:h="16838"/>
      <w:pgMar w:top="1417" w:right="1417" w:bottom="1417" w:left="1417" w:header="708" w:footer="708" w:gutter="0"/>
      <w:pgNumType w:start="1"/>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BB781F" w14:textId="77777777" w:rsidR="00070759" w:rsidRPr="00AF7B15" w:rsidRDefault="00000000">
    <w:pPr>
      <w:pBdr>
        <w:top w:val="nil"/>
        <w:left w:val="nil"/>
        <w:bottom w:val="nil"/>
        <w:right w:val="nil"/>
        <w:between w:val="nil"/>
      </w:pBdr>
      <w:tabs>
        <w:tab w:val="center" w:pos="4703"/>
        <w:tab w:val="right" w:pos="9406"/>
      </w:tabs>
      <w:spacing w:after="0" w:line="240" w:lineRule="auto"/>
      <w:jc w:val="center"/>
      <w:rPr>
        <w:rFonts w:ascii="Times New Roman" w:hAnsi="Times New Roman" w:cs="Times New Roman"/>
        <w:color w:val="000000"/>
        <w:sz w:val="24"/>
        <w:szCs w:val="24"/>
      </w:rPr>
    </w:pPr>
    <w:r w:rsidRPr="00AF7B15">
      <w:rPr>
        <w:rFonts w:ascii="Times New Roman" w:hAnsi="Times New Roman" w:cs="Times New Roman"/>
        <w:color w:val="000000"/>
        <w:sz w:val="24"/>
        <w:szCs w:val="24"/>
      </w:rPr>
      <w:fldChar w:fldCharType="begin"/>
    </w:r>
    <w:r w:rsidRPr="00AF7B15">
      <w:rPr>
        <w:rFonts w:ascii="Times New Roman" w:hAnsi="Times New Roman" w:cs="Times New Roman"/>
        <w:color w:val="000000"/>
        <w:sz w:val="24"/>
        <w:szCs w:val="24"/>
      </w:rPr>
      <w:instrText>PAGE</w:instrText>
    </w:r>
    <w:r w:rsidRPr="00AF7B15">
      <w:rPr>
        <w:rFonts w:ascii="Times New Roman" w:hAnsi="Times New Roman" w:cs="Times New Roman"/>
        <w:color w:val="000000"/>
        <w:sz w:val="24"/>
        <w:szCs w:val="24"/>
      </w:rPr>
      <w:fldChar w:fldCharType="separate"/>
    </w:r>
    <w:r>
      <w:rPr>
        <w:rFonts w:ascii="Times New Roman" w:hAnsi="Times New Roman" w:cs="Times New Roman"/>
        <w:noProof/>
        <w:color w:val="000000"/>
        <w:sz w:val="24"/>
        <w:szCs w:val="24"/>
      </w:rPr>
      <w:t>10</w:t>
    </w:r>
    <w:r w:rsidRPr="00AF7B15">
      <w:rPr>
        <w:rFonts w:ascii="Times New Roman" w:hAnsi="Times New Roman" w:cs="Times New Roman"/>
        <w:color w:val="000000"/>
        <w:sz w:val="24"/>
        <w:szCs w:val="24"/>
      </w:rPr>
      <w:fldChar w:fldCharType="end"/>
    </w:r>
  </w:p>
  <w:p w14:paraId="38FC189A" w14:textId="77777777" w:rsidR="00070759" w:rsidRDefault="00000000">
    <w:pPr>
      <w:pBdr>
        <w:top w:val="nil"/>
        <w:left w:val="nil"/>
        <w:bottom w:val="nil"/>
        <w:right w:val="nil"/>
        <w:between w:val="nil"/>
      </w:pBdr>
      <w:tabs>
        <w:tab w:val="center" w:pos="4703"/>
        <w:tab w:val="right" w:pos="9406"/>
      </w:tabs>
      <w:spacing w:after="0" w:line="240" w:lineRule="auto"/>
      <w:rPr>
        <w:color w:val="000000"/>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7F35"/>
    <w:rsid w:val="00247F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3B7193"/>
  <w15:chartTrackingRefBased/>
  <w15:docId w15:val="{216C358C-BB42-44A1-A089-215689E53F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7F35"/>
    <w:rPr>
      <w:rFonts w:ascii="Calibri" w:eastAsia="Calibri" w:hAnsi="Calibri" w:cs="Calibri"/>
      <w:kern w:val="0"/>
      <w:lang w:eastAsia="hu-HU"/>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47F35"/>
    <w:pPr>
      <w:spacing w:after="0" w:line="240" w:lineRule="auto"/>
    </w:pPr>
    <w:rPr>
      <w:kern w:val="0"/>
      <w:lang w:val="hu-HU"/>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oter" Target="footer1.xml"/><Relationship Id="rId5" Type="http://schemas.openxmlformats.org/officeDocument/2006/relationships/image" Target="media/image2.png"/><Relationship Id="rId10" Type="http://schemas.openxmlformats.org/officeDocument/2006/relationships/oleObject" Target="embeddings/oleObject2.bin"/><Relationship Id="rId4" Type="http://schemas.openxmlformats.org/officeDocument/2006/relationships/image" Target="media/image1.png"/><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382</Words>
  <Characters>2178</Characters>
  <Application>Microsoft Office Word</Application>
  <DocSecurity>0</DocSecurity>
  <Lines>18</Lines>
  <Paragraphs>5</Paragraphs>
  <ScaleCrop>false</ScaleCrop>
  <Company>SpringerNature</Company>
  <LinksUpToDate>false</LinksUpToDate>
  <CharactersWithSpaces>2555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2023-08-29T06:51:00Z</dcterms:created>
  <dcterms:modified xsi:type="dcterms:W3CDTF">2023-08-29T06:52:00Z</dcterms:modified>
</cp:coreProperties>
</file>