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0D29F4" w14:textId="77777777" w:rsidR="00A70985" w:rsidRPr="0026539E" w:rsidRDefault="00A70985" w:rsidP="00A70985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26539E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Table 1.</w:t>
      </w:r>
      <w:r w:rsidRPr="0026539E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Frequency distribution of Classes of Recommendations and Levels of Evidence in ESC GL-SCE </w:t>
      </w:r>
    </w:p>
    <w:tbl>
      <w:tblPr>
        <w:tblW w:w="7263" w:type="dxa"/>
        <w:jc w:val="center"/>
        <w:tblLayout w:type="fixed"/>
        <w:tblLook w:val="0400" w:firstRow="0" w:lastRow="0" w:firstColumn="0" w:lastColumn="0" w:noHBand="0" w:noVBand="1"/>
      </w:tblPr>
      <w:tblGrid>
        <w:gridCol w:w="3820"/>
        <w:gridCol w:w="40"/>
        <w:gridCol w:w="1243"/>
        <w:gridCol w:w="993"/>
        <w:gridCol w:w="1134"/>
        <w:gridCol w:w="33"/>
      </w:tblGrid>
      <w:tr w:rsidR="00A70985" w:rsidRPr="0026539E" w14:paraId="4AFA9632" w14:textId="77777777" w:rsidTr="0077421F">
        <w:trPr>
          <w:trHeight w:val="299"/>
          <w:jc w:val="center"/>
        </w:trPr>
        <w:tc>
          <w:tcPr>
            <w:tcW w:w="38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30F4523" w14:textId="77777777" w:rsidR="00A70985" w:rsidRPr="0026539E" w:rsidRDefault="00A70985" w:rsidP="0077421F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 </w:t>
            </w:r>
            <w:r w:rsidRPr="002653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  <w:t>Classes of Recommendations</w:t>
            </w:r>
          </w:p>
        </w:tc>
        <w:tc>
          <w:tcPr>
            <w:tcW w:w="12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DC4533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/>
              </w:rPr>
              <w:t>GL-SCE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57AE8A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/>
              </w:rPr>
              <w:t>GL-RA</w:t>
            </w:r>
          </w:p>
        </w:tc>
        <w:tc>
          <w:tcPr>
            <w:tcW w:w="11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ACFA505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/>
              </w:rPr>
              <w:t>GL-CS</w:t>
            </w:r>
          </w:p>
        </w:tc>
      </w:tr>
      <w:tr w:rsidR="00A70985" w:rsidRPr="0026539E" w14:paraId="38D5F221" w14:textId="77777777" w:rsidTr="0077421F">
        <w:trPr>
          <w:trHeight w:val="409"/>
          <w:jc w:val="center"/>
        </w:trPr>
        <w:tc>
          <w:tcPr>
            <w:tcW w:w="3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43FF43"/>
            <w:vAlign w:val="center"/>
          </w:tcPr>
          <w:p w14:paraId="0A60CCCA" w14:textId="77777777" w:rsidR="00A70985" w:rsidRPr="0026539E" w:rsidRDefault="00A70985" w:rsidP="0077421F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/>
              </w:rPr>
              <w:t>Class I</w:t>
            </w:r>
            <w:r w:rsidRPr="0026539E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 xml:space="preserve"> - Is recommended/ is indicated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43FF43"/>
            <w:vAlign w:val="center"/>
          </w:tcPr>
          <w:p w14:paraId="3E9D25F1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32.7%</w:t>
            </w: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43FF43"/>
            <w:vAlign w:val="center"/>
          </w:tcPr>
          <w:p w14:paraId="2DC5701C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52.9%</w:t>
            </w:r>
          </w:p>
        </w:tc>
        <w:tc>
          <w:tcPr>
            <w:tcW w:w="1167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43FF43"/>
            <w:vAlign w:val="center"/>
          </w:tcPr>
          <w:p w14:paraId="0A6AA8AF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30.3%</w:t>
            </w:r>
          </w:p>
        </w:tc>
      </w:tr>
      <w:tr w:rsidR="00A70985" w:rsidRPr="0026539E" w14:paraId="7319A4FC" w14:textId="77777777" w:rsidTr="0077421F">
        <w:trPr>
          <w:trHeight w:val="426"/>
          <w:jc w:val="center"/>
        </w:trPr>
        <w:tc>
          <w:tcPr>
            <w:tcW w:w="3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vAlign w:val="center"/>
          </w:tcPr>
          <w:p w14:paraId="02B6AA71" w14:textId="77777777" w:rsidR="00A70985" w:rsidRPr="0026539E" w:rsidRDefault="00A70985" w:rsidP="0077421F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/>
              </w:rPr>
              <w:t xml:space="preserve">Class </w:t>
            </w:r>
            <w:proofErr w:type="spellStart"/>
            <w:r w:rsidRPr="0026539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/>
              </w:rPr>
              <w:t>IIa</w:t>
            </w:r>
            <w:proofErr w:type="spellEnd"/>
            <w:r w:rsidRPr="0026539E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 xml:space="preserve"> - Should be considered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00"/>
            <w:vAlign w:val="center"/>
          </w:tcPr>
          <w:p w14:paraId="34B56B59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27.7%</w:t>
            </w: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00"/>
            <w:vAlign w:val="center"/>
          </w:tcPr>
          <w:p w14:paraId="2EE3F4F3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23.5%</w:t>
            </w:r>
          </w:p>
        </w:tc>
        <w:tc>
          <w:tcPr>
            <w:tcW w:w="1167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00"/>
            <w:vAlign w:val="center"/>
          </w:tcPr>
          <w:p w14:paraId="7A38E0EC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28.2%</w:t>
            </w:r>
          </w:p>
        </w:tc>
      </w:tr>
      <w:tr w:rsidR="00A70985" w:rsidRPr="0026539E" w14:paraId="4056034A" w14:textId="77777777" w:rsidTr="0077421F">
        <w:trPr>
          <w:trHeight w:val="432"/>
          <w:jc w:val="center"/>
        </w:trPr>
        <w:tc>
          <w:tcPr>
            <w:tcW w:w="3860" w:type="dxa"/>
            <w:gridSpan w:val="2"/>
            <w:tcBorders>
              <w:top w:val="nil"/>
              <w:left w:val="nil"/>
              <w:right w:val="nil"/>
            </w:tcBorders>
            <w:shd w:val="clear" w:color="auto" w:fill="FFC000"/>
            <w:vAlign w:val="center"/>
          </w:tcPr>
          <w:p w14:paraId="39DB3D13" w14:textId="77777777" w:rsidR="00A70985" w:rsidRPr="0026539E" w:rsidRDefault="00A70985" w:rsidP="0077421F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/>
              </w:rPr>
              <w:t>Class IIb</w:t>
            </w:r>
            <w:r w:rsidRPr="0026539E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 xml:space="preserve"> - May be considered</w:t>
            </w:r>
          </w:p>
        </w:tc>
        <w:tc>
          <w:tcPr>
            <w:tcW w:w="1243" w:type="dxa"/>
            <w:tcBorders>
              <w:top w:val="nil"/>
              <w:left w:val="nil"/>
              <w:right w:val="single" w:sz="4" w:space="0" w:color="000000"/>
            </w:tcBorders>
            <w:shd w:val="clear" w:color="auto" w:fill="FFC000"/>
            <w:vAlign w:val="center"/>
          </w:tcPr>
          <w:p w14:paraId="2AC2E08A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20.1%</w:t>
            </w:r>
          </w:p>
        </w:tc>
        <w:tc>
          <w:tcPr>
            <w:tcW w:w="993" w:type="dxa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FFC000"/>
            <w:vAlign w:val="center"/>
          </w:tcPr>
          <w:p w14:paraId="112CD16C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11.8%</w:t>
            </w:r>
          </w:p>
        </w:tc>
        <w:tc>
          <w:tcPr>
            <w:tcW w:w="1167" w:type="dxa"/>
            <w:gridSpan w:val="2"/>
            <w:tcBorders>
              <w:top w:val="nil"/>
              <w:left w:val="single" w:sz="4" w:space="0" w:color="000000"/>
              <w:right w:val="nil"/>
            </w:tcBorders>
            <w:shd w:val="clear" w:color="auto" w:fill="FFC000"/>
            <w:vAlign w:val="center"/>
          </w:tcPr>
          <w:p w14:paraId="7F6AD40D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21.1%</w:t>
            </w:r>
          </w:p>
        </w:tc>
      </w:tr>
      <w:tr w:rsidR="00A70985" w:rsidRPr="0026539E" w14:paraId="3A46B9FB" w14:textId="77777777" w:rsidTr="0077421F">
        <w:trPr>
          <w:trHeight w:val="423"/>
          <w:jc w:val="center"/>
        </w:trPr>
        <w:tc>
          <w:tcPr>
            <w:tcW w:w="386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4215"/>
            <w:vAlign w:val="center"/>
          </w:tcPr>
          <w:p w14:paraId="3EC8FE6E" w14:textId="77777777" w:rsidR="00A70985" w:rsidRPr="0026539E" w:rsidRDefault="00A70985" w:rsidP="0077421F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/>
              </w:rPr>
              <w:t>Class III</w:t>
            </w:r>
            <w:r w:rsidRPr="0026539E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 xml:space="preserve"> - Is not recommended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4215"/>
            <w:vAlign w:val="center"/>
          </w:tcPr>
          <w:p w14:paraId="3FD5A5EA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19.5%</w:t>
            </w: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4215"/>
            <w:vAlign w:val="center"/>
          </w:tcPr>
          <w:p w14:paraId="024AE7B1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11.8%</w:t>
            </w:r>
          </w:p>
        </w:tc>
        <w:tc>
          <w:tcPr>
            <w:tcW w:w="1167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4215"/>
            <w:vAlign w:val="center"/>
          </w:tcPr>
          <w:p w14:paraId="0EA71113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20.4%</w:t>
            </w:r>
          </w:p>
        </w:tc>
      </w:tr>
      <w:tr w:rsidR="00A70985" w:rsidRPr="0026539E" w14:paraId="17FE0D36" w14:textId="77777777" w:rsidTr="0077421F">
        <w:trPr>
          <w:gridAfter w:val="1"/>
          <w:wAfter w:w="33" w:type="dxa"/>
          <w:trHeight w:val="352"/>
          <w:jc w:val="center"/>
        </w:trPr>
        <w:tc>
          <w:tcPr>
            <w:tcW w:w="38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659A5E1" w14:textId="77777777" w:rsidR="00A70985" w:rsidRPr="0026539E" w:rsidRDefault="00A70985" w:rsidP="0077421F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 </w:t>
            </w:r>
            <w:r w:rsidRPr="002653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  <w:t>Levels of Evidence</w:t>
            </w:r>
          </w:p>
        </w:tc>
        <w:tc>
          <w:tcPr>
            <w:tcW w:w="128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3D7E74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/>
              </w:rPr>
              <w:t>GL-SCE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29208C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/>
              </w:rPr>
              <w:t>GL-RA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FFFFFF"/>
            </w:tcBorders>
            <w:shd w:val="clear" w:color="auto" w:fill="auto"/>
            <w:vAlign w:val="center"/>
          </w:tcPr>
          <w:p w14:paraId="46D2972A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/>
              </w:rPr>
              <w:t>GL-CS</w:t>
            </w:r>
          </w:p>
        </w:tc>
      </w:tr>
      <w:tr w:rsidR="00A70985" w:rsidRPr="0026539E" w14:paraId="037A24C8" w14:textId="77777777" w:rsidTr="0077421F">
        <w:trPr>
          <w:gridAfter w:val="1"/>
          <w:wAfter w:w="33" w:type="dxa"/>
          <w:trHeight w:val="624"/>
          <w:jc w:val="center"/>
        </w:trPr>
        <w:tc>
          <w:tcPr>
            <w:tcW w:w="3820" w:type="dxa"/>
            <w:tcBorders>
              <w:top w:val="single" w:sz="4" w:space="0" w:color="000000"/>
              <w:left w:val="nil"/>
              <w:bottom w:val="single" w:sz="4" w:space="0" w:color="FFFFFF"/>
              <w:right w:val="nil"/>
            </w:tcBorders>
            <w:shd w:val="clear" w:color="auto" w:fill="002060"/>
            <w:vAlign w:val="center"/>
          </w:tcPr>
          <w:p w14:paraId="084D9A20" w14:textId="77777777" w:rsidR="00A70985" w:rsidRPr="0026539E" w:rsidRDefault="00A70985" w:rsidP="0077421F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/>
              </w:rPr>
              <w:t>Evidence A</w:t>
            </w:r>
            <w:r w:rsidRPr="0026539E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 xml:space="preserve"> - multiple randomized clinical trials or meta-analysis</w:t>
            </w:r>
          </w:p>
        </w:tc>
        <w:tc>
          <w:tcPr>
            <w:tcW w:w="1283" w:type="dxa"/>
            <w:gridSpan w:val="2"/>
            <w:tcBorders>
              <w:top w:val="single" w:sz="4" w:space="0" w:color="000000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002060"/>
            <w:vAlign w:val="center"/>
          </w:tcPr>
          <w:p w14:paraId="241E785F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7.6%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2060"/>
            <w:vAlign w:val="center"/>
          </w:tcPr>
          <w:p w14:paraId="3FFC9793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35.3%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2060"/>
            <w:vAlign w:val="center"/>
          </w:tcPr>
          <w:p w14:paraId="584FABAE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4.2%</w:t>
            </w:r>
          </w:p>
        </w:tc>
      </w:tr>
      <w:tr w:rsidR="00A70985" w:rsidRPr="0026539E" w14:paraId="7621520E" w14:textId="77777777" w:rsidTr="0077421F">
        <w:trPr>
          <w:gridAfter w:val="1"/>
          <w:wAfter w:w="33" w:type="dxa"/>
          <w:trHeight w:val="936"/>
          <w:jc w:val="center"/>
        </w:trPr>
        <w:tc>
          <w:tcPr>
            <w:tcW w:w="3820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2E74B5"/>
            <w:vAlign w:val="center"/>
          </w:tcPr>
          <w:p w14:paraId="7FE1B5B7" w14:textId="77777777" w:rsidR="00A70985" w:rsidRPr="0026539E" w:rsidRDefault="00A70985" w:rsidP="0077421F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/>
              </w:rPr>
              <w:t>Evidence B</w:t>
            </w:r>
            <w:r w:rsidRPr="0026539E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 xml:space="preserve"> - single randomized clinical trials or large non-randomized studies</w:t>
            </w:r>
          </w:p>
        </w:tc>
        <w:tc>
          <w:tcPr>
            <w:tcW w:w="1283" w:type="dxa"/>
            <w:gridSpan w:val="2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2E74B5"/>
            <w:vAlign w:val="center"/>
          </w:tcPr>
          <w:p w14:paraId="11051C01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13.2%</w:t>
            </w:r>
          </w:p>
        </w:tc>
        <w:tc>
          <w:tcPr>
            <w:tcW w:w="99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2E74B5"/>
            <w:vAlign w:val="center"/>
          </w:tcPr>
          <w:p w14:paraId="0C1002D8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23.5%</w:t>
            </w:r>
          </w:p>
        </w:tc>
        <w:tc>
          <w:tcPr>
            <w:tcW w:w="113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2E74B5"/>
            <w:vAlign w:val="center"/>
          </w:tcPr>
          <w:p w14:paraId="5D49DFF3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12.0%</w:t>
            </w:r>
          </w:p>
        </w:tc>
      </w:tr>
      <w:tr w:rsidR="00A70985" w:rsidRPr="0026539E" w14:paraId="57616602" w14:textId="77777777" w:rsidTr="0077421F">
        <w:trPr>
          <w:gridAfter w:val="1"/>
          <w:wAfter w:w="33" w:type="dxa"/>
          <w:trHeight w:val="936"/>
          <w:jc w:val="center"/>
        </w:trPr>
        <w:tc>
          <w:tcPr>
            <w:tcW w:w="3820" w:type="dxa"/>
            <w:tcBorders>
              <w:top w:val="single" w:sz="4" w:space="0" w:color="FFFFFF"/>
              <w:left w:val="nil"/>
              <w:bottom w:val="single" w:sz="4" w:space="0" w:color="000000"/>
              <w:right w:val="nil"/>
            </w:tcBorders>
            <w:shd w:val="clear" w:color="auto" w:fill="9CC2E5"/>
            <w:vAlign w:val="center"/>
          </w:tcPr>
          <w:p w14:paraId="7755C8B0" w14:textId="77777777" w:rsidR="00A70985" w:rsidRPr="0026539E" w:rsidRDefault="00A70985" w:rsidP="0077421F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/>
              </w:rPr>
              <w:t>Evidence C</w:t>
            </w:r>
            <w:r w:rsidRPr="0026539E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 xml:space="preserve"> - experts and/or small studies, retrospective studies, registries</w:t>
            </w:r>
          </w:p>
        </w:tc>
        <w:tc>
          <w:tcPr>
            <w:tcW w:w="1283" w:type="dxa"/>
            <w:gridSpan w:val="2"/>
            <w:tcBorders>
              <w:top w:val="single" w:sz="4" w:space="0" w:color="FFFFFF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9CC2E5"/>
            <w:vAlign w:val="center"/>
          </w:tcPr>
          <w:p w14:paraId="3100ED77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79.2%</w:t>
            </w:r>
          </w:p>
        </w:tc>
        <w:tc>
          <w:tcPr>
            <w:tcW w:w="993" w:type="dxa"/>
            <w:tcBorders>
              <w:top w:val="single" w:sz="4" w:space="0" w:color="FFFFFF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9CC2E5"/>
            <w:vAlign w:val="center"/>
          </w:tcPr>
          <w:p w14:paraId="0BA2CCDE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41.2%</w:t>
            </w:r>
          </w:p>
        </w:tc>
        <w:tc>
          <w:tcPr>
            <w:tcW w:w="1134" w:type="dxa"/>
            <w:tcBorders>
              <w:top w:val="single" w:sz="4" w:space="0" w:color="FFFFFF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9CC2E5"/>
            <w:vAlign w:val="center"/>
          </w:tcPr>
          <w:p w14:paraId="7F9A23EE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83.8%</w:t>
            </w:r>
          </w:p>
        </w:tc>
      </w:tr>
    </w:tbl>
    <w:p w14:paraId="4E934101" w14:textId="77777777" w:rsidR="00A70985" w:rsidRPr="0026539E" w:rsidRDefault="00A70985" w:rsidP="00A70985">
      <w:pPr>
        <w:spacing w:after="0" w:line="48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val="en-GB"/>
        </w:rPr>
      </w:pPr>
      <w:r w:rsidRPr="0026539E">
        <w:rPr>
          <w:rFonts w:ascii="Times New Roman" w:eastAsia="Times New Roman" w:hAnsi="Times New Roman" w:cs="Times New Roman"/>
          <w:i/>
          <w:sz w:val="24"/>
          <w:szCs w:val="24"/>
          <w:lang w:val="en-GB"/>
        </w:rPr>
        <w:t xml:space="preserve">Notes. </w:t>
      </w:r>
      <w:r w:rsidRPr="0026539E">
        <w:rPr>
          <w:rFonts w:ascii="Times New Roman" w:eastAsia="Times New Roman" w:hAnsi="Times New Roman" w:cs="Times New Roman"/>
          <w:iCs/>
          <w:sz w:val="24"/>
          <w:szCs w:val="24"/>
          <w:lang w:val="en-GB"/>
        </w:rPr>
        <w:t>GL-RA: Risk factors and Ageing, GL-CS: Clinical settings, Colour code is based on the ESC Guidelines.</w:t>
      </w:r>
    </w:p>
    <w:p w14:paraId="02319AE2" w14:textId="77777777" w:rsidR="00A70985" w:rsidRPr="0026539E" w:rsidRDefault="00A70985" w:rsidP="00A70985">
      <w:pPr>
        <w:spacing w:after="0" w:line="48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val="en-GB"/>
        </w:rPr>
      </w:pPr>
    </w:p>
    <w:p w14:paraId="440F8992" w14:textId="77777777" w:rsidR="00A70985" w:rsidRPr="0026539E" w:rsidRDefault="00A70985" w:rsidP="00A70985">
      <w:pPr>
        <w:spacing w:after="0" w:line="480" w:lineRule="auto"/>
        <w:rPr>
          <w:rFonts w:ascii="Times New Roman" w:eastAsia="Times New Roman" w:hAnsi="Times New Roman" w:cs="Times New Roman"/>
          <w:iCs/>
          <w:sz w:val="24"/>
          <w:szCs w:val="24"/>
          <w:lang w:val="en-GB"/>
        </w:rPr>
      </w:pPr>
    </w:p>
    <w:p w14:paraId="231D8C19" w14:textId="77777777" w:rsidR="00A70985" w:rsidRPr="0026539E" w:rsidRDefault="00A70985" w:rsidP="00A70985">
      <w:pPr>
        <w:spacing w:after="0" w:line="480" w:lineRule="auto"/>
        <w:rPr>
          <w:rFonts w:ascii="Times New Roman" w:eastAsia="Times New Roman" w:hAnsi="Times New Roman" w:cs="Times New Roman"/>
          <w:iCs/>
          <w:sz w:val="24"/>
          <w:szCs w:val="24"/>
          <w:lang w:val="en-GB"/>
        </w:rPr>
      </w:pPr>
    </w:p>
    <w:p w14:paraId="3F944E55" w14:textId="77777777" w:rsidR="00A70985" w:rsidRPr="0026539E" w:rsidRDefault="00A70985" w:rsidP="00A70985">
      <w:pPr>
        <w:spacing w:after="0" w:line="480" w:lineRule="auto"/>
        <w:rPr>
          <w:rFonts w:ascii="Times New Roman" w:eastAsia="Times New Roman" w:hAnsi="Times New Roman" w:cs="Times New Roman"/>
          <w:iCs/>
          <w:sz w:val="24"/>
          <w:szCs w:val="24"/>
          <w:lang w:val="en-GB"/>
        </w:rPr>
      </w:pPr>
    </w:p>
    <w:p w14:paraId="378DF603" w14:textId="77777777" w:rsidR="00A70985" w:rsidRPr="0026539E" w:rsidRDefault="00A70985" w:rsidP="00A70985">
      <w:pPr>
        <w:spacing w:after="0" w:line="480" w:lineRule="auto"/>
        <w:rPr>
          <w:rFonts w:ascii="Times New Roman" w:eastAsia="Times New Roman" w:hAnsi="Times New Roman" w:cs="Times New Roman"/>
          <w:iCs/>
          <w:sz w:val="24"/>
          <w:szCs w:val="24"/>
          <w:lang w:val="en-GB"/>
        </w:rPr>
      </w:pPr>
    </w:p>
    <w:p w14:paraId="5C23907A" w14:textId="77777777" w:rsidR="00A70985" w:rsidRPr="0026539E" w:rsidRDefault="00A70985" w:rsidP="00A70985">
      <w:pPr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  <w:r w:rsidRPr="0026539E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lastRenderedPageBreak/>
        <w:br w:type="page"/>
      </w:r>
    </w:p>
    <w:p w14:paraId="5B6A8BC9" w14:textId="77777777" w:rsidR="00A70985" w:rsidRPr="0026539E" w:rsidRDefault="00A70985" w:rsidP="00A70985">
      <w:pPr>
        <w:spacing w:after="0" w:line="48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en-GB"/>
        </w:rPr>
      </w:pPr>
      <w:r w:rsidRPr="0026539E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lastRenderedPageBreak/>
        <w:t>Table 2.</w:t>
      </w:r>
      <w:r w:rsidRPr="0026539E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Difference between the observed and expected rates of Certainty on the Levels of Evidence in ESC GL-SCE</w:t>
      </w:r>
    </w:p>
    <w:tbl>
      <w:tblPr>
        <w:tblW w:w="8505" w:type="dxa"/>
        <w:tblLayout w:type="fixed"/>
        <w:tblLook w:val="0400" w:firstRow="0" w:lastRow="0" w:firstColumn="0" w:lastColumn="0" w:noHBand="0" w:noVBand="1"/>
      </w:tblPr>
      <w:tblGrid>
        <w:gridCol w:w="993"/>
        <w:gridCol w:w="850"/>
        <w:gridCol w:w="851"/>
        <w:gridCol w:w="850"/>
        <w:gridCol w:w="851"/>
        <w:gridCol w:w="850"/>
        <w:gridCol w:w="851"/>
        <w:gridCol w:w="708"/>
        <w:gridCol w:w="851"/>
        <w:gridCol w:w="850"/>
      </w:tblGrid>
      <w:tr w:rsidR="00A70985" w:rsidRPr="0026539E" w14:paraId="22A9B985" w14:textId="77777777" w:rsidTr="0077421F">
        <w:trPr>
          <w:trHeight w:val="312"/>
        </w:trPr>
        <w:tc>
          <w:tcPr>
            <w:tcW w:w="993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1817457" w14:textId="77777777" w:rsidR="00A70985" w:rsidRPr="0026539E" w:rsidRDefault="00A70985" w:rsidP="0077421F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.  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58EAAB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/>
              </w:rPr>
              <w:t>Certainty</w:t>
            </w:r>
          </w:p>
        </w:tc>
        <w:tc>
          <w:tcPr>
            <w:tcW w:w="496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42FA3C0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Observed vs. Expected Certainty </w:t>
            </w:r>
            <w:r w:rsidRPr="0026539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/>
              </w:rPr>
              <w:t>Difference</w:t>
            </w:r>
          </w:p>
        </w:tc>
      </w:tr>
      <w:tr w:rsidR="00A70985" w:rsidRPr="0026539E" w14:paraId="7CECD5CD" w14:textId="77777777" w:rsidTr="0077421F">
        <w:trPr>
          <w:trHeight w:val="312"/>
        </w:trPr>
        <w:tc>
          <w:tcPr>
            <w:tcW w:w="993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43EE2B4" w14:textId="77777777" w:rsidR="00A70985" w:rsidRPr="0026539E" w:rsidRDefault="00A70985" w:rsidP="007742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8C06DB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(Observed*/Expected**)</w:t>
            </w:r>
          </w:p>
        </w:tc>
        <w:tc>
          <w:tcPr>
            <w:tcW w:w="496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5EFD5E1" w14:textId="77777777" w:rsidR="00A70985" w:rsidRPr="0026539E" w:rsidRDefault="00A70985" w:rsidP="007742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A70985" w:rsidRPr="0026539E" w14:paraId="5B29AB9D" w14:textId="77777777" w:rsidTr="0077421F">
        <w:trPr>
          <w:trHeight w:val="324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D31B1A" w14:textId="77777777" w:rsidR="00A70985" w:rsidRPr="0026539E" w:rsidRDefault="00A70985" w:rsidP="0077421F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C37136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Levels of Evidence</w:t>
            </w:r>
          </w:p>
        </w:tc>
        <w:tc>
          <w:tcPr>
            <w:tcW w:w="4961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1DB0A5E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Levels of Evidence</w:t>
            </w:r>
          </w:p>
        </w:tc>
      </w:tr>
      <w:tr w:rsidR="00A70985" w:rsidRPr="0026539E" w14:paraId="466FEB44" w14:textId="77777777" w:rsidTr="0077421F">
        <w:trPr>
          <w:trHeight w:val="324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A97C5A" w14:textId="77777777" w:rsidR="00A70985" w:rsidRPr="0026539E" w:rsidRDefault="00A70985" w:rsidP="0077421F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002060"/>
            <w:vAlign w:val="center"/>
          </w:tcPr>
          <w:p w14:paraId="49146C20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A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2F75B5"/>
            <w:vAlign w:val="center"/>
          </w:tcPr>
          <w:p w14:paraId="2F84E2E4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B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9CC3E5"/>
            <w:vAlign w:val="center"/>
          </w:tcPr>
          <w:p w14:paraId="18010173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C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002060"/>
            <w:vAlign w:val="center"/>
          </w:tcPr>
          <w:p w14:paraId="79A14A3A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A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2E75B5"/>
            <w:vAlign w:val="center"/>
          </w:tcPr>
          <w:p w14:paraId="3BA98EC7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B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9CC2E5"/>
            <w:vAlign w:val="center"/>
          </w:tcPr>
          <w:p w14:paraId="72D73DEF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C</w:t>
            </w:r>
          </w:p>
        </w:tc>
      </w:tr>
      <w:tr w:rsidR="00A70985" w:rsidRPr="0026539E" w14:paraId="785BEA05" w14:textId="77777777" w:rsidTr="0077421F">
        <w:trPr>
          <w:trHeight w:val="312"/>
        </w:trPr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EA169D7" w14:textId="77777777" w:rsidR="00A70985" w:rsidRPr="0026539E" w:rsidRDefault="00A70985" w:rsidP="0077421F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 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002060"/>
            <w:vAlign w:val="center"/>
          </w:tcPr>
          <w:p w14:paraId="21664AA7" w14:textId="77777777" w:rsidR="00A70985" w:rsidRPr="0026539E" w:rsidRDefault="00A70985" w:rsidP="007742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2F75B5"/>
            <w:vAlign w:val="center"/>
          </w:tcPr>
          <w:p w14:paraId="6C4AB192" w14:textId="77777777" w:rsidR="00A70985" w:rsidRPr="0026539E" w:rsidRDefault="00A70985" w:rsidP="007742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9CC3E5"/>
            <w:vAlign w:val="center"/>
          </w:tcPr>
          <w:p w14:paraId="088B2421" w14:textId="77777777" w:rsidR="00A70985" w:rsidRPr="0026539E" w:rsidRDefault="00A70985" w:rsidP="007742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002060"/>
            <w:vAlign w:val="center"/>
          </w:tcPr>
          <w:p w14:paraId="5CF5C3A7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z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002060"/>
            <w:vAlign w:val="center"/>
          </w:tcPr>
          <w:p w14:paraId="5B5FCA50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p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2E75B5"/>
            <w:vAlign w:val="center"/>
          </w:tcPr>
          <w:p w14:paraId="04E14771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z</w:t>
            </w: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2E75B5"/>
            <w:vAlign w:val="center"/>
          </w:tcPr>
          <w:p w14:paraId="517E6E80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p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9CC2E5"/>
            <w:vAlign w:val="center"/>
          </w:tcPr>
          <w:p w14:paraId="7A620408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z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9CC2E5"/>
            <w:vAlign w:val="center"/>
          </w:tcPr>
          <w:p w14:paraId="1D419773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p</w:t>
            </w:r>
          </w:p>
        </w:tc>
      </w:tr>
      <w:tr w:rsidR="00A70985" w:rsidRPr="0026539E" w14:paraId="0AE9D2CD" w14:textId="77777777" w:rsidTr="0077421F">
        <w:trPr>
          <w:trHeight w:val="624"/>
        </w:trPr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92DBA73" w14:textId="77777777" w:rsidR="00A70985" w:rsidRPr="0026539E" w:rsidRDefault="00A70985" w:rsidP="0077421F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/>
              </w:rPr>
              <w:t xml:space="preserve">GL-SCE </w:t>
            </w:r>
            <w:r w:rsidRPr="0026539E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(n=159)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002060"/>
            <w:vAlign w:val="center"/>
          </w:tcPr>
          <w:p w14:paraId="6A56B8B3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12/95.4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2F75B5"/>
            <w:vAlign w:val="center"/>
          </w:tcPr>
          <w:p w14:paraId="1BF88CA9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18/47.7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9CC3E5"/>
            <w:vAlign w:val="center"/>
          </w:tcPr>
          <w:p w14:paraId="2938FCDF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53/15.9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002060"/>
            <w:vAlign w:val="center"/>
          </w:tcPr>
          <w:p w14:paraId="0A49C9D0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/>
              </w:rPr>
              <w:t>-11.711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002060"/>
            <w:vAlign w:val="center"/>
          </w:tcPr>
          <w:p w14:paraId="4BCFD906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/>
              </w:rPr>
              <w:t>&lt; 0.001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2E75B5"/>
            <w:vAlign w:val="center"/>
          </w:tcPr>
          <w:p w14:paraId="7FC59850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/>
              </w:rPr>
              <w:t>-2.284</w:t>
            </w: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2E75B5"/>
            <w:vAlign w:val="center"/>
          </w:tcPr>
          <w:p w14:paraId="5A712CCC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/>
              </w:rPr>
              <w:t>0.011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9CC2E5"/>
            <w:vAlign w:val="center"/>
          </w:tcPr>
          <w:p w14:paraId="42D07224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>22.655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9CC2E5"/>
            <w:vAlign w:val="center"/>
          </w:tcPr>
          <w:p w14:paraId="51B7955C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>&lt;0.001</w:t>
            </w:r>
          </w:p>
        </w:tc>
      </w:tr>
      <w:tr w:rsidR="00A70985" w:rsidRPr="0026539E" w14:paraId="590F1995" w14:textId="77777777" w:rsidTr="0077421F">
        <w:trPr>
          <w:trHeight w:val="624"/>
        </w:trPr>
        <w:tc>
          <w:tcPr>
            <w:tcW w:w="99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748B6EC" w14:textId="77777777" w:rsidR="00A70985" w:rsidRPr="0026539E" w:rsidRDefault="00A70985" w:rsidP="0077421F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/>
              </w:rPr>
              <w:t xml:space="preserve">GL-RA </w:t>
            </w:r>
            <w:r w:rsidRPr="0026539E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(n=17)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002060"/>
            <w:vAlign w:val="center"/>
          </w:tcPr>
          <w:p w14:paraId="4B9E5B44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6/10.2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2E75B5"/>
            <w:vAlign w:val="center"/>
          </w:tcPr>
          <w:p w14:paraId="15203040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3/5.1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9CC3E5"/>
            <w:vAlign w:val="center"/>
          </w:tcPr>
          <w:p w14:paraId="0EE7B3FC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2/1.7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002060"/>
            <w:vAlign w:val="center"/>
          </w:tcPr>
          <w:p w14:paraId="69F08EE1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-0.463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002060"/>
            <w:vAlign w:val="center"/>
          </w:tcPr>
          <w:p w14:paraId="4CA640C1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0.646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2E75B5"/>
            <w:vAlign w:val="center"/>
          </w:tcPr>
          <w:p w14:paraId="210EFEFC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-0.243</w:t>
            </w: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2E75B5"/>
            <w:vAlign w:val="center"/>
          </w:tcPr>
          <w:p w14:paraId="5758DF57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0.806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9CC2E5"/>
            <w:vAlign w:val="center"/>
          </w:tcPr>
          <w:p w14:paraId="077CE5A0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1.127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9CC2E5"/>
            <w:vAlign w:val="center"/>
          </w:tcPr>
          <w:p w14:paraId="5D81D682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0.261</w:t>
            </w:r>
          </w:p>
        </w:tc>
      </w:tr>
      <w:tr w:rsidR="00A70985" w:rsidRPr="0026539E" w14:paraId="6924977C" w14:textId="77777777" w:rsidTr="0077421F">
        <w:trPr>
          <w:trHeight w:val="624"/>
        </w:trPr>
        <w:tc>
          <w:tcPr>
            <w:tcW w:w="99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3555999" w14:textId="77777777" w:rsidR="00A70985" w:rsidRPr="0026539E" w:rsidRDefault="00A70985" w:rsidP="0077421F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/>
              </w:rPr>
              <w:t xml:space="preserve">GL-CS </w:t>
            </w:r>
            <w:r w:rsidRPr="0026539E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(n=142)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002060"/>
            <w:vAlign w:val="center"/>
          </w:tcPr>
          <w:p w14:paraId="6C5B0EB5" w14:textId="77777777" w:rsidR="00A70985" w:rsidRPr="0026539E" w:rsidRDefault="00A70985" w:rsidP="0077421F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6/85.2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2E75B5"/>
            <w:vAlign w:val="center"/>
          </w:tcPr>
          <w:p w14:paraId="7C502492" w14:textId="77777777" w:rsidR="00A70985" w:rsidRPr="0026539E" w:rsidRDefault="00A70985" w:rsidP="0077421F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15/42.6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9CC3E5"/>
            <w:vAlign w:val="center"/>
          </w:tcPr>
          <w:p w14:paraId="2997E7C2" w14:textId="77777777" w:rsidR="00A70985" w:rsidRPr="0026539E" w:rsidRDefault="00A70985" w:rsidP="0077421F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51/14.2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002060"/>
            <w:vAlign w:val="center"/>
          </w:tcPr>
          <w:p w14:paraId="43A2B48D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/>
              </w:rPr>
              <w:t>-12.568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002060"/>
            <w:vAlign w:val="center"/>
          </w:tcPr>
          <w:p w14:paraId="53F54C1B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2E75B5"/>
            <w:vAlign w:val="center"/>
          </w:tcPr>
          <w:p w14:paraId="04757B35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/>
              </w:rPr>
              <w:t>-2.384</w:t>
            </w: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2E75B5"/>
            <w:vAlign w:val="center"/>
          </w:tcPr>
          <w:p w14:paraId="2A045A1A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/>
              </w:rPr>
              <w:t>0.017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9CC2E5"/>
            <w:vAlign w:val="center"/>
          </w:tcPr>
          <w:p w14:paraId="0401539E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>24.164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9CC2E5"/>
            <w:vAlign w:val="center"/>
          </w:tcPr>
          <w:p w14:paraId="41F18268" w14:textId="77777777" w:rsidR="00A70985" w:rsidRPr="0026539E" w:rsidRDefault="00A70985" w:rsidP="0077421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</w:pPr>
            <w:r w:rsidRPr="0026539E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>&lt;0.001</w:t>
            </w:r>
          </w:p>
        </w:tc>
      </w:tr>
    </w:tbl>
    <w:p w14:paraId="3BD469BB" w14:textId="77777777" w:rsidR="00A70985" w:rsidRPr="0026539E" w:rsidRDefault="00A70985" w:rsidP="00A70985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26539E">
        <w:rPr>
          <w:rFonts w:ascii="Times New Roman" w:eastAsia="Times New Roman" w:hAnsi="Times New Roman" w:cs="Times New Roman"/>
          <w:i/>
          <w:sz w:val="24"/>
          <w:szCs w:val="24"/>
          <w:lang w:val="en-GB"/>
        </w:rPr>
        <w:t>Notes.</w:t>
      </w:r>
      <w:r w:rsidRPr="0026539E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r w:rsidRPr="0026539E">
        <w:rPr>
          <w:rFonts w:ascii="Times New Roman" w:eastAsia="Times New Roman" w:hAnsi="Times New Roman" w:cs="Times New Roman"/>
          <w:iCs/>
          <w:sz w:val="24"/>
          <w:szCs w:val="24"/>
          <w:lang w:val="en-GB"/>
        </w:rPr>
        <w:t xml:space="preserve">GL-RA: Risk factors and Ageing, GL-CS: Clinical settings. </w:t>
      </w:r>
      <w:r w:rsidRPr="0026539E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z: Z-value, p: p-value; *Observed Certainty - based on the guideline, **Expected Certainty – based on hypothetical distribution; </w:t>
      </w:r>
      <w:r w:rsidRPr="0026539E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significance in bold</w:t>
      </w:r>
      <w:r w:rsidRPr="0026539E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: there is ‘not enough’ evidence to make informed decisions at that Level, </w:t>
      </w:r>
      <w:r w:rsidRPr="0026539E">
        <w:rPr>
          <w:rFonts w:ascii="Times New Roman" w:eastAsia="Times New Roman" w:hAnsi="Times New Roman" w:cs="Times New Roman"/>
          <w:i/>
          <w:sz w:val="24"/>
          <w:szCs w:val="24"/>
          <w:lang w:val="en-GB"/>
        </w:rPr>
        <w:t>significance in italics</w:t>
      </w:r>
      <w:r w:rsidRPr="0026539E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: there is ‘enough’ evidence to make informed decisions at that Level. </w:t>
      </w:r>
    </w:p>
    <w:p w14:paraId="5EE9042C" w14:textId="77777777" w:rsidR="00A70985" w:rsidRPr="0026539E" w:rsidRDefault="00A70985" w:rsidP="00A70985">
      <w:pPr>
        <w:spacing w:after="0" w:line="480" w:lineRule="auto"/>
        <w:rPr>
          <w:rFonts w:ascii="Times New Roman" w:eastAsia="Times New Roman" w:hAnsi="Times New Roman" w:cs="Times New Roman"/>
          <w:iCs/>
          <w:sz w:val="24"/>
          <w:szCs w:val="24"/>
          <w:lang w:val="en-GB"/>
        </w:rPr>
      </w:pPr>
    </w:p>
    <w:p w14:paraId="518ABB09" w14:textId="77777777" w:rsidR="00A70985" w:rsidRDefault="00A70985"/>
    <w:sectPr w:rsidR="00A709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985"/>
    <w:rsid w:val="00A70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0EB816"/>
  <w15:chartTrackingRefBased/>
  <w15:docId w15:val="{ACF27104-0ABC-4D37-A9B0-D64A29783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0985"/>
    <w:rPr>
      <w:rFonts w:ascii="Calibri" w:eastAsia="Calibri" w:hAnsi="Calibri" w:cs="Calibri"/>
      <w:kern w:val="0"/>
      <w:lang w:eastAsia="hu-HU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250</Words>
  <Characters>1429</Characters>
  <Application>Microsoft Office Word</Application>
  <DocSecurity>0</DocSecurity>
  <Lines>11</Lines>
  <Paragraphs>3</Paragraphs>
  <ScaleCrop>false</ScaleCrop>
  <Company>SpringerNature</Company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2023-08-29T06:48:00Z</dcterms:created>
  <dcterms:modified xsi:type="dcterms:W3CDTF">2023-08-29T06:48:00Z</dcterms:modified>
</cp:coreProperties>
</file>