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eastAsia="Times New Roman" w:cs="Times New Roman"/>
          <w:b/>
          <w:sz w:val="20"/>
          <w:szCs w:val="20"/>
        </w:rPr>
        <w:t>Supplemental Table 1</w:t>
      </w:r>
      <w:r>
        <w:rPr>
          <w:rFonts w:hint="eastAsia" w:ascii="Times New Roman" w:hAnsi="Times New Roman" w:eastAsia="Times New Roman" w:cs="Times New Roman"/>
          <w:b/>
          <w:sz w:val="20"/>
          <w:szCs w:val="20"/>
        </w:rPr>
        <w:t>.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eastAsia="Times New Roman" w:cs="Times New Roman"/>
          <w:sz w:val="20"/>
          <w:szCs w:val="20"/>
        </w:rPr>
        <w:t>Summary of major algorithms used for signal detection</w:t>
      </w:r>
    </w:p>
    <w:tbl>
      <w:tblPr>
        <w:tblStyle w:val="5"/>
        <w:tblW w:w="903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790"/>
        <w:gridCol w:w="31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lgorithm</w:t>
            </w:r>
          </w:p>
        </w:tc>
        <w:tc>
          <w:tcPr>
            <w:tcW w:w="379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quation</w:t>
            </w:r>
          </w:p>
        </w:tc>
        <w:tc>
          <w:tcPr>
            <w:tcW w:w="311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tandard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213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ROR</w:t>
            </w:r>
          </w:p>
        </w:tc>
        <w:tc>
          <w:tcPr>
            <w:tcW w:w="379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ROR</m:t>
                </m:r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a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c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num>
                  <m:den>
                    <m:d>
                      <m:dP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b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num>
                          <m:den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d</m:t>
                            </m: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den>
                        </m:f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e>
                    </m:d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den>
                </m:f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ad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bc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den>
                </m:f>
              </m:oMath>
            </m:oMathPara>
          </w:p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m:oMathPara>
              <m:oMath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95</m:t>
                </m:r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%</m:t>
                </m:r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CI=</m:t>
                </m:r>
                <m:sSup>
                  <m:sSup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e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ln</m:t>
                    </m:r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⁡(ROR)±1.96</m:t>
                    </m:r>
                    <m:sSup>
                      <m:sSupP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b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c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d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  <m:t>0.5</m:t>
                        </m: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sup>
                </m:sSup>
              </m:oMath>
            </m:oMathPara>
          </w:p>
        </w:tc>
        <w:tc>
          <w:tcPr>
            <w:tcW w:w="311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95%CI＞1；N≥2；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PRR</w:t>
            </w:r>
          </w:p>
        </w:tc>
        <w:tc>
          <w:tcPr>
            <w:tcW w:w="37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PRR</m:t>
                </m:r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a/(a+b)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c/(c+d)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den>
                </m:f>
              </m:oMath>
            </m:oMathPara>
          </w:p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m:oMathPara>
              <m:oMath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95</m:t>
                </m:r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%</m:t>
                </m:r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CI=</m:t>
                </m:r>
                <m:sSup>
                  <m:sSup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e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ln</m:t>
                    </m:r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⁡(ROR)±1.96</m:t>
                    </m:r>
                    <m:sSup>
                      <m:sSupP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b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c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d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  <m:t>0.5</m:t>
                        </m: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sup>
                </m:sSup>
              </m:oMath>
            </m:oMathPara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95%CI＞1；N≥2；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MGPS</w:t>
            </w:r>
          </w:p>
        </w:tc>
        <w:tc>
          <w:tcPr>
            <w:tcW w:w="379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EBGM</m:t>
                </m:r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fPr>
                  <m:num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a(a+b+c+d)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num>
                  <m:den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(a+c)(b+d)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den>
                </m:f>
              </m:oMath>
            </m:oMathPara>
          </w:p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m:oMathPara>
              <m:oMath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90</m:t>
                </m:r>
                <m:r>
                  <m:rPr>
                    <m:sty m:val="p"/>
                  </m:rPr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%</m:t>
                </m:r>
                <m:r>
                  <m:rPr/>
                  <w:rPr>
                    <w:rFonts w:ascii="Cambria Math" w:hAnsi="Cambria Math" w:eastAsia="Times New Roman" w:cs="Times New Roman"/>
                    <w:sz w:val="20"/>
                    <w:szCs w:val="20"/>
                  </w:rPr>
                  <m:t>EBGM=</m:t>
                </m:r>
                <m:sSup>
                  <m:sSupP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sSupPr>
                  <m:e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e</m:t>
                    </m:r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ln</m:t>
                    </m:r>
                    <m:r>
                      <m:rPr/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  <m:t>⁡(EBGM)−1.64</m:t>
                    </m:r>
                    <m:sSup>
                      <m:sSupP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a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b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c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r>
                              <m:rPr/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  <m:t>+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fPr>
                              <m:num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1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num>
                              <m:den>
                                <m:r>
                                  <m:rPr/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  <m:t>d</m:t>
                                </m:r>
                                <m:ctrlPr>
                                  <w:rPr>
                                    <w:rFonts w:ascii="Cambria Math" w:hAnsi="Cambria Math" w:eastAsia="Times New Roman" w:cs="Times New Roman"/>
                                    <w:sz w:val="20"/>
                                    <w:szCs w:val="20"/>
                                  </w:rPr>
                                </m:ctrlPr>
                              </m:den>
                            </m:f>
                            <m:ctrlPr>
                              <w:rPr>
                                <w:rFonts w:ascii="Cambria Math" w:hAnsi="Cambria Math" w:eastAsia="Times New Roman" w:cs="Times New Roman"/>
                                <w:sz w:val="20"/>
                                <w:szCs w:val="20"/>
                              </w:rPr>
                            </m:ctrlPr>
                          </m:e>
                        </m:d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e>
                      <m:sup>
                        <m:r>
                          <m:rPr/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  <m:t>0.5</m:t>
                        </m:r>
                        <m:ctrlPr>
                          <w:rPr>
                            <w:rFonts w:ascii="Cambria Math" w:hAnsi="Cambria Math" w:eastAsia="Times New Roman" w:cs="Times New Roman"/>
                            <w:sz w:val="20"/>
                            <w:szCs w:val="20"/>
                          </w:rPr>
                        </m:ctrlPr>
                      </m:sup>
                    </m:sSup>
                    <m:ctrlPr>
                      <w:rPr>
                        <w:rFonts w:ascii="Cambria Math" w:hAnsi="Cambria Math" w:eastAsia="Times New Roman" w:cs="Times New Roman"/>
                        <w:sz w:val="20"/>
                        <w:szCs w:val="20"/>
                      </w:rPr>
                    </m:ctrlPr>
                  </m:sup>
                </m:sSup>
              </m:oMath>
            </m:oMathPara>
          </w:p>
        </w:tc>
        <w:tc>
          <w:tcPr>
            <w:tcW w:w="31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90%EBGM＞1</w:t>
            </w:r>
          </w:p>
        </w:tc>
      </w:tr>
    </w:tbl>
    <w:p>
      <w:pP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</w:pPr>
      <w:r>
        <w:rPr>
          <w:rFonts w:hint="eastAsia" w:ascii="Times New Roman" w:hAnsi="Times New Roman" w:eastAsia="Times New Roman" w:cs="Times New Roman"/>
          <w:sz w:val="20"/>
          <w:szCs w:val="20"/>
        </w:rPr>
        <w:t>CI</w:t>
      </w:r>
      <w:r>
        <w:rPr>
          <w:rFonts w:hint="eastAsia" w:ascii="Times New Roman" w:hAnsi="Times New Roman" w:eastAsia="Times New Roman" w:cs="Times New Roman"/>
          <w:sz w:val="20"/>
          <w:szCs w:val="20"/>
          <w:lang w:val="en-US" w:eastAsia="zh-CN"/>
        </w:rPr>
        <w:t>:confidence interval; EBGM:empirical Bayesian geometric mean</w:t>
      </w:r>
    </w:p>
    <w:p/>
    <w:p>
      <w:r>
        <w:br w:type="page"/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Supplemental Table </w:t>
      </w:r>
      <w:r>
        <w:rPr>
          <w:rFonts w:hint="eastAsia" w:ascii="Times New Roman" w:hAnsi="Times New Roman" w:eastAsia="Times New Roman" w:cs="Times New Roman"/>
          <w:b/>
          <w:sz w:val="20"/>
          <w:szCs w:val="20"/>
        </w:rPr>
        <w:t>2</w:t>
      </w:r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. </w:t>
      </w:r>
      <w:r>
        <w:rPr>
          <w:rFonts w:hint="eastAsia" w:ascii="Times New Roman" w:hAnsi="Times New Roman" w:eastAsia="Times New Roman" w:cs="Times New Roman"/>
          <w:bCs/>
          <w:sz w:val="20"/>
          <w:szCs w:val="20"/>
        </w:rPr>
        <w:t>2×2 Contingency table for disproportionality analysis.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946"/>
        <w:gridCol w:w="213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Target Adverse Event</w:t>
            </w:r>
          </w:p>
        </w:tc>
        <w:tc>
          <w:tcPr>
            <w:tcW w:w="21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All other Adverse Event</w:t>
            </w:r>
          </w:p>
        </w:tc>
        <w:tc>
          <w:tcPr>
            <w:tcW w:w="20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  <w:lang w:val="en-US" w:eastAsia="zh-CN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Target drug</w:t>
            </w:r>
          </w:p>
        </w:tc>
        <w:tc>
          <w:tcPr>
            <w:tcW w:w="194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a</w:t>
            </w:r>
          </w:p>
        </w:tc>
        <w:tc>
          <w:tcPr>
            <w:tcW w:w="213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b</w:t>
            </w:r>
          </w:p>
        </w:tc>
        <w:tc>
          <w:tcPr>
            <w:tcW w:w="2070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a+b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All other drugs</w:t>
            </w: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c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d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c+d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  <w:lang w:val="en-US" w:eastAsia="zh-CN"/>
              </w:rPr>
              <w:t>Total</w:t>
            </w:r>
          </w:p>
        </w:tc>
        <w:tc>
          <w:tcPr>
            <w:tcW w:w="194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a+c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b+d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 w:cs="Times New Roman"/>
                <w:sz w:val="20"/>
                <w:szCs w:val="20"/>
              </w:rPr>
              <w:t>a+b+c+d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</w:rPr>
        <w:t>a is the number of reports containing both the target drug and the target adverse event; b is the number of reports containing the target drug with other adverse events; c is the number of reports containing the target adverse event with other drugs; d is the number of reports containing other drugs and other adverse events</w:t>
      </w:r>
      <w:r>
        <w:rPr>
          <w:rFonts w:hint="eastAsia"/>
          <w:lang w:val="en-US" w:eastAsia="zh-CN"/>
        </w:rPr>
        <w:t>.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spacing w:line="360" w:lineRule="auto"/>
        <w:contextualSpacing/>
        <w:jc w:val="both"/>
        <w:rPr>
          <w:rFonts w:ascii="Times New Roman" w:hAnsi="Times New Roman" w:eastAsia="Times New Roman" w:cs="Times New Roman"/>
          <w:sz w:val="20"/>
          <w:szCs w:val="24"/>
        </w:rPr>
      </w:pPr>
      <w:r>
        <w:rPr>
          <w:rFonts w:ascii="Times New Roman" w:hAnsi="Times New Roman" w:eastAsia="Times New Roman"/>
          <w:b/>
          <w:sz w:val="20"/>
          <w:szCs w:val="24"/>
        </w:rPr>
        <w:t>Supplemental</w:t>
      </w:r>
      <w:r>
        <w:rPr>
          <w:rFonts w:hint="eastAsia" w:ascii="Times New Roman" w:hAnsi="Times New Roman" w:eastAsia="Times New Roman"/>
          <w:b/>
          <w:sz w:val="20"/>
          <w:szCs w:val="24"/>
        </w:rPr>
        <w:t xml:space="preserve"> t</w:t>
      </w:r>
      <w:r>
        <w:rPr>
          <w:rFonts w:ascii="Times New Roman" w:hAnsi="Times New Roman" w:eastAsia="Times New Roman"/>
          <w:b/>
          <w:sz w:val="20"/>
          <w:szCs w:val="24"/>
        </w:rPr>
        <w:t xml:space="preserve">able </w:t>
      </w:r>
      <w:r>
        <w:rPr>
          <w:rFonts w:hint="eastAsia" w:ascii="Times New Roman" w:hAnsi="Times New Roman" w:eastAsia="宋体"/>
          <w:b/>
          <w:sz w:val="20"/>
          <w:szCs w:val="24"/>
          <w:lang w:val="en-US" w:eastAsia="zh-CN"/>
        </w:rPr>
        <w:t>3</w:t>
      </w:r>
      <w:r>
        <w:rPr>
          <w:rFonts w:ascii="Times New Roman" w:hAnsi="Times New Roman" w:eastAsia="Times New Roman"/>
          <w:sz w:val="20"/>
          <w:szCs w:val="24"/>
        </w:rPr>
        <w:t>.</w:t>
      </w:r>
      <w:r>
        <w:rPr>
          <w:rFonts w:ascii="Times New Roman" w:hAnsi="Times New Roman" w:eastAsia="Times New Roman" w:cs="Times New Roman"/>
          <w:sz w:val="20"/>
          <w:szCs w:val="24"/>
        </w:rPr>
        <w:t xml:space="preserve"> Treatment outcomes of S1PR modulators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701"/>
        <w:gridCol w:w="1701"/>
        <w:gridCol w:w="1559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Fingoli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  <w:lang w:val="en-US" w:eastAsia="zh-CN"/>
              </w:rPr>
              <w:t>mo</w:t>
            </w: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d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Siponi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  <w:lang w:val="en-US" w:eastAsia="zh-CN"/>
              </w:rPr>
              <w:t>mo</w:t>
            </w: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d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Ozani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  <w:lang w:val="en-US" w:eastAsia="zh-CN"/>
              </w:rPr>
              <w:t>mo</w:t>
            </w: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d</w:t>
            </w:r>
          </w:p>
        </w:tc>
        <w:tc>
          <w:tcPr>
            <w:tcW w:w="146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Ponesi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  <w:lang w:val="en-US" w:eastAsia="zh-CN"/>
              </w:rPr>
              <w:t>mo</w:t>
            </w: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Death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1,142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126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46</w:t>
            </w:r>
          </w:p>
        </w:tc>
        <w:tc>
          <w:tcPr>
            <w:tcW w:w="146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Disability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1,276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69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Hospitalization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11,168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881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404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Life-threatening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1,195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38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4"/>
              </w:rPr>
              <w:t>Deficiency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916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Permanent defect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0</w:t>
            </w: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Other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33,105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1,942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1,024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after="0" w:line="360" w:lineRule="auto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4"/>
              </w:rPr>
              <w:t>49</w:t>
            </w:r>
          </w:p>
        </w:tc>
      </w:tr>
    </w:tbl>
    <w:p>
      <w:r>
        <w:br w:type="page"/>
      </w:r>
    </w:p>
    <w:p>
      <w:pPr>
        <w:rPr>
          <w:rFonts w:ascii="Times New Roman" w:hAnsi="Times New Roman" w:eastAsia="宋体"/>
          <w:sz w:val="20"/>
          <w:szCs w:val="20"/>
        </w:rPr>
      </w:pPr>
      <w:r>
        <w:rPr>
          <w:rFonts w:ascii="Times New Roman" w:hAnsi="Times New Roman" w:eastAsia="宋体"/>
          <w:b/>
          <w:sz w:val="20"/>
          <w:szCs w:val="20"/>
        </w:rPr>
        <w:t>Supplemental</w:t>
      </w:r>
      <w:r>
        <w:rPr>
          <w:rFonts w:hint="eastAsia" w:ascii="Times New Roman" w:hAnsi="Times New Roman" w:eastAsia="宋体"/>
          <w:b/>
          <w:sz w:val="20"/>
          <w:szCs w:val="20"/>
        </w:rPr>
        <w:t xml:space="preserve"> t</w:t>
      </w:r>
      <w:r>
        <w:rPr>
          <w:rFonts w:ascii="Times New Roman" w:hAnsi="Times New Roman" w:eastAsia="宋体"/>
          <w:b/>
          <w:sz w:val="20"/>
          <w:szCs w:val="20"/>
        </w:rPr>
        <w:t xml:space="preserve">able </w:t>
      </w:r>
      <w:r>
        <w:rPr>
          <w:rFonts w:hint="eastAsia" w:ascii="Times New Roman" w:hAnsi="Times New Roman" w:eastAsia="宋体"/>
          <w:b/>
          <w:sz w:val="20"/>
          <w:szCs w:val="20"/>
          <w:lang w:val="en-US" w:eastAsia="zh-CN"/>
        </w:rPr>
        <w:t>4</w:t>
      </w:r>
      <w:r>
        <w:rPr>
          <w:rFonts w:ascii="Times New Roman" w:hAnsi="Times New Roman" w:eastAsia="宋体"/>
          <w:sz w:val="20"/>
          <w:szCs w:val="20"/>
        </w:rPr>
        <w:t xml:space="preserve">. </w:t>
      </w:r>
      <w:r>
        <w:rPr>
          <w:rFonts w:hint="eastAsia" w:ascii="Times New Roman" w:hAnsi="Times New Roman" w:eastAsia="宋体"/>
          <w:sz w:val="20"/>
          <w:szCs w:val="20"/>
        </w:rPr>
        <w:t>Usage of S1PR modulators in different indications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2"/>
        <w:gridCol w:w="295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Indications</w:t>
            </w:r>
          </w:p>
        </w:tc>
        <w:tc>
          <w:tcPr>
            <w:tcW w:w="295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22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R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elapsing multiple sclerosis patient group VS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O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ther groups</w:t>
            </w:r>
          </w:p>
        </w:tc>
        <w:tc>
          <w:tcPr>
            <w:tcW w:w="2954" w:type="dxa"/>
            <w:tcBorders>
              <w:top w:val="single" w:color="auto" w:sz="12" w:space="0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0.8644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＞ 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22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on-immune disease VS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I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mmune system disease</w:t>
            </w:r>
          </w:p>
        </w:tc>
        <w:tc>
          <w:tcPr>
            <w:tcW w:w="2954" w:type="dxa"/>
            <w:tcBorders>
              <w:top w:val="nil"/>
              <w:bottom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0.1975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＞ 0.05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22" w:type="dxa"/>
            <w:tcBorders>
              <w:top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 xml:space="preserve">COVID-19 patients VS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on COVID-19 patients</w:t>
            </w:r>
          </w:p>
        </w:tc>
        <w:tc>
          <w:tcPr>
            <w:tcW w:w="2954" w:type="dxa"/>
            <w:tcBorders>
              <w:top w:val="nil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0.9605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 xml:space="preserve"> ＞ 0.05</w:t>
            </w:r>
          </w:p>
        </w:tc>
      </w:tr>
    </w:tbl>
    <w:p>
      <w:pPr>
        <w:rPr>
          <w:rFonts w:ascii="Times New Roman" w:hAnsi="Times New Roman" w:eastAsia="宋体"/>
          <w:sz w:val="20"/>
          <w:szCs w:val="20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default" w:ascii="Times New Roman" w:hAnsi="Times New Roman" w:eastAsia="宋体" w:cs="Times New Roman"/>
          <w:b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sz w:val="20"/>
          <w:szCs w:val="20"/>
        </w:rPr>
        <w:t>Supplemental table 5</w:t>
      </w:r>
      <w:r>
        <w:rPr>
          <w:rFonts w:hint="default" w:ascii="Times New Roman" w:hAnsi="Times New Roman" w:eastAsia="宋体" w:cs="Times New Roman"/>
          <w:sz w:val="20"/>
          <w:szCs w:val="20"/>
        </w:rPr>
        <w:t>. Differences in demographic and clin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i</w:t>
      </w:r>
      <w:r>
        <w:rPr>
          <w:rFonts w:hint="default" w:ascii="Times New Roman" w:hAnsi="Times New Roman" w:eastAsia="宋体" w:cs="Times New Roman"/>
          <w:sz w:val="20"/>
          <w:szCs w:val="20"/>
        </w:rPr>
        <w:t>cal characteristics between the two groups</w:t>
      </w:r>
    </w:p>
    <w:tbl>
      <w:tblPr>
        <w:tblStyle w:val="2"/>
        <w:tblW w:w="9639" w:type="dxa"/>
        <w:tblInd w:w="-45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4"/>
        <w:gridCol w:w="1336"/>
        <w:gridCol w:w="2358"/>
        <w:gridCol w:w="2345"/>
        <w:gridCol w:w="12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Name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levels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Other Risks (N=1433)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Severe Risks (N=272)</w:t>
            </w:r>
          </w:p>
        </w:tc>
        <w:tc>
          <w:tcPr>
            <w:tcW w:w="125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p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  <w:lang w:val="en-US" w:eastAsia="zh-CN"/>
              </w:rPr>
              <w:t>EX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414 (28.9%)</w:t>
            </w:r>
          </w:p>
        </w:tc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84 (30.9%)</w:t>
            </w:r>
          </w:p>
        </w:tc>
        <w:tc>
          <w:tcPr>
            <w:tcW w:w="125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0.555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1019 (71.1%)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188 (69.1%)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WT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73.5 ± 22.7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71.1 ± 21.6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0.102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Mean ± SD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44.4 ± 13.4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46.2 ± 12.3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0.034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Vitamin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1151 (80.3%)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209 (76.8%)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0.219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282 (19.7%)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63 (23.2%)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Antidepressant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1235 (86.2%)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236 (86.8%)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0.873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198 (13.8%)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36 (13.2%)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Corticosteroids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1252 (87.4%)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236 (86.8%)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0.861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181 (12.6%)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36 (13.2%)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Benzodiazepine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1249 (87.2%)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246 (90.4%)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0.159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184 (12.8%)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 (9.6%)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Muscle Relaxants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1241 (86.6%)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239 (87.9%)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0.640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192 (13.4%)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33 (12.1%)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Antiepileptic Drug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1265 (88.3%)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248 (91.2%)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168 (11.7%)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 (8.8%)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PPI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1275 (89%)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239 (87.9%)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0.670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158 (11%)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33 (12.1%)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Antipyretic Analgesic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1284 (89.6%)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244 (89.7%)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149 (10.4%)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28 (10.3%)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PCBs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1311 (91.5%)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259 (95.2%)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0.049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122 (8.5%)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 (4.8%)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Urinary Syste Drugs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1342 (93.6%)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251 (92.3%)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0.482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91 (6.4%)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21 (7.7%)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Thyroid Preparations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1346 (93.9%)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244 (89.7%)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0.016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87 (6.1%)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28 (10.3%)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Monocloning Antibody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1371 (95.7%)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246 (90.4%)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&lt;0.001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62 (4.3%)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 (9.6%)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Propionic Acid Derivative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1346 (93.9%)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260 (95.6%)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0.352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87 (6.1%)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 (4.4%)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Acylanilides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1346 (93.9%)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258 (94.9%)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0.651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87 (6.1%)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 (5.1%)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SSRIs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1357 (94.7%)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252 (92.6%)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0.230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76 (5.3%)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20 (7.4%)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HMG CoA Reductase Inhibitors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1353 (94.4%)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258 (94.9%)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0.886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80 (5.6%)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 (5.1%)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Antihistamine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1368 (95.5%)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261 (96%)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0.841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65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 (4%)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CCB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1353 (94.4%)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257 (94.5%)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80 (5.6%)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15 (5.5%)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Interferons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1362 (95%)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266 (97.8%)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0.065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71 (5%)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6 (2.2%)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Medications For Treating Constipation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1382 (96.4%)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258 (94.9%)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0.280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51 (3.6%)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 (5.1%)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Surgical And Medical Procedures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896 (62.5%)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166 (61%)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0.690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537 (37.5%)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106 (39%)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Nervous System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113 (7.9%)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 (9.9%)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0.316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1320 (92.1%)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245 (90.1%)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Psychiatric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1191 (83.1%)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235 (86.4%)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242 (16.9%)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37 (13.6%)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Gastrointestinal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1286 (89.7%)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251 (92.3%)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0.239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147 (10.3%)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21 (7.7%)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General Disorders And Administration Site Conditions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1269 (88.6%)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248 (91.2%)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164 (11.4%)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 (8.8%)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Vascular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1316 (91.8%)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249 (91.5%)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0.968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117 (8.2%)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23 (8.5%)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Metabolism And Nutrition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1320 (92.1%)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254 (93.4%)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0.551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113 (7.9%)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18 (6.6%)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Musculoskeletal And Connective Tissue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1335 (93.2%)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258 (94.9%)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0.369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98 (6.8%)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 (5.1%)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Infections And Infestations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1368 (95.5%)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264 (97.1%)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0.304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65 (4.5%)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8 (2.9%)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Renal And Urinary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1374 (95.9%)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255 (93.8%)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0.161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59 (4.1%)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17 (6.2%)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Investigations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1388 (96.9%)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265 (97.4%)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0.760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45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7 (2.6%)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Respiratory Thoracic And Mediastinal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1398 (97.6%)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268 (98.5%)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0.446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35 (2.4%)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 (1.5%)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Endocrine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1390 (97%)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257 (94.5%)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0.056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43 (3%)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15 (5.5%)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Injury Poisoning And Procedural Complications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1414 (98.7%)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271 (99.6%)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0.299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19 (1.3%)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 (0.4%)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Skin And Subcutaneous Tissue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1409 (98.3%)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271 (99.6%)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0.171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24 (1.7%)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 (0.4%)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Neoplasms Benign Malignant And Unspecified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1430 (99.8%)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270 (99.3%)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0.390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 (0.2%)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 (0.7%)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Cardiac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1422 (99.2%)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270 (99.3%)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11 (0.8%)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 (0.7%)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Immune System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1415 (98.7%)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268 (98.5%)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18 (1.3%)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 (1.5%)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Blood And Lymphatic System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1415 (98.7%)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270 (99.3%)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0.671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18 (1.3%)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 (0.7%)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Eye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1416 (98.8%)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271 (99.6%)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0.375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17 (1.2%)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 (0.4%)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Hepatobiliary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1423 (99.3%)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270 (99.3%)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10 (0.7%)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 (0.7%)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Reproductive System And Breast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1419 (99%)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271 (99.6%)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0.527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 (1%)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 (0.4%)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Ear And Labyrinth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1423 (99.3%)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270 (99.3%)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10 (0.7%)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 (0.7%)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Pregnancy Puerperium And Perinatal Conditions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1430 (99.8%)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272 (100%)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3 (0.2%)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 (0%)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Social Circumstances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1429 (99.7%)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272 (100%)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0.850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4 (0.3%)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 (0%)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Congenital Familial And Genetic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1431 (99.9%)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272 (100%)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1.000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34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2 (0.1%)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  <w:t>0 (0%)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</w:p>
    <w:p>
      <w:r>
        <w:br w:type="page"/>
      </w:r>
    </w:p>
    <w:p>
      <w:pPr>
        <w:rPr>
          <w:rFonts w:hint="default" w:ascii="Times New Roman" w:hAnsi="Times New Roman" w:eastAsia="Times New Roman" w:cs="Times New Roman"/>
          <w:sz w:val="20"/>
          <w:szCs w:val="20"/>
        </w:rPr>
      </w:pPr>
      <w:r>
        <w:rPr>
          <w:rFonts w:hint="default" w:ascii="Times New Roman" w:hAnsi="Times New Roman" w:eastAsia="Times New Roman" w:cs="Times New Roman"/>
          <w:b/>
          <w:sz w:val="20"/>
          <w:szCs w:val="20"/>
        </w:rPr>
        <w:t>Supplemental Table 6</w:t>
      </w:r>
      <w:r>
        <w:rPr>
          <w:rFonts w:hint="eastAsia" w:ascii="Times New Roman" w:hAnsi="Times New Roman" w:eastAsia="宋体" w:cs="Times New Roman"/>
          <w:b/>
          <w:sz w:val="20"/>
          <w:szCs w:val="20"/>
          <w:lang w:val="en-US" w:eastAsia="zh-CN"/>
        </w:rPr>
        <w:t>.</w:t>
      </w:r>
      <w:r>
        <w:rPr>
          <w:rFonts w:hint="default" w:ascii="Times New Roman" w:hAnsi="Times New Roman" w:eastAsia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eastAsia="Times New Roman" w:cs="Times New Roman"/>
          <w:sz w:val="20"/>
          <w:szCs w:val="20"/>
        </w:rPr>
        <w:t>aseline characteristics of the patients within the training and internal validation sets.</w:t>
      </w:r>
    </w:p>
    <w:tbl>
      <w:tblPr>
        <w:tblStyle w:val="2"/>
        <w:tblW w:w="11057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851"/>
        <w:gridCol w:w="1559"/>
        <w:gridCol w:w="1559"/>
        <w:gridCol w:w="1701"/>
        <w:gridCol w:w="184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Name</w:t>
            </w:r>
          </w:p>
        </w:tc>
        <w:tc>
          <w:tcPr>
            <w:tcW w:w="85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desc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Other risks (N=1433)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Severe risk (N=272)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id</w:t>
            </w: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OR (univariable)</w:t>
            </w: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OR (final)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SEX</w:t>
            </w:r>
          </w:p>
        </w:tc>
        <w:tc>
          <w:tcPr>
            <w:tcW w:w="85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414 (28.9%)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84 (30.9%)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SEX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1019 (71.1%)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188 (69.1%)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SEX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0.91(0.69-1.20, p=0.508)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WT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Mean ± SD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73.5 ± 22.7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71.1 ± 21.6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WT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1.00(0.99-1.00, p=0.102)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0.99(0.99-1.00, p=0.024)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AGE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Mean ± SD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44.4 ± 13.4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46.2 ± 12.3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1.01(1.00-1.02, p=0.034)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1.02(1.01-1.03, p=0.004)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Vitamin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1151 (80.3%)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209 (76.8%)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Vitamin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282 (19.7%)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63 (23.2%)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Vitamin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1.23(0.90-1.68, p=0.191)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1.36(0.98-1.89, p=0.070)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Antidepressant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1235 (86.2%)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236 (86.8%)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Antidepressant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198 (13.8%)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36 (13.2%)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Antidepressant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0.95(0.65-1.39, p=0.798)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Corticosteroids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1252 (87.4%)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236 (86.8%)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Corticosteroids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181 (12.6%)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36 (13.2%)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Corticosteroids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1.06(0.72-1.55, p=0.784)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Benzodiazepine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1249 (87.2%)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246 (90.4%)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Benzodiazep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184 (12.8%)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 (9.6%)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Benzodiazep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val="en-US" w:eastAsia="zh-CN" w:bidi="ar"/>
              </w:rPr>
              <w:t>i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0.72(0.47-1.11, p=0.133)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0.59(0.37-0.94, p=0.027)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Muscle relaxants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1241 (86.6%)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239 (87.9%)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Muscle relaxants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192 (13.4%)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33 (12.1%)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Muscle relaxants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0.89(0.60-1.32, p=0.572)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Antiepileptic drugs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1265 (88.3%)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248 (91.2%)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Antiepileptic drugs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168 (11.7%)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 (8.8%)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Antiepileptic drugs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0.73(0.47-1.14, p=0.167)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PPI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1275 (89%)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239 (87.9%)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PPI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158 (11%)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33 (12.1%)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PPI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1.11(0.75-1.66, p=0.596)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Antipyretic analgesic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1284 (89.6%)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244 (89.7%)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Antipyretic analgesic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149 (10.4%)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28 (10.3%)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Antipyretic analgesic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0.99(0.65-1.51, p=0.959)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PCBs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1311 (91.5%)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259 (95.2%)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PCBs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122 (8.5%)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 (4.8%)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PCBs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0.54(0.30-0.97, p=0.039)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0.43(0.23-0.79, p=0.006)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Urinary syste drugs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1342 (93.6%)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251 (92.3%)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Urinary syste drugs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91 (6.4%)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21 (7.7%)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Urinary syste drugs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1.23(0.75-2.02, p=0.404)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Thyroid preparations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1346 (93.9%)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244 (89.7%)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Thyroid preparations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87 (6.1%)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28 (10.3%)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Thyroid preparations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1.78(1.14-2.78, p=0.012)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1.80(1.13-2.85, p=0.013)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Monocloning antibody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1371 (95.7%)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246 (90.4%)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Monocloning antibody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62 (4.3%)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 (9.6%)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Monocloning antibody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2.34(1.45-3.77, p&lt;0.001)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2.76(1.68-4.52, p&lt;0.001)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Propionic acid derivative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1346 (93.9%)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260 (95.6%)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Propionic acid derivative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87 (6.1%)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 (4.4%)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Propionic acid derivative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0.71(0.38-1.32, p=0.285)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Acylanilides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1346 (93.9%)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258 (94.9%)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Acylanilides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87 (6.1%)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 (5.1%)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Acylanilides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0.84 (0.47-1.50, p=0.554)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SSRIs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1357 (94.7%)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252 (92.6%)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SSRIs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76 (5.3%)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20 (7.4%)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SSRIs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1.42(0.85-2.36, p=0.181)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HMG CoA reductase inhibitors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1353 (94.4%)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258 (94.9%)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HMG CoA reductase inhibitors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80 (5.6%)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 (5.1%)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HMG CoA reductase inhibitors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0.92(0.51-1.64, p=0.773)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Antihistamine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1368 (95.5%)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261 (96%)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Antihistamine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65 (4.5%)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 (4%)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Antihistamine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0.89(0.46-1.70, p=0.719)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CCB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1353 (94.4%)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257 (94.5%)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CCB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80 (5.6%)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15 (5.5%)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CCB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0.99(0.56-1.74, p=0.964)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Interferons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1362 (95%)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266 (97.8%)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Interferons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71 (5%)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6 (2.2%)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Interferons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0.43(0.19-1.01, p=0.051)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0.44(0.18-1.03, p=0.059)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Medications for treating constipation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1382 (96.4%)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258 (94.9%)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Medications for treating constipation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51 (3.6%)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 (5.1%)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Medications for treating constipation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1.47(0.80-2.70, p=0.212)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Surgical and medical procedures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896 (62.5%)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166 (61%)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Surgical and medical procedures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537 (37.5%)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106 (39%)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Surgical and medical procedures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1.07(0.82-1.39, p=0.641)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Nervous system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113 (7.9%)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 (9.9%)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Nervous system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1320 (92.1%)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245 (90.1%)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Nervous system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0.78(0.50-1.21, p=0.262)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Psychiatric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1191 (83.1%)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235 (86.4%)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Psychiatric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242 (16.9%)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37 (13.6%)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Psychiatric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0.77(0.53-1.13, p=0.180)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Gastrointestinal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1286 (89.7%)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251 (92.3%)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Gastrointestinal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147 (10.3%)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21 (7.7%)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Gastrointestinal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0.73(0.45-1.18, p=0.200)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0.70(0.43-1.16, p=0.166)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General disorders and administration site conditions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1269 (88.6%)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248 (91.2%)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General disorders and administration site conditions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164 (11.4%)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 (8.8%)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General disorders and administration site conditions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0.75(0.48-1.17, p=0.207)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Vascular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1316 (91.8%)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249 (91.5%)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Vascular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117 (8.2%)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23 (8.5%)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Vascular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1.04(0.65-1.66, p=0.873)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Metabolism and nutrition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1320 (92.1%)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254 (93.4%)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Metabolism and nutrition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113 (7.9%)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18 (6.6%)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Metabolism and nutrition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0.83(0.49-1.39, p=0.472)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Musculoskeletal and connective tissue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1335 (93.2%)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258 (94.9%)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Musculoskeletal and connective tissue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98 (6.8%)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 (5.1%)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Musculoskeletal and connective tissue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0.74(0.42-1.31, p=0.303)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Infections and infestations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1368 (95.5%)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264 (97.1%)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Infections and infestations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65 (4.5%)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8 (2.9%)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Infections and infestations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0.64(0.30-1.34, p=0.237)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Renal and urinary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1374 (95.9%)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255 (93.8%)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Renal and urinary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59 (4.1%)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17 (6.2%)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Renal and urinary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1.55(0.89-2.71, p=0.121)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1.72(0.96-3.07, p=0.067)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Investigations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1388 (96.9%)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265 (97.4%)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Investigations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45 (3.1%)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7 (2.6%)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Investigations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0.81(0.36-1.83, p=0.619)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Respiratory thoracic and mediastinal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1398 (97.6%)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268 (98.5%)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Respiratory thoracic and mediastinal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35 (2.4%)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 (1.5%)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Respiratory thoracic and mediastinal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0.60(0.21-1.69, p=0.331)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Endocrine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1390 (97%)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257 (94.5%)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Endocrine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43 (3%)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15 (5.5%)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Endocrine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1.89(1.03-3.45, p=0.039)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Injury poisoning and procedural complications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1414 (98.7%)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271 (99.6%)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Injury poisoning and procedural complications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19 (1.3%)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 (0.4%)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Injury poisoning and procedural complications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0.27(0.04-2.06, p=0.209)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Skin and subcutaneous tissue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1409 (98.3%)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271 (99.6%)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Skin and subcutaneous tissue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24 (1.7%)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 (0.4%)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Skin and subcutaneous tissue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0.22(0.03-1.61, p=0.135)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0.20(0.03-1.52, p=0.120)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Neoplasms benign malignant and unspecified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1430 (99.8%)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270 (99.3%)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Neoplasms benign malignant and unspecified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 (0.2%)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 (0.7%)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Neoplasms benign malignant and unspecified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3.53(0.59-21.23, p=0.168)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Cardiac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1422 (99.2%)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270 (99.3%)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Cardiac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11 (0.8%)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 (0.7%)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Cardiac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0.96(0.21-4.34, p=0.955)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Immune system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1415 (98.7%)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268 (98.5%)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Immune system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18 (1.3%)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 (1.5%)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Immune system disoders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1.17(0.39-3.49, p=0.774)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Blood and lymphatic system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1415 (98.7%)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270 (99.3%)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Blood and lymphatic system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18 (1.3%)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 (0.7%)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Blood and lymphatic system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0.58(0.13-2.52, p=0.470)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Eye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1416 (98.8%)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271 (99.6%)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Eye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17 (1.2%)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 (0.4%)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Eye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0.31(0.04-2.32, p=0.253)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Hepatobiliary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1423 (99.3%)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270 (99.3%)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Hepatobiliary</w:t>
            </w:r>
          </w:p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10 (0.7%)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 (0.7%)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Hepatobiliary</w:t>
            </w:r>
          </w:p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1.05(0.23-4.84, p=0.946)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Reproductive</w:t>
            </w:r>
          </w:p>
          <w:p>
            <w:pPr>
              <w:ind w:left="240" w:hanging="200" w:hangingChars="10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system and breast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1419 (99%)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271 (99.6%)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Reproductive system and breast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 (1%)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 (0.4%)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Reproductive system and breast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0.37(0.05-2.86, p=0.343)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Ear and labyrinth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1423 (99.3%)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270 (99.3%)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Ear and labyrinth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10 (0.7%)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 (0.7%)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Ear and labyrinth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1.05(0.23-4.84, p=0.946)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Pregnancy puerperium and perinatal conditions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1430 (99.8%)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272 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Pregnancy puerperium and perinatal conditions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3 (0.2%)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Pregnancy puerperium and perinatal conditions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0.00 (p=0.969)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Social circumstances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1429 (99.7%)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272 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Social circumstances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4 (0.3%)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Social circumstances yes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0.00 (p=0.977)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Congenital familial and genetic disorders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1431 (99.9%)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272 (100%)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Congenital familial and genetic disorders 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2 (0.1%)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 (0%)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Congenital familial and genetic disorders yes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  <w:lang w:bidi="ar"/>
              </w:rPr>
              <w:t>0.00 (p=0.975)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</w:rPr>
      </w:pPr>
    </w:p>
    <w:p>
      <w:r>
        <w:br w:type="page"/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715895"/>
            <wp:effectExtent l="0" t="0" r="8255" b="8255"/>
            <wp:docPr id="1" name="图片 1" descr="Supplemental Fig 1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l Fig 1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Supplemental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. </w:t>
      </w:r>
      <w:r>
        <w:rPr>
          <w:rFonts w:hint="eastAsia" w:ascii="Times New Roman" w:hAnsi="Times New Roman" w:eastAsia="宋体" w:cs="Times New Roman"/>
          <w:sz w:val="24"/>
          <w:szCs w:val="24"/>
        </w:rPr>
        <w:t>The calibration curve of the column chart to predict the risk of death. (A) The calibration curve of the training set, (B) the calibration curve of the validation set.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2415540"/>
            <wp:effectExtent l="0" t="0" r="11430" b="3810"/>
            <wp:docPr id="2" name="图片 2" descr="Supplemental Fig 2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l Fig 2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Supplemental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The decision curve of the column chart to predict the risk of death. (A) The decision curve of the training set, (B) the decision curve of the validation set.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1OTM5MjNlNDYyMjFlNjk2MGRiYzc2ZjJjYzNjZTEifQ=="/>
  </w:docVars>
  <w:rsids>
    <w:rsidRoot w:val="7BB66C50"/>
    <w:rsid w:val="30EA4F78"/>
    <w:rsid w:val="7BB6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Times New Roman" w:hAnsi="Times New Roman" w:eastAsia="宋体" w:cs="Times New Roman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网格型11"/>
    <w:basedOn w:val="2"/>
    <w:qFormat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网格型2"/>
    <w:basedOn w:val="2"/>
    <w:qFormat/>
    <w:uiPriority w:val="59"/>
    <w:rPr>
      <w:rFonts w:ascii="Times New Roman" w:hAnsi="Times New Roman" w:eastAsia="宋体" w:cs="Times New Roman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2247</Words>
  <Characters>11891</Characters>
  <Lines>0</Lines>
  <Paragraphs>0</Paragraphs>
  <TotalTime>2</TotalTime>
  <ScaleCrop>false</ScaleCrop>
  <LinksUpToDate>false</LinksUpToDate>
  <CharactersWithSpaces>12996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2023-08-31T15:14:00Z</dcterms:created>
  <dc:creator>M</dc:creator>
  <cp:lastModifiedBy>郑慧敏</cp:lastModifiedBy>
  <dcterms:modified xsi:type="dcterms:W3CDTF">2023-09-01T09:16:01Z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ED5BA61A75B24C6492C172CDD809FFE2_13</vt:lpwstr>
  </property>
</Properties>
</file>