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A71" w:rsidRDefault="003A7A71" w:rsidP="003A7A71">
      <w:pPr>
        <w:rPr>
          <w:rFonts w:asciiTheme="majorBidi" w:hAnsiTheme="majorBidi" w:cstheme="majorBidi"/>
          <w:b/>
          <w:bCs/>
          <w:sz w:val="24"/>
          <w:szCs w:val="24"/>
        </w:rPr>
      </w:pPr>
      <w:r>
        <w:rPr>
          <w:rFonts w:asciiTheme="majorBidi" w:hAnsiTheme="majorBidi" w:cstheme="majorBidi"/>
          <w:b/>
          <w:bCs/>
          <w:sz w:val="24"/>
          <w:szCs w:val="24"/>
        </w:rPr>
        <w:t>S</w:t>
      </w:r>
      <w:r w:rsidRPr="003A7A71">
        <w:rPr>
          <w:rFonts w:asciiTheme="majorBidi" w:hAnsiTheme="majorBidi" w:cstheme="majorBidi"/>
          <w:b/>
          <w:bCs/>
          <w:sz w:val="24"/>
          <w:szCs w:val="24"/>
        </w:rPr>
        <w:t>upplementary result</w:t>
      </w:r>
      <w:r>
        <w:rPr>
          <w:rFonts w:asciiTheme="majorBidi" w:hAnsiTheme="majorBidi" w:cstheme="majorBidi"/>
          <w:b/>
          <w:bCs/>
          <w:sz w:val="24"/>
          <w:szCs w:val="24"/>
        </w:rPr>
        <w:t>s</w:t>
      </w:r>
    </w:p>
    <w:p w:rsidR="003A7A71" w:rsidRDefault="003A7A71" w:rsidP="003A7A71">
      <w:pPr>
        <w:rPr>
          <w:rFonts w:asciiTheme="majorBidi" w:hAnsiTheme="majorBidi" w:cstheme="majorBidi"/>
          <w:b/>
          <w:bCs/>
        </w:rPr>
      </w:pPr>
      <w:r w:rsidRPr="003A7A71">
        <w:rPr>
          <w:rFonts w:asciiTheme="majorBidi" w:hAnsiTheme="majorBidi" w:cstheme="majorBidi"/>
          <w:b/>
          <w:bCs/>
        </w:rPr>
        <w:tab/>
      </w:r>
    </w:p>
    <w:p w:rsidR="003A7A71" w:rsidRPr="003A7A71" w:rsidRDefault="003A7A71" w:rsidP="003A7A71">
      <w:pPr>
        <w:spacing w:line="360" w:lineRule="auto"/>
        <w:rPr>
          <w:rFonts w:asciiTheme="majorBidi" w:hAnsiTheme="majorBidi" w:cstheme="majorBidi"/>
          <w:b/>
          <w:bCs/>
          <w:sz w:val="28"/>
          <w:szCs w:val="28"/>
        </w:rPr>
      </w:pPr>
      <w:r w:rsidRPr="003A7A71">
        <w:rPr>
          <w:rFonts w:asciiTheme="majorBidi" w:hAnsiTheme="majorBidi" w:cstheme="majorBidi"/>
          <w:b/>
          <w:bCs/>
          <w:sz w:val="24"/>
          <w:szCs w:val="24"/>
        </w:rPr>
        <w:t xml:space="preserve"> </w:t>
      </w:r>
      <w:r w:rsidRPr="003A7A71">
        <w:rPr>
          <w:rFonts w:asciiTheme="majorBidi" w:hAnsiTheme="majorBidi" w:cstheme="majorBidi"/>
          <w:b/>
          <w:bCs/>
          <w:sz w:val="24"/>
          <w:szCs w:val="24"/>
        </w:rPr>
        <w:t>NFE2L2</w:t>
      </w:r>
      <w:r w:rsidRPr="003A7A71">
        <w:rPr>
          <w:rFonts w:asciiTheme="majorBidi" w:hAnsiTheme="majorBidi" w:cstheme="majorBidi"/>
          <w:b/>
          <w:bCs/>
          <w:sz w:val="24"/>
          <w:szCs w:val="24"/>
        </w:rPr>
        <w:t>-siRNA is effectively transfected in AGS cells</w:t>
      </w:r>
    </w:p>
    <w:p w:rsidR="003A7A71" w:rsidRDefault="003A7A71" w:rsidP="003A7A71">
      <w:pPr>
        <w:spacing w:line="360" w:lineRule="auto"/>
        <w:jc w:val="both"/>
        <w:rPr>
          <w:rFonts w:ascii="Times New Roman" w:hAnsi="Times New Roman" w:cs="Times New Roman"/>
          <w:sz w:val="24"/>
          <w:szCs w:val="24"/>
        </w:rPr>
      </w:pPr>
      <w:r w:rsidRPr="003A7A71">
        <w:rPr>
          <w:rFonts w:asciiTheme="majorBidi" w:hAnsiTheme="majorBidi" w:cstheme="majorBidi"/>
          <w:sz w:val="24"/>
          <w:szCs w:val="24"/>
        </w:rPr>
        <w:t xml:space="preserve">By </w:t>
      </w:r>
      <w:proofErr w:type="spellStart"/>
      <w:r w:rsidRPr="003A7A71">
        <w:rPr>
          <w:rFonts w:asciiTheme="majorBidi" w:hAnsiTheme="majorBidi" w:cstheme="majorBidi"/>
          <w:sz w:val="24"/>
          <w:szCs w:val="24"/>
        </w:rPr>
        <w:t>electroporating</w:t>
      </w:r>
      <w:proofErr w:type="spellEnd"/>
      <w:r w:rsidRPr="003A7A71">
        <w:rPr>
          <w:rFonts w:asciiTheme="majorBidi" w:hAnsiTheme="majorBidi" w:cstheme="majorBidi"/>
          <w:sz w:val="24"/>
          <w:szCs w:val="24"/>
        </w:rPr>
        <w:t xml:space="preserve"> FITC-conjugated siRNA control, the capacity of cellular transfection of AGS cells using flow cytometry was evaluated, and cells without electroporation were examined as control groups. The control group cells rarely showed any fluorescence, whereas the AGS </w:t>
      </w:r>
      <w:proofErr w:type="spellStart"/>
      <w:r w:rsidRPr="003A7A71">
        <w:rPr>
          <w:rFonts w:asciiTheme="majorBidi" w:hAnsiTheme="majorBidi" w:cstheme="majorBidi"/>
          <w:sz w:val="24"/>
          <w:szCs w:val="24"/>
        </w:rPr>
        <w:t>electroporated</w:t>
      </w:r>
      <w:proofErr w:type="spellEnd"/>
      <w:r w:rsidRPr="003A7A71">
        <w:rPr>
          <w:rFonts w:asciiTheme="majorBidi" w:hAnsiTheme="majorBidi" w:cstheme="majorBidi"/>
          <w:sz w:val="24"/>
          <w:szCs w:val="24"/>
        </w:rPr>
        <w:t xml:space="preserve"> cells with FITC- attached siRNA control clearly showed fluorescence (Fig. </w:t>
      </w:r>
      <w:r>
        <w:rPr>
          <w:rFonts w:asciiTheme="majorBidi" w:hAnsiTheme="majorBidi" w:cstheme="majorBidi"/>
          <w:sz w:val="24"/>
          <w:szCs w:val="24"/>
        </w:rPr>
        <w:t>8</w:t>
      </w:r>
      <w:r w:rsidRPr="003A7A71">
        <w:rPr>
          <w:rFonts w:asciiTheme="majorBidi" w:hAnsiTheme="majorBidi" w:cstheme="majorBidi"/>
          <w:sz w:val="24"/>
          <w:szCs w:val="24"/>
        </w:rPr>
        <w:t xml:space="preserve">). Using flow cytometry, the initial NRF2- siRNA transfection efficiency was determined to be 66% efficient. Compared to the control group, the </w:t>
      </w:r>
      <w:proofErr w:type="spellStart"/>
      <w:r w:rsidRPr="003A7A71">
        <w:rPr>
          <w:rFonts w:asciiTheme="majorBidi" w:hAnsiTheme="majorBidi" w:cstheme="majorBidi"/>
          <w:sz w:val="24"/>
          <w:szCs w:val="24"/>
        </w:rPr>
        <w:t>electroporated</w:t>
      </w:r>
      <w:proofErr w:type="spellEnd"/>
      <w:r w:rsidRPr="003A7A71">
        <w:rPr>
          <w:rFonts w:asciiTheme="majorBidi" w:hAnsiTheme="majorBidi" w:cstheme="majorBidi"/>
          <w:sz w:val="24"/>
          <w:szCs w:val="24"/>
        </w:rPr>
        <w:t xml:space="preserve"> cells displayed the highest fluorescence intensity of AGS cells.</w:t>
      </w:r>
      <w:r w:rsidRPr="003A7A71">
        <w:rPr>
          <w:rFonts w:ascii="Times New Roman" w:hAnsi="Times New Roman" w:cs="Times New Roman"/>
          <w:sz w:val="24"/>
          <w:szCs w:val="24"/>
        </w:rPr>
        <w:t xml:space="preserve"> </w:t>
      </w:r>
      <w:r w:rsidRPr="0084166D">
        <w:rPr>
          <w:rFonts w:ascii="Times New Roman" w:hAnsi="Times New Roman" w:cs="Times New Roman"/>
          <w:sz w:val="24"/>
          <w:szCs w:val="24"/>
        </w:rPr>
        <w:t>fluorescence intensity of AGS cells.</w:t>
      </w:r>
    </w:p>
    <w:p w:rsidR="003A7A71" w:rsidRDefault="003A7A71" w:rsidP="003A7A71">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8AFB37C" wp14:editId="478573A3">
                <wp:simplePos x="0" y="0"/>
                <wp:positionH relativeFrom="column">
                  <wp:posOffset>2832100</wp:posOffset>
                </wp:positionH>
                <wp:positionV relativeFrom="paragraph">
                  <wp:posOffset>269240</wp:posOffset>
                </wp:positionV>
                <wp:extent cx="1247775" cy="323850"/>
                <wp:effectExtent l="0" t="0" r="9525" b="0"/>
                <wp:wrapNone/>
                <wp:docPr id="37" name="Text Box 37"/>
                <wp:cNvGraphicFramePr/>
                <a:graphic xmlns:a="http://schemas.openxmlformats.org/drawingml/2006/main">
                  <a:graphicData uri="http://schemas.microsoft.com/office/word/2010/wordprocessingShape">
                    <wps:wsp>
                      <wps:cNvSpPr txBox="1"/>
                      <wps:spPr>
                        <a:xfrm>
                          <a:off x="0" y="0"/>
                          <a:ext cx="1247775" cy="323850"/>
                        </a:xfrm>
                        <a:prstGeom prst="rect">
                          <a:avLst/>
                        </a:prstGeom>
                        <a:solidFill>
                          <a:sysClr val="window" lastClr="FFFFFF"/>
                        </a:solidFill>
                        <a:ln w="6350">
                          <a:noFill/>
                        </a:ln>
                      </wps:spPr>
                      <wps:txbx>
                        <w:txbxContent>
                          <w:p w:rsidR="003A7A71" w:rsidRPr="005A601F" w:rsidRDefault="003A7A71" w:rsidP="003A7A71">
                            <w:pPr>
                              <w:jc w:val="center"/>
                              <w:rPr>
                                <w:rFonts w:asciiTheme="majorBidi" w:hAnsiTheme="majorBidi" w:cstheme="majorBidi"/>
                                <w:sz w:val="24"/>
                                <w:szCs w:val="24"/>
                              </w:rPr>
                            </w:pPr>
                            <w:r w:rsidRPr="005A601F">
                              <w:rPr>
                                <w:rFonts w:asciiTheme="majorBidi" w:hAnsiTheme="majorBidi" w:cstheme="majorBidi"/>
                                <w:sz w:val="24"/>
                                <w:szCs w:val="24"/>
                              </w:rPr>
                              <w:t>Transfection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AFB37C" id="_x0000_t202" coordsize="21600,21600" o:spt="202" path="m,l,21600r21600,l21600,xe">
                <v:stroke joinstyle="miter"/>
                <v:path gradientshapeok="t" o:connecttype="rect"/>
              </v:shapetype>
              <v:shape id="Text Box 37" o:spid="_x0000_s1026" type="#_x0000_t202" style="position:absolute;left:0;text-align:left;margin-left:223pt;margin-top:21.2pt;width:98.2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" fillcolor="window" stroked="f" strokeweight=".5pt">
                <v:textbox>
                  <w:txbxContent>
                    <w:p w:rsidR="003A7A71" w:rsidRPr="005A601F" w:rsidRDefault="003A7A71" w:rsidP="003A7A71">
                      <w:pPr>
                        <w:jc w:val="center"/>
                        <w:rPr>
                          <w:rFonts w:asciiTheme="majorBidi" w:hAnsiTheme="majorBidi" w:cstheme="majorBidi"/>
                          <w:sz w:val="24"/>
                          <w:szCs w:val="24"/>
                        </w:rPr>
                      </w:pPr>
                      <w:r w:rsidRPr="005A601F">
                        <w:rPr>
                          <w:rFonts w:asciiTheme="majorBidi" w:hAnsiTheme="majorBidi" w:cstheme="majorBidi"/>
                          <w:sz w:val="24"/>
                          <w:szCs w:val="24"/>
                        </w:rPr>
                        <w:t>Transfection</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F7A5A89" wp14:editId="43F03C5F">
                <wp:simplePos x="0" y="0"/>
                <wp:positionH relativeFrom="column">
                  <wp:posOffset>895350</wp:posOffset>
                </wp:positionH>
                <wp:positionV relativeFrom="paragraph">
                  <wp:posOffset>292100</wp:posOffset>
                </wp:positionV>
                <wp:extent cx="733425" cy="238125"/>
                <wp:effectExtent l="0" t="0" r="28575" b="28575"/>
                <wp:wrapNone/>
                <wp:docPr id="36" name="Text Box 36"/>
                <wp:cNvGraphicFramePr/>
                <a:graphic xmlns:a="http://schemas.openxmlformats.org/drawingml/2006/main">
                  <a:graphicData uri="http://schemas.microsoft.com/office/word/2010/wordprocessingShape">
                    <wps:wsp>
                      <wps:cNvSpPr txBox="1"/>
                      <wps:spPr>
                        <a:xfrm>
                          <a:off x="0" y="0"/>
                          <a:ext cx="733425" cy="238125"/>
                        </a:xfrm>
                        <a:prstGeom prst="rect">
                          <a:avLst/>
                        </a:prstGeom>
                        <a:solidFill>
                          <a:sysClr val="window" lastClr="FFFFFF"/>
                        </a:solidFill>
                        <a:ln w="6350">
                          <a:solidFill>
                            <a:sysClr val="window" lastClr="FFFFFF"/>
                          </a:solidFill>
                        </a:ln>
                      </wps:spPr>
                      <wps:txbx>
                        <w:txbxContent>
                          <w:p w:rsidR="003A7A71" w:rsidRPr="005A601F" w:rsidRDefault="003A7A71" w:rsidP="003A7A71">
                            <w:pPr>
                              <w:jc w:val="center"/>
                              <w:rPr>
                                <w:rFonts w:asciiTheme="majorBidi" w:hAnsiTheme="majorBidi" w:cstheme="majorBidi"/>
                              </w:rPr>
                            </w:pPr>
                            <w:r w:rsidRPr="005A601F">
                              <w:rPr>
                                <w:rFonts w:asciiTheme="majorBidi" w:hAnsiTheme="majorBidi" w:cstheme="majorBidi"/>
                              </w:rPr>
                              <w:t>Control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7A5A89" id="Text Box 36" o:spid="_x0000_s1027" type="#_x0000_t202" style="position:absolute;left:0;text-align:left;margin-left:70.5pt;margin-top:23pt;width:57.7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" fillcolor="window" strokecolor="window" strokeweight=".5pt">
                <v:textbox>
                  <w:txbxContent>
                    <w:p w:rsidR="003A7A71" w:rsidRPr="005A601F" w:rsidRDefault="003A7A71" w:rsidP="003A7A71">
                      <w:pPr>
                        <w:jc w:val="center"/>
                        <w:rPr>
                          <w:rFonts w:asciiTheme="majorBidi" w:hAnsiTheme="majorBidi" w:cstheme="majorBidi"/>
                        </w:rPr>
                      </w:pPr>
                      <w:r w:rsidRPr="005A601F">
                        <w:rPr>
                          <w:rFonts w:asciiTheme="majorBidi" w:hAnsiTheme="majorBidi" w:cstheme="majorBidi"/>
                        </w:rPr>
                        <w:t>Control</w:t>
                      </w:r>
                    </w:p>
                  </w:txbxContent>
                </v:textbox>
              </v:shape>
            </w:pict>
          </mc:Fallback>
        </mc:AlternateContent>
      </w:r>
    </w:p>
    <w:p w:rsidR="003A7A71" w:rsidRDefault="003A7A71" w:rsidP="003A7A71">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248D310" wp14:editId="6ED602BF">
            <wp:extent cx="2212975" cy="24022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12975" cy="2402205"/>
                    </a:xfrm>
                    <a:prstGeom prst="rect">
                      <a:avLst/>
                    </a:prstGeom>
                    <a:noFill/>
                  </pic:spPr>
                </pic:pic>
              </a:graphicData>
            </a:graphic>
          </wp:inline>
        </w:drawing>
      </w:r>
      <w:r>
        <w:rPr>
          <w:rFonts w:ascii="Times New Roman" w:hAnsi="Times New Roman" w:cs="Times New Roman"/>
          <w:noProof/>
          <w:sz w:val="24"/>
          <w:szCs w:val="24"/>
        </w:rPr>
        <w:drawing>
          <wp:inline distT="0" distB="0" distL="0" distR="0" wp14:anchorId="5077DD12" wp14:editId="2168CD83">
            <wp:extent cx="2207260" cy="23901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07260" cy="2390140"/>
                    </a:xfrm>
                    <a:prstGeom prst="rect">
                      <a:avLst/>
                    </a:prstGeom>
                    <a:noFill/>
                  </pic:spPr>
                </pic:pic>
              </a:graphicData>
            </a:graphic>
          </wp:inline>
        </w:drawing>
      </w:r>
    </w:p>
    <w:p w:rsidR="003A7A71" w:rsidRPr="003A7A71" w:rsidRDefault="003A7A71" w:rsidP="003A7A71">
      <w:pPr>
        <w:spacing w:line="360" w:lineRule="auto"/>
        <w:rPr>
          <w:rFonts w:asciiTheme="majorBidi" w:hAnsiTheme="majorBidi" w:cstheme="majorBidi"/>
        </w:rPr>
      </w:pPr>
    </w:p>
    <w:p w:rsidR="003A7A71" w:rsidRPr="003A7A71" w:rsidRDefault="003A7A71" w:rsidP="003A7A71">
      <w:pPr>
        <w:spacing w:line="360" w:lineRule="auto"/>
        <w:rPr>
          <w:rFonts w:asciiTheme="majorBidi" w:hAnsiTheme="majorBidi" w:cstheme="majorBidi"/>
          <w:b/>
          <w:bCs/>
        </w:rPr>
      </w:pPr>
      <w:r w:rsidRPr="003A7A71">
        <w:rPr>
          <w:rFonts w:asciiTheme="majorBidi" w:hAnsiTheme="majorBidi" w:cstheme="majorBidi"/>
          <w:b/>
          <w:bCs/>
        </w:rPr>
        <w:t xml:space="preserve">  </w:t>
      </w:r>
    </w:p>
    <w:p w:rsidR="003A7A71" w:rsidRPr="003A7A71" w:rsidRDefault="003A7A71" w:rsidP="003A7A71">
      <w:pPr>
        <w:spacing w:line="360" w:lineRule="auto"/>
        <w:rPr>
          <w:rFonts w:asciiTheme="majorBidi" w:hAnsiTheme="majorBidi" w:cstheme="majorBidi"/>
          <w:b/>
          <w:bCs/>
        </w:rPr>
      </w:pPr>
      <w:r w:rsidRPr="003A7A71">
        <w:rPr>
          <w:rFonts w:asciiTheme="majorBidi" w:hAnsiTheme="majorBidi" w:cstheme="majorBidi"/>
          <w:b/>
          <w:bCs/>
        </w:rPr>
        <w:t xml:space="preserve">Figure </w:t>
      </w:r>
      <w:r>
        <w:rPr>
          <w:rFonts w:asciiTheme="majorBidi" w:hAnsiTheme="majorBidi" w:cstheme="majorBidi"/>
          <w:b/>
          <w:bCs/>
        </w:rPr>
        <w:t>8</w:t>
      </w:r>
    </w:p>
    <w:p w:rsidR="003A7A71" w:rsidRDefault="003A7A71" w:rsidP="003A7A71">
      <w:pPr>
        <w:spacing w:line="360" w:lineRule="auto"/>
        <w:rPr>
          <w:rFonts w:asciiTheme="majorBidi" w:hAnsiTheme="majorBidi" w:cstheme="majorBidi"/>
        </w:rPr>
      </w:pPr>
      <w:r w:rsidRPr="003A7A71">
        <w:rPr>
          <w:rFonts w:asciiTheme="majorBidi" w:hAnsiTheme="majorBidi" w:cstheme="majorBidi"/>
        </w:rPr>
        <w:t>Using flow cytometry, the efficiency of the electroporation-mediated transfection of FITC-conjugated siRNA control was evaluated in AGS cancer cells in comparison to control groups.</w:t>
      </w:r>
    </w:p>
    <w:p w:rsidR="003A7A71" w:rsidRPr="003A7A71" w:rsidRDefault="003A7A71" w:rsidP="003A7A71">
      <w:pPr>
        <w:spacing w:line="360" w:lineRule="auto"/>
        <w:rPr>
          <w:rFonts w:asciiTheme="majorBidi" w:hAnsiTheme="majorBidi" w:cstheme="majorBidi"/>
        </w:rPr>
      </w:pPr>
    </w:p>
    <w:p w:rsidR="003A7A71" w:rsidRDefault="003A7A71" w:rsidP="003A7A71">
      <w:pPr>
        <w:spacing w:line="360" w:lineRule="auto"/>
        <w:rPr>
          <w:rFonts w:asciiTheme="majorBidi" w:hAnsiTheme="majorBidi" w:cstheme="majorBidi"/>
          <w:b/>
          <w:bCs/>
        </w:rPr>
      </w:pPr>
    </w:p>
    <w:p w:rsidR="003A7A71" w:rsidRPr="003A7A71" w:rsidRDefault="003A7A71" w:rsidP="003A7A71">
      <w:pPr>
        <w:spacing w:line="360" w:lineRule="auto"/>
        <w:jc w:val="both"/>
        <w:rPr>
          <w:rFonts w:asciiTheme="majorBidi" w:hAnsiTheme="majorBidi" w:cstheme="majorBidi"/>
          <w:b/>
          <w:bCs/>
        </w:rPr>
      </w:pPr>
      <w:r>
        <w:rPr>
          <w:rFonts w:ascii="Times New Roman" w:hAnsi="Times New Roman" w:cs="Times New Roman"/>
          <w:b/>
          <w:bCs/>
          <w:sz w:val="24"/>
          <w:szCs w:val="24"/>
        </w:rPr>
        <w:lastRenderedPageBreak/>
        <w:t>NFE2L2</w:t>
      </w:r>
      <w:r w:rsidRPr="003A7A71">
        <w:rPr>
          <w:rFonts w:asciiTheme="majorBidi" w:hAnsiTheme="majorBidi" w:cstheme="majorBidi"/>
        </w:rPr>
        <w:t>-</w:t>
      </w:r>
      <w:r w:rsidRPr="003A7A71">
        <w:rPr>
          <w:rFonts w:asciiTheme="majorBidi" w:hAnsiTheme="majorBidi" w:cstheme="majorBidi"/>
          <w:b/>
          <w:bCs/>
        </w:rPr>
        <w:t>siR</w:t>
      </w:r>
      <w:bookmarkStart w:id="0" w:name="_GoBack"/>
      <w:bookmarkEnd w:id="0"/>
      <w:r w:rsidRPr="003A7A71">
        <w:rPr>
          <w:rFonts w:asciiTheme="majorBidi" w:hAnsiTheme="majorBidi" w:cstheme="majorBidi"/>
          <w:b/>
          <w:bCs/>
        </w:rPr>
        <w:t>NA transfection significantly downregulated NRF2 mRNA expression in AGS cells</w:t>
      </w:r>
    </w:p>
    <w:p w:rsidR="003A7A71" w:rsidRDefault="003A7A71" w:rsidP="003A7A71">
      <w:pPr>
        <w:spacing w:line="360" w:lineRule="auto"/>
        <w:jc w:val="both"/>
        <w:rPr>
          <w:rFonts w:asciiTheme="majorBidi" w:hAnsiTheme="majorBidi" w:cstheme="majorBidi"/>
        </w:rPr>
      </w:pPr>
      <w:r w:rsidRPr="003A7A71">
        <w:rPr>
          <w:rFonts w:asciiTheme="majorBidi" w:hAnsiTheme="majorBidi" w:cstheme="majorBidi"/>
        </w:rPr>
        <w:t xml:space="preserve">To investigate the effect of NRF2 suppression in GC, we transfected the AGS cells with NRF2 siRNA. Non-transfected cells and negative control cells transfected with non-target siRNA (scrambled siRNA) were also employed as controls. The </w:t>
      </w:r>
      <w:proofErr w:type="spellStart"/>
      <w:r w:rsidRPr="003A7A71">
        <w:rPr>
          <w:rFonts w:asciiTheme="majorBidi" w:hAnsiTheme="majorBidi" w:cstheme="majorBidi"/>
        </w:rPr>
        <w:t>qRT</w:t>
      </w:r>
      <w:proofErr w:type="spellEnd"/>
      <w:r w:rsidRPr="003A7A71">
        <w:rPr>
          <w:rFonts w:asciiTheme="majorBidi" w:hAnsiTheme="majorBidi" w:cstheme="majorBidi"/>
        </w:rPr>
        <w:t xml:space="preserve">-PCR analysis demonstrated that the level of NRF2 mRNA expression in the transfected group was significantly lower compared to the control group (Fig. </w:t>
      </w:r>
      <w:r>
        <w:rPr>
          <w:rFonts w:asciiTheme="majorBidi" w:hAnsiTheme="majorBidi" w:cstheme="majorBidi"/>
        </w:rPr>
        <w:t>9</w:t>
      </w:r>
      <w:r w:rsidRPr="003A7A71">
        <w:rPr>
          <w:rFonts w:asciiTheme="majorBidi" w:hAnsiTheme="majorBidi" w:cstheme="majorBidi"/>
        </w:rPr>
        <w:t>).</w:t>
      </w:r>
    </w:p>
    <w:p w:rsidR="003A7A71" w:rsidRDefault="003A7A71" w:rsidP="003A7A71">
      <w:pPr>
        <w:spacing w:line="360" w:lineRule="auto"/>
        <w:rPr>
          <w:rFonts w:asciiTheme="majorBidi" w:hAnsiTheme="majorBidi" w:cstheme="majorBidi"/>
        </w:rPr>
      </w:pPr>
    </w:p>
    <w:p w:rsidR="003A7A71" w:rsidRPr="003A7A71" w:rsidRDefault="003A7A71" w:rsidP="003A7A71">
      <w:pPr>
        <w:spacing w:line="360" w:lineRule="auto"/>
        <w:jc w:val="center"/>
        <w:rPr>
          <w:rFonts w:asciiTheme="majorBidi" w:hAnsiTheme="majorBidi" w:cstheme="majorBidi"/>
        </w:rPr>
      </w:pPr>
      <w:r>
        <w:rPr>
          <w:rFonts w:asciiTheme="majorBidi" w:hAnsiTheme="majorBidi" w:cstheme="majorBidi"/>
          <w:noProof/>
        </w:rPr>
        <w:drawing>
          <wp:inline distT="0" distB="0" distL="0" distR="0" wp14:anchorId="4A89A6B7">
            <wp:extent cx="1999615" cy="3841115"/>
            <wp:effectExtent l="0" t="0" r="63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99615" cy="3841115"/>
                    </a:xfrm>
                    <a:prstGeom prst="rect">
                      <a:avLst/>
                    </a:prstGeom>
                    <a:noFill/>
                  </pic:spPr>
                </pic:pic>
              </a:graphicData>
            </a:graphic>
          </wp:inline>
        </w:drawing>
      </w:r>
    </w:p>
    <w:p w:rsidR="003A7A71" w:rsidRPr="003A7A71" w:rsidRDefault="003A7A71" w:rsidP="003A7A71">
      <w:pPr>
        <w:spacing w:line="360" w:lineRule="auto"/>
        <w:rPr>
          <w:rFonts w:asciiTheme="majorBidi" w:hAnsiTheme="majorBidi" w:cstheme="majorBidi"/>
          <w:b/>
          <w:bCs/>
        </w:rPr>
      </w:pPr>
      <w:r w:rsidRPr="003A7A71">
        <w:rPr>
          <w:rFonts w:asciiTheme="majorBidi" w:hAnsiTheme="majorBidi" w:cstheme="majorBidi"/>
          <w:b/>
          <w:bCs/>
        </w:rPr>
        <w:t xml:space="preserve"> </w:t>
      </w:r>
    </w:p>
    <w:p w:rsidR="003A7A71" w:rsidRPr="003A7A71" w:rsidRDefault="003A7A71" w:rsidP="003A7A71">
      <w:pPr>
        <w:spacing w:line="360" w:lineRule="auto"/>
        <w:rPr>
          <w:rFonts w:asciiTheme="majorBidi" w:hAnsiTheme="majorBidi" w:cstheme="majorBidi"/>
          <w:b/>
          <w:bCs/>
        </w:rPr>
      </w:pPr>
      <w:r w:rsidRPr="003A7A71">
        <w:rPr>
          <w:rFonts w:asciiTheme="majorBidi" w:hAnsiTheme="majorBidi" w:cstheme="majorBidi"/>
          <w:b/>
          <w:bCs/>
        </w:rPr>
        <w:t xml:space="preserve">Figure </w:t>
      </w:r>
      <w:r>
        <w:rPr>
          <w:rFonts w:asciiTheme="majorBidi" w:hAnsiTheme="majorBidi" w:cstheme="majorBidi"/>
          <w:b/>
          <w:bCs/>
        </w:rPr>
        <w:t>9</w:t>
      </w:r>
    </w:p>
    <w:p w:rsidR="003A7A71" w:rsidRPr="003A7A71" w:rsidRDefault="003A7A71" w:rsidP="003A7A71">
      <w:pPr>
        <w:spacing w:line="360" w:lineRule="auto"/>
        <w:rPr>
          <w:rFonts w:asciiTheme="majorBidi" w:hAnsiTheme="majorBidi" w:cstheme="majorBidi"/>
        </w:rPr>
      </w:pPr>
      <w:r w:rsidRPr="003A7A71">
        <w:rPr>
          <w:rFonts w:asciiTheme="majorBidi" w:hAnsiTheme="majorBidi" w:cstheme="majorBidi"/>
        </w:rPr>
        <w:t>NRF2 siRNA significantly downregulated NRF2 expression in the AGS cell line. (****p</w:t>
      </w:r>
      <w:r>
        <w:rPr>
          <w:rFonts w:asciiTheme="majorBidi" w:hAnsiTheme="majorBidi" w:cstheme="majorBidi"/>
        </w:rPr>
        <w:t xml:space="preserve"> value</w:t>
      </w:r>
      <w:r w:rsidRPr="003A7A71">
        <w:rPr>
          <w:rFonts w:asciiTheme="majorBidi" w:hAnsiTheme="majorBidi" w:cstheme="majorBidi"/>
        </w:rPr>
        <w:t>&lt;0.0001)</w:t>
      </w:r>
    </w:p>
    <w:sectPr w:rsidR="003A7A71" w:rsidRPr="003A7A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A71"/>
    <w:rsid w:val="003A7A71"/>
    <w:rsid w:val="006E1F95"/>
    <w:rsid w:val="00A54717"/>
    <w:rsid w:val="00AB5055"/>
    <w:rsid w:val="00BC11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6766E"/>
  <w15:chartTrackingRefBased/>
  <w15:docId w15:val="{3CC000F1-F274-49A0-9BB7-81F1FD8D8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224</Words>
  <Characters>1278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dc:creator>
  <cp:keywords/>
  <dc:description/>
  <cp:lastModifiedBy>sh</cp:lastModifiedBy>
  <cp:revision>1</cp:revision>
  <dcterms:created xsi:type="dcterms:W3CDTF">2023-08-25T15:29:00Z</dcterms:created>
  <dcterms:modified xsi:type="dcterms:W3CDTF">2023-08-25T15:39:00Z</dcterms:modified>
</cp:coreProperties>
</file>