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1D9CE" w14:textId="77777777" w:rsidR="00D4124E" w:rsidRDefault="00000000">
      <w:pPr>
        <w:spacing w:after="0" w:line="360" w:lineRule="auto"/>
        <w:rPr>
          <w:rFonts w:ascii="Cambria" w:eastAsia="Cambria" w:hAnsi="Cambria" w:cs="Cambria"/>
          <w:b/>
          <w:sz w:val="24"/>
          <w:szCs w:val="24"/>
        </w:rPr>
      </w:pPr>
      <w:r>
        <w:rPr>
          <w:rFonts w:ascii="Cambria" w:eastAsia="Cambria" w:hAnsi="Cambria" w:cs="Cambria"/>
          <w:b/>
          <w:sz w:val="24"/>
          <w:szCs w:val="24"/>
        </w:rPr>
        <w:t xml:space="preserve">SUPPLEMENTARY INFORMATION </w:t>
      </w:r>
    </w:p>
    <w:p w14:paraId="766D934B" w14:textId="77777777" w:rsidR="00D4124E" w:rsidRDefault="00D4124E">
      <w:pPr>
        <w:spacing w:after="0" w:line="360" w:lineRule="auto"/>
        <w:rPr>
          <w:rFonts w:ascii="Cambria" w:eastAsia="Cambria" w:hAnsi="Cambria" w:cs="Cambria"/>
          <w:b/>
          <w:sz w:val="24"/>
          <w:szCs w:val="24"/>
        </w:rPr>
      </w:pPr>
    </w:p>
    <w:p w14:paraId="64B88DD1" w14:textId="77777777" w:rsidR="00D4124E" w:rsidRDefault="00000000">
      <w:pPr>
        <w:spacing w:after="0" w:line="360" w:lineRule="auto"/>
        <w:rPr>
          <w:rFonts w:ascii="Cambria" w:eastAsia="Cambria" w:hAnsi="Cambria" w:cs="Cambria"/>
          <w:b/>
          <w:sz w:val="24"/>
          <w:szCs w:val="24"/>
        </w:rPr>
      </w:pPr>
      <w:r>
        <w:rPr>
          <w:rFonts w:ascii="Cambria" w:eastAsia="Cambria" w:hAnsi="Cambria" w:cs="Cambria"/>
          <w:b/>
          <w:sz w:val="24"/>
          <w:szCs w:val="24"/>
        </w:rPr>
        <w:t>Resolving the climatic and ecological drivers of geographical gradients in avian sexual selection</w:t>
      </w:r>
    </w:p>
    <w:p w14:paraId="17258895" w14:textId="77777777" w:rsidR="00D4124E" w:rsidRDefault="00D4124E">
      <w:pPr>
        <w:spacing w:after="0" w:line="360" w:lineRule="auto"/>
        <w:rPr>
          <w:rFonts w:ascii="Cambria" w:eastAsia="Cambria" w:hAnsi="Cambria" w:cs="Cambria"/>
          <w:b/>
          <w:sz w:val="24"/>
          <w:szCs w:val="24"/>
        </w:rPr>
      </w:pPr>
    </w:p>
    <w:p w14:paraId="15F5870F" w14:textId="77777777" w:rsidR="00D4124E" w:rsidRDefault="00000000">
      <w:pPr>
        <w:spacing w:after="0" w:line="360" w:lineRule="auto"/>
        <w:rPr>
          <w:rFonts w:ascii="Cambria" w:eastAsia="Cambria" w:hAnsi="Cambria" w:cs="Cambria"/>
          <w:b/>
          <w:sz w:val="24"/>
          <w:szCs w:val="24"/>
        </w:rPr>
      </w:pPr>
      <w:r>
        <w:rPr>
          <w:rFonts w:ascii="Cambria" w:eastAsia="Cambria" w:hAnsi="Cambria" w:cs="Cambria"/>
          <w:b/>
          <w:sz w:val="24"/>
          <w:szCs w:val="24"/>
        </w:rPr>
        <w:t xml:space="preserve">Barber, R. A. </w:t>
      </w:r>
      <w:r>
        <w:rPr>
          <w:rFonts w:ascii="Cambria" w:eastAsia="Cambria" w:hAnsi="Cambria" w:cs="Cambria"/>
          <w:b/>
          <w:i/>
          <w:sz w:val="24"/>
          <w:szCs w:val="24"/>
        </w:rPr>
        <w:t>et al</w:t>
      </w:r>
      <w:r>
        <w:rPr>
          <w:rFonts w:ascii="Cambria" w:eastAsia="Cambria" w:hAnsi="Cambria" w:cs="Cambria"/>
          <w:b/>
          <w:sz w:val="24"/>
          <w:szCs w:val="24"/>
        </w:rPr>
        <w:t>.</w:t>
      </w:r>
    </w:p>
    <w:p w14:paraId="66AB1459" w14:textId="77777777" w:rsidR="00D4124E" w:rsidRDefault="00D4124E">
      <w:pPr>
        <w:spacing w:after="0" w:line="360" w:lineRule="auto"/>
        <w:rPr>
          <w:rFonts w:ascii="Cambria" w:eastAsia="Cambria" w:hAnsi="Cambria" w:cs="Cambria"/>
          <w:b/>
          <w:sz w:val="24"/>
          <w:szCs w:val="24"/>
        </w:rPr>
      </w:pPr>
    </w:p>
    <w:p w14:paraId="4C389118" w14:textId="77777777" w:rsidR="00D4124E" w:rsidRDefault="00000000">
      <w:pPr>
        <w:spacing w:after="0" w:line="360" w:lineRule="auto"/>
        <w:rPr>
          <w:rFonts w:ascii="Cambria" w:eastAsia="Cambria" w:hAnsi="Cambria" w:cs="Cambria"/>
          <w:sz w:val="24"/>
          <w:szCs w:val="24"/>
        </w:rPr>
      </w:pPr>
      <w:r>
        <w:rPr>
          <w:rFonts w:ascii="Cambria" w:eastAsia="Cambria" w:hAnsi="Cambria" w:cs="Cambria"/>
          <w:sz w:val="24"/>
          <w:szCs w:val="24"/>
        </w:rPr>
        <w:t xml:space="preserve">1. Supplementary methods </w:t>
      </w:r>
    </w:p>
    <w:p w14:paraId="31231BBD" w14:textId="77777777" w:rsidR="00D4124E" w:rsidRDefault="00000000">
      <w:pPr>
        <w:spacing w:after="0" w:line="360" w:lineRule="auto"/>
        <w:rPr>
          <w:rFonts w:ascii="Cambria" w:eastAsia="Cambria" w:hAnsi="Cambria" w:cs="Cambria"/>
          <w:sz w:val="24"/>
          <w:szCs w:val="24"/>
        </w:rPr>
      </w:pPr>
      <w:r>
        <w:rPr>
          <w:rFonts w:ascii="Cambria" w:eastAsia="Cambria" w:hAnsi="Cambria" w:cs="Cambria"/>
          <w:sz w:val="24"/>
          <w:szCs w:val="24"/>
        </w:rPr>
        <w:t>2. Supplementary discussion</w:t>
      </w:r>
    </w:p>
    <w:p w14:paraId="2AEBE938" w14:textId="77777777" w:rsidR="00D4124E" w:rsidRDefault="00000000">
      <w:pPr>
        <w:spacing w:after="0" w:line="360" w:lineRule="auto"/>
        <w:rPr>
          <w:rFonts w:ascii="Cambria" w:eastAsia="Cambria" w:hAnsi="Cambria" w:cs="Cambria"/>
          <w:sz w:val="24"/>
          <w:szCs w:val="24"/>
        </w:rPr>
      </w:pPr>
      <w:r>
        <w:rPr>
          <w:rFonts w:ascii="Cambria" w:eastAsia="Cambria" w:hAnsi="Cambria" w:cs="Cambria"/>
          <w:sz w:val="24"/>
          <w:szCs w:val="24"/>
        </w:rPr>
        <w:t xml:space="preserve">3. Supplementary tables (1-6) </w:t>
      </w:r>
    </w:p>
    <w:p w14:paraId="375ECEBA" w14:textId="77777777" w:rsidR="00D4124E" w:rsidRDefault="00000000">
      <w:pPr>
        <w:spacing w:after="0" w:line="360" w:lineRule="auto"/>
        <w:rPr>
          <w:rFonts w:ascii="Cambria" w:eastAsia="Cambria" w:hAnsi="Cambria" w:cs="Cambria"/>
          <w:sz w:val="24"/>
          <w:szCs w:val="24"/>
        </w:rPr>
      </w:pPr>
      <w:r>
        <w:rPr>
          <w:rFonts w:ascii="Cambria" w:eastAsia="Cambria" w:hAnsi="Cambria" w:cs="Cambria"/>
          <w:sz w:val="24"/>
          <w:szCs w:val="24"/>
        </w:rPr>
        <w:t>4. Supplementary figures (1-2)</w:t>
      </w:r>
    </w:p>
    <w:p w14:paraId="4B2D970D" w14:textId="77777777" w:rsidR="00D4124E" w:rsidRDefault="00000000">
      <w:pPr>
        <w:spacing w:after="0" w:line="360" w:lineRule="auto"/>
        <w:rPr>
          <w:rFonts w:ascii="Cambria" w:eastAsia="Cambria" w:hAnsi="Cambria" w:cs="Cambria"/>
          <w:sz w:val="24"/>
          <w:szCs w:val="24"/>
        </w:rPr>
      </w:pPr>
      <w:r>
        <w:rPr>
          <w:rFonts w:ascii="Cambria" w:eastAsia="Cambria" w:hAnsi="Cambria" w:cs="Cambria"/>
          <w:sz w:val="24"/>
          <w:szCs w:val="24"/>
        </w:rPr>
        <w:t>5. Supplementary references</w:t>
      </w:r>
    </w:p>
    <w:p w14:paraId="2F08B3A0" w14:textId="77777777" w:rsidR="00D4124E" w:rsidRDefault="00D4124E">
      <w:pPr>
        <w:spacing w:after="0" w:line="360" w:lineRule="auto"/>
        <w:rPr>
          <w:rFonts w:ascii="Cambria" w:eastAsia="Cambria" w:hAnsi="Cambria" w:cs="Cambria"/>
          <w:sz w:val="24"/>
          <w:szCs w:val="24"/>
        </w:rPr>
      </w:pPr>
    </w:p>
    <w:p w14:paraId="7BDFDC29" w14:textId="77777777" w:rsidR="00D4124E" w:rsidRDefault="00000000">
      <w:pPr>
        <w:spacing w:line="360" w:lineRule="auto"/>
        <w:rPr>
          <w:rFonts w:ascii="Cambria" w:eastAsia="Cambria" w:hAnsi="Cambria" w:cs="Cambria"/>
          <w:sz w:val="24"/>
          <w:szCs w:val="24"/>
        </w:rPr>
      </w:pPr>
      <w:r>
        <w:rPr>
          <w:rFonts w:ascii="Cambria" w:eastAsia="Cambria" w:hAnsi="Cambria" w:cs="Cambria"/>
          <w:sz w:val="24"/>
          <w:szCs w:val="24"/>
        </w:rPr>
        <w:t>As separate Excel file: Supplementary dataset 1</w:t>
      </w:r>
    </w:p>
    <w:p w14:paraId="560E0555" w14:textId="77777777" w:rsidR="00D4124E" w:rsidRDefault="00000000">
      <w:pPr>
        <w:spacing w:line="360" w:lineRule="auto"/>
        <w:rPr>
          <w:rFonts w:ascii="Cambria" w:eastAsia="Cambria" w:hAnsi="Cambria" w:cs="Cambria"/>
          <w:sz w:val="24"/>
          <w:szCs w:val="24"/>
        </w:rPr>
      </w:pPr>
      <w:r>
        <w:rPr>
          <w:rFonts w:ascii="Cambria" w:eastAsia="Cambria" w:hAnsi="Cambria" w:cs="Cambria"/>
          <w:sz w:val="24"/>
          <w:szCs w:val="24"/>
        </w:rPr>
        <w:t xml:space="preserve">Sheet 1 – Metadata. Definitions and sources for all variables in subsequent data sheets.  </w:t>
      </w:r>
    </w:p>
    <w:p w14:paraId="72EF7235" w14:textId="77777777" w:rsidR="00D4124E" w:rsidRDefault="00000000">
      <w:pPr>
        <w:spacing w:line="360" w:lineRule="auto"/>
        <w:rPr>
          <w:rFonts w:ascii="Cambria" w:eastAsia="Cambria" w:hAnsi="Cambria" w:cs="Cambria"/>
          <w:sz w:val="24"/>
          <w:szCs w:val="24"/>
        </w:rPr>
      </w:pPr>
      <w:r>
        <w:rPr>
          <w:rFonts w:ascii="Cambria" w:eastAsia="Cambria" w:hAnsi="Cambria" w:cs="Cambria"/>
          <w:sz w:val="24"/>
          <w:szCs w:val="24"/>
        </w:rPr>
        <w:t>Sheet 2 – Data1 (BirdTree). Sexual selection scores and associated uncertainty estimates and source citations for 9988 bird species included in the BirdTree dataset (Jetz</w:t>
      </w:r>
      <w:r>
        <w:rPr>
          <w:rFonts w:ascii="Cambria" w:eastAsia="Cambria" w:hAnsi="Cambria" w:cs="Cambria"/>
          <w:i/>
          <w:sz w:val="24"/>
          <w:szCs w:val="24"/>
        </w:rPr>
        <w:t xml:space="preserve"> et al</w:t>
      </w:r>
      <w:r>
        <w:rPr>
          <w:rFonts w:ascii="Cambria" w:eastAsia="Cambria" w:hAnsi="Cambria" w:cs="Cambria"/>
          <w:sz w:val="24"/>
          <w:szCs w:val="24"/>
        </w:rPr>
        <w:t xml:space="preserve">. 2012), along with corresponding taxonomic, ecological, </w:t>
      </w:r>
      <w:proofErr w:type="gramStart"/>
      <w:r>
        <w:rPr>
          <w:rFonts w:ascii="Cambria" w:eastAsia="Cambria" w:hAnsi="Cambria" w:cs="Cambria"/>
          <w:sz w:val="24"/>
          <w:szCs w:val="24"/>
        </w:rPr>
        <w:t>morphological</w:t>
      </w:r>
      <w:proofErr w:type="gramEnd"/>
      <w:r>
        <w:rPr>
          <w:rFonts w:ascii="Cambria" w:eastAsia="Cambria" w:hAnsi="Cambria" w:cs="Cambria"/>
          <w:sz w:val="24"/>
          <w:szCs w:val="24"/>
        </w:rPr>
        <w:t xml:space="preserve"> and distributional data, where available (</w:t>
      </w:r>
      <w:r>
        <w:rPr>
          <w:rFonts w:ascii="Cambria" w:eastAsia="Cambria" w:hAnsi="Cambria" w:cs="Cambria"/>
          <w:i/>
          <w:sz w:val="24"/>
          <w:szCs w:val="24"/>
        </w:rPr>
        <w:t>n</w:t>
      </w:r>
      <w:r>
        <w:rPr>
          <w:rFonts w:ascii="Cambria" w:eastAsia="Cambria" w:hAnsi="Cambria" w:cs="Cambria"/>
          <w:sz w:val="24"/>
          <w:szCs w:val="24"/>
        </w:rPr>
        <w:t xml:space="preserve"> = 9863 species). </w:t>
      </w:r>
    </w:p>
    <w:p w14:paraId="66FD3D68" w14:textId="77777777" w:rsidR="00D4124E" w:rsidRDefault="00000000">
      <w:pPr>
        <w:spacing w:line="360" w:lineRule="auto"/>
        <w:rPr>
          <w:rFonts w:ascii="Cambria" w:eastAsia="Cambria" w:hAnsi="Cambria" w:cs="Cambria"/>
          <w:sz w:val="24"/>
          <w:szCs w:val="24"/>
        </w:rPr>
      </w:pPr>
      <w:r>
        <w:rPr>
          <w:rFonts w:ascii="Cambria" w:eastAsia="Cambria" w:hAnsi="Cambria" w:cs="Cambria"/>
          <w:sz w:val="24"/>
          <w:szCs w:val="24"/>
        </w:rPr>
        <w:t xml:space="preserve">Sheet 3 – Data2 (Clements). Sexual selection scores aligned with an updated taxonomy (Clements </w:t>
      </w:r>
      <w:r>
        <w:rPr>
          <w:rFonts w:ascii="Cambria" w:eastAsia="Cambria" w:hAnsi="Cambria" w:cs="Cambria"/>
          <w:i/>
          <w:sz w:val="24"/>
          <w:szCs w:val="24"/>
        </w:rPr>
        <w:t>et al.</w:t>
      </w:r>
      <w:r>
        <w:rPr>
          <w:rFonts w:ascii="Cambria" w:eastAsia="Cambria" w:hAnsi="Cambria" w:cs="Cambria"/>
          <w:sz w:val="24"/>
          <w:szCs w:val="24"/>
        </w:rPr>
        <w:t xml:space="preserve"> 2021) used in major online resources, including Birds of the World and eBird (</w:t>
      </w:r>
      <w:r>
        <w:rPr>
          <w:rFonts w:ascii="Cambria" w:eastAsia="Cambria" w:hAnsi="Cambria" w:cs="Cambria"/>
          <w:i/>
          <w:sz w:val="24"/>
          <w:szCs w:val="24"/>
        </w:rPr>
        <w:t>n</w:t>
      </w:r>
      <w:r>
        <w:rPr>
          <w:rFonts w:ascii="Cambria" w:eastAsia="Cambria" w:hAnsi="Cambria" w:cs="Cambria"/>
          <w:sz w:val="24"/>
          <w:szCs w:val="24"/>
        </w:rPr>
        <w:t xml:space="preserve"> = 10671 species).</w:t>
      </w:r>
    </w:p>
    <w:p w14:paraId="1C29BD30" w14:textId="77777777" w:rsidR="00D4124E" w:rsidRDefault="00000000">
      <w:pPr>
        <w:spacing w:line="360" w:lineRule="auto"/>
        <w:rPr>
          <w:rFonts w:ascii="Cambria" w:eastAsia="Cambria" w:hAnsi="Cambria" w:cs="Cambria"/>
          <w:sz w:val="24"/>
          <w:szCs w:val="24"/>
        </w:rPr>
      </w:pPr>
      <w:r>
        <w:rPr>
          <w:rFonts w:ascii="Cambria" w:eastAsia="Cambria" w:hAnsi="Cambria" w:cs="Cambria"/>
          <w:sz w:val="24"/>
          <w:szCs w:val="24"/>
        </w:rPr>
        <w:t xml:space="preserve">Sheet 4 - Sexual selection metrics, detailing residual testes mass, </w:t>
      </w:r>
      <w:proofErr w:type="spellStart"/>
      <w:r>
        <w:rPr>
          <w:rFonts w:ascii="Cambria" w:eastAsia="Cambria" w:hAnsi="Cambria" w:cs="Cambria"/>
          <w:sz w:val="24"/>
          <w:szCs w:val="24"/>
        </w:rPr>
        <w:t>bateman</w:t>
      </w:r>
      <w:proofErr w:type="spellEnd"/>
      <w:r>
        <w:rPr>
          <w:rFonts w:ascii="Cambria" w:eastAsia="Cambria" w:hAnsi="Cambria" w:cs="Cambria"/>
          <w:sz w:val="24"/>
          <w:szCs w:val="24"/>
        </w:rPr>
        <w:t xml:space="preserve"> gradients, and opportunity for sexual selection values used in sensitivity analysis.</w:t>
      </w:r>
    </w:p>
    <w:p w14:paraId="084B9E54" w14:textId="77777777" w:rsidR="00D4124E" w:rsidRDefault="00000000">
      <w:pPr>
        <w:spacing w:line="360" w:lineRule="auto"/>
        <w:rPr>
          <w:rFonts w:ascii="Cambria" w:eastAsia="Cambria" w:hAnsi="Cambria" w:cs="Cambria"/>
          <w:sz w:val="24"/>
          <w:szCs w:val="24"/>
        </w:rPr>
      </w:pPr>
      <w:r>
        <w:rPr>
          <w:rFonts w:ascii="Cambria" w:eastAsia="Cambria" w:hAnsi="Cambria" w:cs="Cambria"/>
          <w:sz w:val="24"/>
          <w:szCs w:val="24"/>
        </w:rPr>
        <w:t xml:space="preserve">Sheet 5 – Taxonomic crosswalk. Guide to species matching for users transferring data between BirdTree and Clements (eBird) taxonomies, which often differ in spelling and treatment of </w:t>
      </w:r>
      <w:proofErr w:type="spellStart"/>
      <w:r>
        <w:rPr>
          <w:rFonts w:ascii="Cambria" w:eastAsia="Cambria" w:hAnsi="Cambria" w:cs="Cambria"/>
          <w:sz w:val="24"/>
          <w:szCs w:val="24"/>
        </w:rPr>
        <w:t>allospecies</w:t>
      </w:r>
      <w:proofErr w:type="spellEnd"/>
      <w:r>
        <w:rPr>
          <w:rFonts w:ascii="Cambria" w:eastAsia="Cambria" w:hAnsi="Cambria" w:cs="Cambria"/>
          <w:sz w:val="24"/>
          <w:szCs w:val="24"/>
        </w:rPr>
        <w:t xml:space="preserve">.      </w:t>
      </w:r>
    </w:p>
    <w:p w14:paraId="58059F5B" w14:textId="77777777" w:rsidR="00D4124E" w:rsidRDefault="00000000">
      <w:pPr>
        <w:spacing w:line="360" w:lineRule="auto"/>
        <w:rPr>
          <w:rFonts w:ascii="Cambria" w:eastAsia="Cambria" w:hAnsi="Cambria" w:cs="Cambria"/>
          <w:sz w:val="24"/>
          <w:szCs w:val="24"/>
        </w:rPr>
      </w:pPr>
      <w:r>
        <w:rPr>
          <w:rFonts w:ascii="Cambria" w:eastAsia="Cambria" w:hAnsi="Cambria" w:cs="Cambria"/>
          <w:sz w:val="24"/>
          <w:szCs w:val="24"/>
        </w:rPr>
        <w:t>Sheet 6 – Data sources. Full references for sources cited in Data1 (BirdTree).</w:t>
      </w:r>
    </w:p>
    <w:p w14:paraId="6ABF51A7" w14:textId="77777777" w:rsidR="00D4124E" w:rsidRDefault="00000000">
      <w:pPr>
        <w:pBdr>
          <w:top w:val="nil"/>
          <w:left w:val="nil"/>
          <w:bottom w:val="nil"/>
          <w:right w:val="nil"/>
          <w:between w:val="nil"/>
        </w:pBdr>
        <w:spacing w:line="360" w:lineRule="auto"/>
        <w:jc w:val="both"/>
        <w:rPr>
          <w:rFonts w:ascii="Cambria" w:eastAsia="Cambria" w:hAnsi="Cambria" w:cs="Cambria"/>
          <w:b/>
          <w:sz w:val="24"/>
          <w:szCs w:val="24"/>
        </w:rPr>
      </w:pPr>
      <w:bookmarkStart w:id="0" w:name="_gjdgxs" w:colFirst="0" w:colLast="0"/>
      <w:bookmarkEnd w:id="0"/>
      <w:r>
        <w:rPr>
          <w:rFonts w:ascii="Cambria" w:eastAsia="Cambria" w:hAnsi="Cambria" w:cs="Cambria"/>
          <w:color w:val="353740"/>
          <w:sz w:val="24"/>
          <w:szCs w:val="24"/>
        </w:rPr>
        <w:t>The R code used to run analyses and prepare figures is available at https://github.com/Syrph/sexual_selection.</w:t>
      </w:r>
    </w:p>
    <w:p w14:paraId="48AC6D93" w14:textId="77777777" w:rsidR="00D4124E" w:rsidRDefault="00000000">
      <w:pPr>
        <w:spacing w:after="0" w:line="360" w:lineRule="auto"/>
        <w:rPr>
          <w:rFonts w:ascii="Cambria" w:eastAsia="Cambria" w:hAnsi="Cambria" w:cs="Cambria"/>
          <w:b/>
          <w:sz w:val="24"/>
          <w:szCs w:val="24"/>
        </w:rPr>
      </w:pPr>
      <w:r>
        <w:rPr>
          <w:rFonts w:ascii="Cambria" w:eastAsia="Cambria" w:hAnsi="Cambria" w:cs="Cambria"/>
          <w:b/>
          <w:sz w:val="24"/>
          <w:szCs w:val="24"/>
        </w:rPr>
        <w:lastRenderedPageBreak/>
        <w:t>Supplementary methods</w:t>
      </w:r>
    </w:p>
    <w:p w14:paraId="19F48E8D" w14:textId="77777777" w:rsidR="00D4124E" w:rsidRDefault="00000000">
      <w:pPr>
        <w:spacing w:before="240" w:line="360" w:lineRule="auto"/>
        <w:rPr>
          <w:rFonts w:ascii="Cambria" w:eastAsia="Cambria" w:hAnsi="Cambria" w:cs="Cambria"/>
          <w:b/>
          <w:sz w:val="24"/>
          <w:szCs w:val="24"/>
        </w:rPr>
      </w:pPr>
      <w:bookmarkStart w:id="1" w:name="_30j0zll" w:colFirst="0" w:colLast="0"/>
      <w:bookmarkEnd w:id="1"/>
      <w:r>
        <w:rPr>
          <w:rFonts w:ascii="Cambria" w:eastAsia="Cambria" w:hAnsi="Cambria" w:cs="Cambria"/>
          <w:b/>
          <w:sz w:val="24"/>
          <w:szCs w:val="24"/>
        </w:rPr>
        <w:t xml:space="preserve">Taxonomy </w:t>
      </w:r>
    </w:p>
    <w:p w14:paraId="560D6B26" w14:textId="77777777" w:rsidR="00D4124E" w:rsidRDefault="00000000">
      <w:pPr>
        <w:spacing w:after="0" w:line="360" w:lineRule="auto"/>
        <w:rPr>
          <w:rFonts w:ascii="Cambria" w:eastAsia="Cambria" w:hAnsi="Cambria" w:cs="Cambria"/>
          <w:sz w:val="24"/>
          <w:szCs w:val="24"/>
        </w:rPr>
      </w:pPr>
      <w:r>
        <w:rPr>
          <w:rFonts w:ascii="Cambria" w:eastAsia="Cambria" w:hAnsi="Cambria" w:cs="Cambria"/>
          <w:sz w:val="24"/>
          <w:szCs w:val="24"/>
        </w:rPr>
        <w:t xml:space="preserve">To allow the use of phylogenetic analyses, we followed the species names used in the global BirdTree phylogeny (Jetz </w:t>
      </w:r>
      <w:r>
        <w:rPr>
          <w:rFonts w:ascii="Cambria" w:eastAsia="Cambria" w:hAnsi="Cambria" w:cs="Cambria"/>
          <w:i/>
          <w:sz w:val="24"/>
          <w:szCs w:val="24"/>
        </w:rPr>
        <w:t>et al.</w:t>
      </w:r>
      <w:r>
        <w:rPr>
          <w:rFonts w:ascii="Cambria" w:eastAsia="Cambria" w:hAnsi="Cambria" w:cs="Cambria"/>
          <w:sz w:val="24"/>
          <w:szCs w:val="24"/>
        </w:rPr>
        <w:t xml:space="preserve"> 2012). Given the rapid state of flux in avian taxonomy, the species limits and family classifications in BirdTree are increasingly obsolete, particularly because the phylogenetic tree itself is likely to be replaced with new phylogenies using updated taxonomic treatments. To maximise future utility of our dataset, we rescored sexual selection and all other variables according to Clements (2021) taxonomy. This will allow integration of our dataset with ecological and life history data published in Birds of the World (https://birdsoftheworld.org/bow), as well as spatially explicit citizen-science data from eBird (https://ebird.org), and forthcoming global phylogenetic datasets based on Clements taxonomy. </w:t>
      </w:r>
    </w:p>
    <w:p w14:paraId="5BD465EC" w14:textId="77777777" w:rsidR="00D4124E" w:rsidRDefault="00000000">
      <w:pPr>
        <w:spacing w:after="0" w:line="360" w:lineRule="auto"/>
        <w:ind w:firstLine="720"/>
        <w:rPr>
          <w:rFonts w:ascii="Cambria" w:eastAsia="Cambria" w:hAnsi="Cambria" w:cs="Cambria"/>
          <w:sz w:val="24"/>
          <w:szCs w:val="24"/>
        </w:rPr>
      </w:pPr>
      <w:r>
        <w:rPr>
          <w:rFonts w:ascii="Cambria" w:eastAsia="Cambria" w:hAnsi="Cambria" w:cs="Cambria"/>
          <w:sz w:val="24"/>
          <w:szCs w:val="24"/>
        </w:rPr>
        <w:t xml:space="preserve">Approximately 93% of species in the BirdTree dataset were directly matched with Clements species, including many that needed to be matched manually because of changes in spelling or higher taxonomic classification. In all these cases, we transferred the same sexual selection and data uncertainty scores from BirdTree to the Clements dataset. For the remaining 7% of species, 512 were taxonomic splits, where a BirdTree species was separated into multiple Clements species. In these cases, we identified the parent (nominate) species  and transferred trait data directly from BirdTree to the parent lineage. For the remaining daughter species, we inferred sexual selection scores from the behaviour of the parent. For example, under BirdTree taxonomy, the House Sparrow </w:t>
      </w:r>
      <w:r>
        <w:rPr>
          <w:rFonts w:ascii="Cambria" w:eastAsia="Cambria" w:hAnsi="Cambria" w:cs="Cambria"/>
          <w:i/>
          <w:sz w:val="24"/>
          <w:szCs w:val="24"/>
        </w:rPr>
        <w:t>Passer domesticus</w:t>
      </w:r>
      <w:r>
        <w:rPr>
          <w:rFonts w:ascii="Cambria" w:eastAsia="Cambria" w:hAnsi="Cambria" w:cs="Cambria"/>
          <w:sz w:val="24"/>
          <w:szCs w:val="24"/>
        </w:rPr>
        <w:t xml:space="preserve"> is considered a single species, with the Italian Sparrow considered a subspecies (</w:t>
      </w:r>
      <w:r>
        <w:rPr>
          <w:rFonts w:ascii="Cambria" w:eastAsia="Cambria" w:hAnsi="Cambria" w:cs="Cambria"/>
          <w:i/>
          <w:sz w:val="24"/>
          <w:szCs w:val="24"/>
        </w:rPr>
        <w:t>P. domesticus italiae</w:t>
      </w:r>
      <w:r>
        <w:rPr>
          <w:rFonts w:ascii="Cambria" w:eastAsia="Cambria" w:hAnsi="Cambria" w:cs="Cambria"/>
          <w:sz w:val="24"/>
          <w:szCs w:val="24"/>
        </w:rPr>
        <w:t xml:space="preserve">). However, under Clements taxonomy, </w:t>
      </w:r>
      <w:r>
        <w:rPr>
          <w:rFonts w:ascii="Cambria" w:eastAsia="Cambria" w:hAnsi="Cambria" w:cs="Cambria"/>
          <w:i/>
          <w:sz w:val="24"/>
          <w:szCs w:val="24"/>
        </w:rPr>
        <w:t xml:space="preserve">P. italiae </w:t>
      </w:r>
      <w:r>
        <w:rPr>
          <w:rFonts w:ascii="Cambria" w:eastAsia="Cambria" w:hAnsi="Cambria" w:cs="Cambria"/>
          <w:sz w:val="24"/>
          <w:szCs w:val="24"/>
        </w:rPr>
        <w:t>is considered a separate species. In this instance, we directly transferred sexual selection and data certainty scores from the BirdTree “</w:t>
      </w:r>
      <w:r>
        <w:rPr>
          <w:rFonts w:ascii="Cambria" w:eastAsia="Cambria" w:hAnsi="Cambria" w:cs="Cambria"/>
          <w:i/>
          <w:sz w:val="24"/>
          <w:szCs w:val="24"/>
        </w:rPr>
        <w:t>P. domesticus”</w:t>
      </w:r>
      <w:r>
        <w:rPr>
          <w:rFonts w:ascii="Cambria" w:eastAsia="Cambria" w:hAnsi="Cambria" w:cs="Cambria"/>
          <w:sz w:val="24"/>
          <w:szCs w:val="24"/>
        </w:rPr>
        <w:t xml:space="preserve"> values to the Clements “</w:t>
      </w:r>
      <w:r>
        <w:rPr>
          <w:rFonts w:ascii="Cambria" w:eastAsia="Cambria" w:hAnsi="Cambria" w:cs="Cambria"/>
          <w:i/>
          <w:sz w:val="24"/>
          <w:szCs w:val="24"/>
        </w:rPr>
        <w:t>P. domesticus</w:t>
      </w:r>
      <w:r>
        <w:rPr>
          <w:rFonts w:ascii="Cambria" w:eastAsia="Cambria" w:hAnsi="Cambria" w:cs="Cambria"/>
          <w:sz w:val="24"/>
          <w:szCs w:val="24"/>
        </w:rPr>
        <w:t xml:space="preserve">” values. For </w:t>
      </w:r>
      <w:r>
        <w:rPr>
          <w:rFonts w:ascii="Cambria" w:eastAsia="Cambria" w:hAnsi="Cambria" w:cs="Cambria"/>
          <w:i/>
          <w:sz w:val="24"/>
          <w:szCs w:val="24"/>
        </w:rPr>
        <w:t>P. italiae</w:t>
      </w:r>
      <w:r>
        <w:rPr>
          <w:rFonts w:ascii="Cambria" w:eastAsia="Cambria" w:hAnsi="Cambria" w:cs="Cambria"/>
          <w:sz w:val="24"/>
          <w:szCs w:val="24"/>
        </w:rPr>
        <w:t xml:space="preserve">, we used the same sexual selection score as the parent by inference, because breeding behaviour of this geographically restricted form appears similar to the more widespread </w:t>
      </w:r>
      <w:r>
        <w:rPr>
          <w:rFonts w:ascii="Cambria" w:eastAsia="Cambria" w:hAnsi="Cambria" w:cs="Cambria"/>
          <w:i/>
          <w:sz w:val="24"/>
          <w:szCs w:val="24"/>
        </w:rPr>
        <w:t>P. domesticus</w:t>
      </w:r>
      <w:r>
        <w:rPr>
          <w:rFonts w:ascii="Cambria" w:eastAsia="Cambria" w:hAnsi="Cambria" w:cs="Cambria"/>
          <w:sz w:val="24"/>
          <w:szCs w:val="24"/>
        </w:rPr>
        <w:t xml:space="preserve">. Nonetheless, we dropped the data certainty score from 4 to 3 reflecting the reduction in certainty that arises because </w:t>
      </w:r>
      <w:r>
        <w:rPr>
          <w:rFonts w:ascii="Cambria" w:eastAsia="Cambria" w:hAnsi="Cambria" w:cs="Cambria"/>
          <w:i/>
          <w:sz w:val="24"/>
          <w:szCs w:val="24"/>
        </w:rPr>
        <w:t>P. italiae</w:t>
      </w:r>
      <w:r>
        <w:rPr>
          <w:rFonts w:ascii="Cambria" w:eastAsia="Cambria" w:hAnsi="Cambria" w:cs="Cambria"/>
          <w:sz w:val="24"/>
          <w:szCs w:val="24"/>
        </w:rPr>
        <w:t xml:space="preserve"> occupies a small geographical range and the sexual selection score is no longer based on direct species-specific evidence.  </w:t>
      </w:r>
    </w:p>
    <w:p w14:paraId="7E56F5C2" w14:textId="77777777" w:rsidR="00D4124E" w:rsidRDefault="00000000">
      <w:pPr>
        <w:spacing w:after="0" w:line="360" w:lineRule="auto"/>
        <w:ind w:firstLine="720"/>
        <w:rPr>
          <w:rFonts w:ascii="Cambria" w:eastAsia="Cambria" w:hAnsi="Cambria" w:cs="Cambria"/>
          <w:sz w:val="24"/>
          <w:szCs w:val="24"/>
        </w:rPr>
      </w:pPr>
      <w:r>
        <w:rPr>
          <w:rFonts w:ascii="Cambria" w:eastAsia="Cambria" w:hAnsi="Cambria" w:cs="Cambria"/>
          <w:sz w:val="24"/>
          <w:szCs w:val="24"/>
        </w:rPr>
        <w:lastRenderedPageBreak/>
        <w:t>The reverse procedure was required in cases where multiple BirdTree species have been merged into a single Clements species. These cases were less frequent, with only 219 BirdTree species combined into 102 Clements species. In almost all cases, sexual selection scores were the same across each set of BirdTree species, so this score was directly transferred to the corresponding Clements species into which they were merged. The only exception was the Ring-necked Pheasant (</w:t>
      </w:r>
      <w:r>
        <w:rPr>
          <w:rFonts w:ascii="Cambria" w:eastAsia="Cambria" w:hAnsi="Cambria" w:cs="Cambria"/>
          <w:i/>
          <w:sz w:val="24"/>
          <w:szCs w:val="24"/>
        </w:rPr>
        <w:t>Phasianus colchicus</w:t>
      </w:r>
      <w:r>
        <w:rPr>
          <w:rFonts w:ascii="Cambria" w:eastAsia="Cambria" w:hAnsi="Cambria" w:cs="Cambria"/>
          <w:sz w:val="24"/>
          <w:szCs w:val="24"/>
        </w:rPr>
        <w:t xml:space="preserve">), in which two BirdTree sister species were scored differently: the mainland nominate </w:t>
      </w:r>
      <w:r>
        <w:rPr>
          <w:rFonts w:ascii="Cambria" w:eastAsia="Cambria" w:hAnsi="Cambria" w:cs="Cambria"/>
          <w:i/>
          <w:sz w:val="24"/>
          <w:szCs w:val="24"/>
        </w:rPr>
        <w:t>P. colchicus</w:t>
      </w:r>
      <w:r>
        <w:rPr>
          <w:rFonts w:ascii="Cambria" w:eastAsia="Cambria" w:hAnsi="Cambria" w:cs="Cambria"/>
          <w:sz w:val="24"/>
          <w:szCs w:val="24"/>
        </w:rPr>
        <w:t xml:space="preserve"> was scored 3 for polygamy, whereas the Green Pheasant (</w:t>
      </w:r>
      <w:r>
        <w:rPr>
          <w:rFonts w:ascii="Cambria" w:eastAsia="Cambria" w:hAnsi="Cambria" w:cs="Cambria"/>
          <w:i/>
          <w:sz w:val="24"/>
          <w:szCs w:val="24"/>
        </w:rPr>
        <w:t>P. versicolor</w:t>
      </w:r>
      <w:r>
        <w:rPr>
          <w:rFonts w:ascii="Cambria" w:eastAsia="Cambria" w:hAnsi="Cambria" w:cs="Cambria"/>
          <w:sz w:val="24"/>
          <w:szCs w:val="24"/>
        </w:rPr>
        <w:t xml:space="preserve">), a Japanese endemic,  was scored 2 because a higher incidence of monogamy was reported than for mainland populations. Under 2021 Clements taxonomy, </w:t>
      </w:r>
      <w:r>
        <w:rPr>
          <w:rFonts w:ascii="Cambria" w:eastAsia="Cambria" w:hAnsi="Cambria" w:cs="Cambria"/>
          <w:i/>
          <w:sz w:val="24"/>
          <w:szCs w:val="24"/>
        </w:rPr>
        <w:t>P. colchicus</w:t>
      </w:r>
      <w:r>
        <w:rPr>
          <w:rFonts w:ascii="Cambria" w:eastAsia="Cambria" w:hAnsi="Cambria" w:cs="Cambria"/>
          <w:sz w:val="24"/>
          <w:szCs w:val="24"/>
        </w:rPr>
        <w:t xml:space="preserve"> was merged with </w:t>
      </w:r>
      <w:r>
        <w:rPr>
          <w:rFonts w:ascii="Cambria" w:eastAsia="Cambria" w:hAnsi="Cambria" w:cs="Cambria"/>
          <w:i/>
          <w:sz w:val="24"/>
          <w:szCs w:val="24"/>
        </w:rPr>
        <w:t>P. versicolor</w:t>
      </w:r>
      <w:r>
        <w:rPr>
          <w:rFonts w:ascii="Cambria" w:eastAsia="Cambria" w:hAnsi="Cambria" w:cs="Cambria"/>
          <w:sz w:val="24"/>
          <w:szCs w:val="24"/>
        </w:rPr>
        <w:t xml:space="preserve"> and took the higher score (3) because the Japanese form makes up only a small part of the total population. </w:t>
      </w:r>
    </w:p>
    <w:p w14:paraId="691F0A50" w14:textId="77777777" w:rsidR="00D4124E" w:rsidRDefault="00000000">
      <w:pPr>
        <w:spacing w:after="0" w:line="360" w:lineRule="auto"/>
        <w:ind w:firstLine="720"/>
        <w:rPr>
          <w:rFonts w:ascii="Cambria" w:eastAsia="Cambria" w:hAnsi="Cambria" w:cs="Cambria"/>
          <w:sz w:val="24"/>
          <w:szCs w:val="24"/>
        </w:rPr>
      </w:pPr>
      <w:r>
        <w:rPr>
          <w:rFonts w:ascii="Cambria" w:eastAsia="Cambria" w:hAnsi="Cambria" w:cs="Cambria"/>
          <w:sz w:val="24"/>
          <w:szCs w:val="24"/>
        </w:rPr>
        <w:t xml:space="preserve">When transferring data from BirdTree to Clements, 31 species presented challenges because data certainty scores differed between daughter taxa being merged together (lumped) into a single parent taxon. In most of these problematic cases, the sexual selection score of widespread parent taxa was based on direct data from primary sources, whereas this direct data often only applied to one of the BirdTree daughter species (splits). In these instances, we transferred the certainty data from the nominate BirdTree species to the lumped (parent) eBird species. The only exception to this rule was </w:t>
      </w:r>
      <w:r>
        <w:rPr>
          <w:rFonts w:ascii="Cambria" w:eastAsia="Cambria" w:hAnsi="Cambria" w:cs="Cambria"/>
          <w:i/>
          <w:sz w:val="24"/>
          <w:szCs w:val="24"/>
        </w:rPr>
        <w:t>Stercorarius antarcticus</w:t>
      </w:r>
      <w:r>
        <w:rPr>
          <w:rFonts w:ascii="Cambria" w:eastAsia="Cambria" w:hAnsi="Cambria" w:cs="Cambria"/>
          <w:sz w:val="24"/>
          <w:szCs w:val="24"/>
        </w:rPr>
        <w:t xml:space="preserve"> which is considered two separate species (</w:t>
      </w:r>
      <w:r>
        <w:rPr>
          <w:rFonts w:ascii="Cambria" w:eastAsia="Cambria" w:hAnsi="Cambria" w:cs="Cambria"/>
          <w:i/>
          <w:sz w:val="24"/>
          <w:szCs w:val="24"/>
        </w:rPr>
        <w:t>Catharacta lonnbergi</w:t>
      </w:r>
      <w:r>
        <w:rPr>
          <w:rFonts w:ascii="Cambria" w:eastAsia="Cambria" w:hAnsi="Cambria" w:cs="Cambria"/>
          <w:sz w:val="24"/>
          <w:szCs w:val="24"/>
        </w:rPr>
        <w:t xml:space="preserve"> and </w:t>
      </w:r>
      <w:r>
        <w:rPr>
          <w:rFonts w:ascii="Cambria" w:eastAsia="Cambria" w:hAnsi="Cambria" w:cs="Cambria"/>
          <w:i/>
          <w:sz w:val="24"/>
          <w:szCs w:val="24"/>
        </w:rPr>
        <w:t>Catharacta antarctica</w:t>
      </w:r>
      <w:r>
        <w:rPr>
          <w:rFonts w:ascii="Cambria" w:eastAsia="Cambria" w:hAnsi="Cambria" w:cs="Cambria"/>
          <w:sz w:val="24"/>
          <w:szCs w:val="24"/>
        </w:rPr>
        <w:t xml:space="preserve">) by BirdTree and a single species by Clements. Under BirdTree, the daughter species or split, </w:t>
      </w:r>
      <w:r>
        <w:rPr>
          <w:rFonts w:ascii="Cambria" w:eastAsia="Cambria" w:hAnsi="Cambria" w:cs="Cambria"/>
          <w:i/>
          <w:sz w:val="24"/>
          <w:szCs w:val="24"/>
        </w:rPr>
        <w:t>C. lonnbergi</w:t>
      </w:r>
      <w:r>
        <w:rPr>
          <w:rFonts w:ascii="Cambria" w:eastAsia="Cambria" w:hAnsi="Cambria" w:cs="Cambria"/>
          <w:sz w:val="24"/>
          <w:szCs w:val="24"/>
        </w:rPr>
        <w:t xml:space="preserve">, carries a higher data certainty score (4) because its sexual selection score is based on a molecular study of extra-pair paternity (Millar 1994). In the same treatment, </w:t>
      </w:r>
      <w:r>
        <w:rPr>
          <w:rFonts w:ascii="Cambria" w:eastAsia="Cambria" w:hAnsi="Cambria" w:cs="Cambria"/>
          <w:i/>
          <w:sz w:val="24"/>
          <w:szCs w:val="24"/>
        </w:rPr>
        <w:t xml:space="preserve">C. antarctica </w:t>
      </w:r>
      <w:r>
        <w:rPr>
          <w:rFonts w:ascii="Cambria" w:eastAsia="Cambria" w:hAnsi="Cambria" w:cs="Cambria"/>
          <w:sz w:val="24"/>
          <w:szCs w:val="24"/>
        </w:rPr>
        <w:t xml:space="preserve">has a lower certainty (3) which is upgraded to higher certainty (4) under Clements taxonomy wherein </w:t>
      </w:r>
      <w:r>
        <w:rPr>
          <w:rFonts w:ascii="Cambria" w:eastAsia="Cambria" w:hAnsi="Cambria" w:cs="Cambria"/>
          <w:i/>
          <w:sz w:val="24"/>
          <w:szCs w:val="24"/>
        </w:rPr>
        <w:t xml:space="preserve">C. lonnbergi </w:t>
      </w:r>
      <w:r>
        <w:rPr>
          <w:rFonts w:ascii="Cambria" w:eastAsia="Cambria" w:hAnsi="Cambria" w:cs="Cambria"/>
          <w:sz w:val="24"/>
          <w:szCs w:val="24"/>
        </w:rPr>
        <w:t xml:space="preserve">is subsumed into </w:t>
      </w:r>
      <w:r>
        <w:rPr>
          <w:rFonts w:ascii="Cambria" w:eastAsia="Cambria" w:hAnsi="Cambria" w:cs="Cambria"/>
          <w:i/>
          <w:sz w:val="24"/>
          <w:szCs w:val="24"/>
        </w:rPr>
        <w:t xml:space="preserve">C. antarctica </w:t>
      </w:r>
      <w:r>
        <w:rPr>
          <w:rFonts w:ascii="Cambria" w:eastAsia="Cambria" w:hAnsi="Cambria" w:cs="Cambria"/>
          <w:sz w:val="24"/>
          <w:szCs w:val="24"/>
        </w:rPr>
        <w:t xml:space="preserve">(and transferred to the genus </w:t>
      </w:r>
      <w:r>
        <w:rPr>
          <w:rFonts w:ascii="Cambria" w:eastAsia="Cambria" w:hAnsi="Cambria" w:cs="Cambria"/>
          <w:i/>
          <w:sz w:val="24"/>
          <w:szCs w:val="24"/>
        </w:rPr>
        <w:t>Stercorarius</w:t>
      </w:r>
      <w:r>
        <w:rPr>
          <w:rFonts w:ascii="Cambria" w:eastAsia="Cambria" w:hAnsi="Cambria" w:cs="Cambria"/>
          <w:sz w:val="24"/>
          <w:szCs w:val="24"/>
        </w:rPr>
        <w:t xml:space="preserve">). </w:t>
      </w:r>
    </w:p>
    <w:p w14:paraId="66DB7C32" w14:textId="77777777" w:rsidR="00D4124E" w:rsidRDefault="00000000">
      <w:pPr>
        <w:spacing w:after="0" w:line="360" w:lineRule="auto"/>
        <w:ind w:firstLine="720"/>
        <w:rPr>
          <w:rFonts w:ascii="Cambria" w:eastAsia="Cambria" w:hAnsi="Cambria" w:cs="Cambria"/>
          <w:sz w:val="24"/>
          <w:szCs w:val="24"/>
        </w:rPr>
      </w:pPr>
      <w:r>
        <w:rPr>
          <w:rFonts w:ascii="Cambria" w:eastAsia="Cambria" w:hAnsi="Cambria" w:cs="Cambria"/>
          <w:sz w:val="24"/>
          <w:szCs w:val="24"/>
        </w:rPr>
        <w:t>In five cases, BirdTree species were initially lumped and then subsequently re-split into multiple daughter species. However, sexual selection happened to be scored as strict monogamy (0) in all these cases, simplifying the direct transfer of scores from BirdTree to Clements datasets. Finally, 176 Clements species had no corresponding BirdTree species. The majority of cases (</w:t>
      </w:r>
      <w:r>
        <w:rPr>
          <w:rFonts w:ascii="Cambria" w:eastAsia="Cambria" w:hAnsi="Cambria" w:cs="Cambria"/>
          <w:i/>
          <w:sz w:val="24"/>
          <w:szCs w:val="24"/>
        </w:rPr>
        <w:t>n</w:t>
      </w:r>
      <w:r>
        <w:rPr>
          <w:rFonts w:ascii="Cambria" w:eastAsia="Cambria" w:hAnsi="Cambria" w:cs="Cambria"/>
          <w:sz w:val="24"/>
          <w:szCs w:val="24"/>
        </w:rPr>
        <w:t xml:space="preserve"> = 144 species) were extinct species that were omitted from BirdTree, which we did not include in our database. The remaining 32 </w:t>
      </w:r>
      <w:r>
        <w:rPr>
          <w:rFonts w:ascii="Cambria" w:eastAsia="Cambria" w:hAnsi="Cambria" w:cs="Cambria"/>
          <w:sz w:val="24"/>
          <w:szCs w:val="24"/>
        </w:rPr>
        <w:lastRenderedPageBreak/>
        <w:t xml:space="preserve">species were described in the last decade, representing new additions to global species lists. In these cases, we scored sexual selection from literature following the same protocol used for BirdTree species (see Methods). </w:t>
      </w:r>
    </w:p>
    <w:p w14:paraId="0D3881E7" w14:textId="77777777" w:rsidR="00D4124E" w:rsidRDefault="00000000">
      <w:pPr>
        <w:spacing w:after="0" w:line="360" w:lineRule="auto"/>
        <w:rPr>
          <w:rFonts w:ascii="Cambria" w:eastAsia="Cambria" w:hAnsi="Cambria" w:cs="Cambria"/>
          <w:sz w:val="24"/>
          <w:szCs w:val="24"/>
        </w:rPr>
      </w:pPr>
      <w:r>
        <w:rPr>
          <w:rFonts w:ascii="Cambria" w:eastAsia="Cambria" w:hAnsi="Cambria" w:cs="Cambria"/>
          <w:sz w:val="24"/>
          <w:szCs w:val="24"/>
        </w:rPr>
        <w:tab/>
        <w:t>We include a taxonomic crosswalk (sheet 4) in Supplementary dataset 1. This resource lists each BirdTree and Clements species aligned in neighbouring columns, showing how they are matched in our data transfer process. Specifically, we include the type of link between the two taxonomies (one-to-one, many-to-one, one-to-many, many-to-many) and highlight the parent taxon in cases where data are duplicated across multiple taxa in the case of splits. The crosswalk is designed to be used alongside the R script (</w:t>
      </w:r>
      <w:proofErr w:type="spellStart"/>
      <w:r>
        <w:rPr>
          <w:rFonts w:ascii="Cambria" w:eastAsia="Cambria" w:hAnsi="Cambria" w:cs="Cambria"/>
          <w:sz w:val="24"/>
          <w:szCs w:val="24"/>
        </w:rPr>
        <w:t>clements_conversion.R</w:t>
      </w:r>
      <w:proofErr w:type="spellEnd"/>
      <w:r>
        <w:rPr>
          <w:rFonts w:ascii="Cambria" w:eastAsia="Cambria" w:hAnsi="Cambria" w:cs="Cambria"/>
          <w:sz w:val="24"/>
          <w:szCs w:val="24"/>
        </w:rPr>
        <w:t>) included with this study. As a disclaimer, our crosswalk may contain small errors as it was designed to transfer traits between thousands of species. We recommend that users carefully check the conversion of traits, paying particular attention to species which have transitioned between families or orders. We hope that the Clements dataset and associated taxonomic crosswalk can support future researchers by facilitating the transfer of traits to and from Clements taxonomy, including cases where lumped BirdTree species have conflicting data. This should be a useful resource for macroecological studies combining data from AVONET (Tobias</w:t>
      </w:r>
      <w:r>
        <w:rPr>
          <w:rFonts w:ascii="Cambria" w:eastAsia="Cambria" w:hAnsi="Cambria" w:cs="Cambria"/>
          <w:i/>
          <w:sz w:val="24"/>
          <w:szCs w:val="24"/>
        </w:rPr>
        <w:t xml:space="preserve"> et al.</w:t>
      </w:r>
      <w:r>
        <w:rPr>
          <w:rFonts w:ascii="Cambria" w:eastAsia="Cambria" w:hAnsi="Cambria" w:cs="Cambria"/>
          <w:sz w:val="24"/>
          <w:szCs w:val="24"/>
        </w:rPr>
        <w:t xml:space="preserve"> 2022), Birds of the World, and eBird, or for researchers wishing to integrate their datasets with future phylogenies based on Clements taxonomy. </w:t>
      </w:r>
    </w:p>
    <w:p w14:paraId="4BDC386F" w14:textId="77777777" w:rsidR="00D4124E" w:rsidRDefault="00000000">
      <w:pPr>
        <w:spacing w:before="240" w:line="360" w:lineRule="auto"/>
        <w:rPr>
          <w:rFonts w:ascii="Cambria" w:eastAsia="Cambria" w:hAnsi="Cambria" w:cs="Cambria"/>
          <w:b/>
          <w:sz w:val="24"/>
          <w:szCs w:val="24"/>
        </w:rPr>
      </w:pPr>
      <w:r>
        <w:rPr>
          <w:rFonts w:ascii="Cambria" w:eastAsia="Cambria" w:hAnsi="Cambria" w:cs="Cambria"/>
          <w:b/>
          <w:sz w:val="24"/>
          <w:szCs w:val="24"/>
        </w:rPr>
        <w:t>Sexual selection metrics</w:t>
      </w:r>
    </w:p>
    <w:p w14:paraId="5A6DD908" w14:textId="653328CC" w:rsidR="00D4124E" w:rsidRDefault="00000000">
      <w:pPr>
        <w:pBdr>
          <w:top w:val="nil"/>
          <w:left w:val="nil"/>
          <w:bottom w:val="nil"/>
          <w:right w:val="nil"/>
          <w:between w:val="nil"/>
        </w:pBdr>
        <w:spacing w:after="0" w:line="360" w:lineRule="auto"/>
        <w:rPr>
          <w:rFonts w:ascii="Cambria" w:eastAsia="Cambria" w:hAnsi="Cambria" w:cs="Cambria"/>
          <w:sz w:val="24"/>
          <w:szCs w:val="24"/>
        </w:rPr>
      </w:pPr>
      <w:r>
        <w:rPr>
          <w:rFonts w:ascii="Cambria" w:eastAsia="Cambria" w:hAnsi="Cambria" w:cs="Cambria"/>
          <w:sz w:val="24"/>
          <w:szCs w:val="24"/>
        </w:rPr>
        <w:t xml:space="preserve">To assess the reliability of our scoring system, we collected data on three complementary and widely used measures of sexual selection from existing published datasets: residual testes mass (Pitcher </w:t>
      </w:r>
      <w:r>
        <w:rPr>
          <w:rFonts w:ascii="Cambria" w:eastAsia="Cambria" w:hAnsi="Cambria" w:cs="Cambria"/>
          <w:i/>
          <w:sz w:val="24"/>
          <w:szCs w:val="24"/>
        </w:rPr>
        <w:t>et al</w:t>
      </w:r>
      <w:r>
        <w:rPr>
          <w:rFonts w:ascii="Cambria" w:eastAsia="Cambria" w:hAnsi="Cambria" w:cs="Cambria"/>
          <w:sz w:val="24"/>
          <w:szCs w:val="24"/>
        </w:rPr>
        <w:t xml:space="preserve">. 2005; Baker </w:t>
      </w:r>
      <w:r>
        <w:rPr>
          <w:rFonts w:ascii="Cambria" w:eastAsia="Cambria" w:hAnsi="Cambria" w:cs="Cambria"/>
          <w:i/>
          <w:sz w:val="24"/>
          <w:szCs w:val="24"/>
        </w:rPr>
        <w:t xml:space="preserve">et al. </w:t>
      </w:r>
      <w:r>
        <w:rPr>
          <w:rFonts w:ascii="Cambria" w:eastAsia="Cambria" w:hAnsi="Cambria" w:cs="Cambria"/>
          <w:sz w:val="24"/>
          <w:szCs w:val="24"/>
        </w:rPr>
        <w:t>2020), Bateman gradients (</w:t>
      </w:r>
      <w:r>
        <w:rPr>
          <w:rFonts w:ascii="Cambria" w:eastAsia="Cambria" w:hAnsi="Cambria" w:cs="Cambria"/>
          <w:color w:val="353740"/>
          <w:sz w:val="24"/>
          <w:szCs w:val="24"/>
          <w:highlight w:val="white"/>
        </w:rPr>
        <w:t>β</w:t>
      </w:r>
      <w:r>
        <w:rPr>
          <w:rFonts w:ascii="Cambria" w:eastAsia="Cambria" w:hAnsi="Cambria" w:cs="Cambria"/>
          <w:color w:val="353740"/>
          <w:sz w:val="24"/>
          <w:szCs w:val="24"/>
          <w:highlight w:val="white"/>
          <w:vertAlign w:val="subscript"/>
        </w:rPr>
        <w:t>SS</w:t>
      </w:r>
      <w:r>
        <w:rPr>
          <w:rFonts w:ascii="Cambria" w:eastAsia="Cambria" w:hAnsi="Cambria" w:cs="Cambria"/>
          <w:sz w:val="24"/>
          <w:szCs w:val="24"/>
        </w:rPr>
        <w:t xml:space="preserve">) (Janicke </w:t>
      </w:r>
      <w:r>
        <w:rPr>
          <w:rFonts w:ascii="Cambria" w:eastAsia="Cambria" w:hAnsi="Cambria" w:cs="Cambria"/>
          <w:i/>
          <w:sz w:val="24"/>
          <w:szCs w:val="24"/>
        </w:rPr>
        <w:t>et al.</w:t>
      </w:r>
      <w:r>
        <w:rPr>
          <w:rFonts w:ascii="Cambria" w:eastAsia="Cambria" w:hAnsi="Cambria" w:cs="Cambria"/>
          <w:sz w:val="24"/>
          <w:szCs w:val="24"/>
        </w:rPr>
        <w:t xml:space="preserve"> 2016; </w:t>
      </w:r>
      <w:proofErr w:type="spellStart"/>
      <w:r>
        <w:rPr>
          <w:rFonts w:ascii="Cambria" w:eastAsia="Cambria" w:hAnsi="Cambria" w:cs="Cambria"/>
          <w:sz w:val="24"/>
          <w:szCs w:val="24"/>
        </w:rPr>
        <w:t>Fromonteil</w:t>
      </w:r>
      <w:proofErr w:type="spellEnd"/>
      <w:r>
        <w:rPr>
          <w:rFonts w:ascii="Cambria" w:eastAsia="Cambria" w:hAnsi="Cambria" w:cs="Cambria"/>
          <w:sz w:val="24"/>
          <w:szCs w:val="24"/>
        </w:rPr>
        <w:t xml:space="preserve"> </w:t>
      </w:r>
      <w:r>
        <w:rPr>
          <w:rFonts w:ascii="Cambria" w:eastAsia="Cambria" w:hAnsi="Cambria" w:cs="Cambria"/>
          <w:i/>
          <w:sz w:val="24"/>
          <w:szCs w:val="24"/>
        </w:rPr>
        <w:t xml:space="preserve">et al. </w:t>
      </w:r>
      <w:r>
        <w:rPr>
          <w:rFonts w:ascii="Cambria" w:eastAsia="Cambria" w:hAnsi="Cambria" w:cs="Cambria"/>
          <w:sz w:val="24"/>
          <w:szCs w:val="24"/>
        </w:rPr>
        <w:t>2023), and the opportunity for sexual selection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(Janicke &amp; Morrow 2018). Residual testes size constitutes a commonly used proxy for the strength of post-copulatory sexual selection on males whereas </w:t>
      </w:r>
      <w:r>
        <w:rPr>
          <w:rFonts w:ascii="Cambria" w:eastAsia="Cambria" w:hAnsi="Cambria" w:cs="Cambria"/>
          <w:color w:val="353740"/>
          <w:sz w:val="24"/>
          <w:szCs w:val="24"/>
          <w:highlight w:val="white"/>
        </w:rPr>
        <w:t>β</w:t>
      </w:r>
      <w:r>
        <w:rPr>
          <w:rFonts w:ascii="Cambria" w:eastAsia="Cambria" w:hAnsi="Cambria" w:cs="Cambria"/>
          <w:color w:val="353740"/>
          <w:sz w:val="24"/>
          <w:szCs w:val="24"/>
          <w:highlight w:val="white"/>
          <w:vertAlign w:val="subscript"/>
        </w:rPr>
        <w:t>SS</w:t>
      </w:r>
      <w:r>
        <w:rPr>
          <w:rFonts w:ascii="Cambria" w:eastAsia="Cambria" w:hAnsi="Cambria" w:cs="Cambria"/>
          <w:sz w:val="24"/>
          <w:szCs w:val="24"/>
        </w:rPr>
        <w:t xml:space="preserve"> and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are standardized metrics for the strength of pre-copulatory sexual selection. To increase our sample size, we also calculated metrics for </w:t>
      </w:r>
      <w:r w:rsidR="00802C35">
        <w:rPr>
          <w:rFonts w:ascii="Cambria" w:eastAsia="Cambria" w:hAnsi="Cambria" w:cs="Cambria"/>
          <w:sz w:val="24"/>
          <w:szCs w:val="24"/>
        </w:rPr>
        <w:t>additional</w:t>
      </w:r>
      <w:r>
        <w:rPr>
          <w:rFonts w:ascii="Cambria" w:eastAsia="Cambria" w:hAnsi="Cambria" w:cs="Cambria"/>
          <w:sz w:val="24"/>
          <w:szCs w:val="24"/>
        </w:rPr>
        <w:t xml:space="preserve"> species</w:t>
      </w:r>
      <w:r w:rsidR="00802C35">
        <w:rPr>
          <w:rFonts w:ascii="Cambria" w:eastAsia="Cambria" w:hAnsi="Cambria" w:cs="Cambria"/>
          <w:sz w:val="24"/>
          <w:szCs w:val="24"/>
        </w:rPr>
        <w:t xml:space="preserve"> where possible</w:t>
      </w:r>
      <w:r>
        <w:rPr>
          <w:rFonts w:ascii="Cambria" w:eastAsia="Cambria" w:hAnsi="Cambria" w:cs="Cambria"/>
          <w:sz w:val="24"/>
          <w:szCs w:val="24"/>
        </w:rPr>
        <w:t xml:space="preserve">, </w:t>
      </w:r>
      <w:r w:rsidR="00802C35">
        <w:rPr>
          <w:rFonts w:ascii="Cambria" w:eastAsia="Cambria" w:hAnsi="Cambria" w:cs="Cambria"/>
          <w:sz w:val="24"/>
          <w:szCs w:val="24"/>
        </w:rPr>
        <w:t xml:space="preserve">based on </w:t>
      </w:r>
      <w:r>
        <w:rPr>
          <w:rFonts w:ascii="Cambria" w:eastAsia="Cambria" w:hAnsi="Cambria" w:cs="Cambria"/>
          <w:sz w:val="24"/>
          <w:szCs w:val="24"/>
        </w:rPr>
        <w:t xml:space="preserve">published data. </w:t>
      </w:r>
    </w:p>
    <w:p w14:paraId="432BF886" w14:textId="16E42FBF" w:rsidR="00D4124E" w:rsidRDefault="00000000">
      <w:pPr>
        <w:pBdr>
          <w:top w:val="nil"/>
          <w:left w:val="nil"/>
          <w:bottom w:val="nil"/>
          <w:right w:val="nil"/>
          <w:between w:val="nil"/>
        </w:pBdr>
        <w:spacing w:after="0" w:line="360" w:lineRule="auto"/>
        <w:ind w:firstLine="720"/>
        <w:rPr>
          <w:rFonts w:ascii="Cambria" w:eastAsia="Cambria" w:hAnsi="Cambria" w:cs="Cambria"/>
          <w:sz w:val="24"/>
          <w:szCs w:val="24"/>
        </w:rPr>
      </w:pPr>
      <w:r>
        <w:rPr>
          <w:rFonts w:ascii="Cambria" w:eastAsia="Cambria" w:hAnsi="Cambria" w:cs="Cambria"/>
          <w:sz w:val="24"/>
          <w:szCs w:val="24"/>
        </w:rPr>
        <w:t>Residual testes mass refers to the mass of testes after accounting for total body mass</w:t>
      </w:r>
      <w:r w:rsidR="00802C35">
        <w:rPr>
          <w:rFonts w:ascii="Cambria" w:eastAsia="Cambria" w:hAnsi="Cambria" w:cs="Cambria"/>
          <w:sz w:val="24"/>
          <w:szCs w:val="24"/>
        </w:rPr>
        <w:t xml:space="preserve">. This metric provides information about the </w:t>
      </w:r>
      <w:r>
        <w:rPr>
          <w:rFonts w:ascii="Cambria" w:eastAsia="Cambria" w:hAnsi="Cambria" w:cs="Cambria"/>
          <w:sz w:val="24"/>
          <w:szCs w:val="24"/>
        </w:rPr>
        <w:t>levels of sperm competition between rival males</w:t>
      </w:r>
      <w:r w:rsidR="00802C35">
        <w:rPr>
          <w:rFonts w:ascii="Cambria" w:eastAsia="Cambria" w:hAnsi="Cambria" w:cs="Cambria"/>
          <w:sz w:val="24"/>
          <w:szCs w:val="24"/>
        </w:rPr>
        <w:t>, which correlates with some aspects of sexual selection</w:t>
      </w:r>
      <w:r>
        <w:rPr>
          <w:rFonts w:ascii="Cambria" w:eastAsia="Cambria" w:hAnsi="Cambria" w:cs="Cambria"/>
          <w:sz w:val="24"/>
          <w:szCs w:val="24"/>
        </w:rPr>
        <w:t xml:space="preserve"> (</w:t>
      </w:r>
      <w:proofErr w:type="spellStart"/>
      <w:r>
        <w:rPr>
          <w:rFonts w:ascii="Cambria" w:eastAsia="Cambria" w:hAnsi="Cambria" w:cs="Cambria"/>
          <w:sz w:val="24"/>
          <w:szCs w:val="24"/>
        </w:rPr>
        <w:t>Lüpold</w:t>
      </w:r>
      <w:proofErr w:type="spellEnd"/>
      <w:r>
        <w:rPr>
          <w:rFonts w:ascii="Cambria" w:eastAsia="Cambria" w:hAnsi="Cambria" w:cs="Cambria"/>
          <w:sz w:val="24"/>
          <w:szCs w:val="24"/>
        </w:rPr>
        <w:t xml:space="preserve"> </w:t>
      </w:r>
      <w:r>
        <w:rPr>
          <w:rFonts w:ascii="Cambria" w:eastAsia="Cambria" w:hAnsi="Cambria" w:cs="Cambria"/>
          <w:i/>
          <w:sz w:val="24"/>
          <w:szCs w:val="24"/>
        </w:rPr>
        <w:t>et al.</w:t>
      </w:r>
      <w:r>
        <w:rPr>
          <w:rFonts w:ascii="Cambria" w:eastAsia="Cambria" w:hAnsi="Cambria" w:cs="Cambria"/>
          <w:sz w:val="24"/>
          <w:szCs w:val="24"/>
        </w:rPr>
        <w:t xml:space="preserve"> 2020). </w:t>
      </w:r>
      <w:r>
        <w:rPr>
          <w:rFonts w:ascii="Cambria" w:eastAsia="Cambria" w:hAnsi="Cambria" w:cs="Cambria"/>
          <w:sz w:val="24"/>
          <w:szCs w:val="24"/>
        </w:rPr>
        <w:lastRenderedPageBreak/>
        <w:t>To calculate residual testes mass, we used recent data from Baker</w:t>
      </w:r>
      <w:r>
        <w:rPr>
          <w:rFonts w:ascii="Cambria" w:eastAsia="Cambria" w:hAnsi="Cambria" w:cs="Cambria"/>
          <w:i/>
          <w:sz w:val="24"/>
          <w:szCs w:val="24"/>
        </w:rPr>
        <w:t xml:space="preserve"> et al.</w:t>
      </w:r>
      <w:r>
        <w:rPr>
          <w:rFonts w:ascii="Cambria" w:eastAsia="Cambria" w:hAnsi="Cambria" w:cs="Cambria"/>
          <w:sz w:val="24"/>
          <w:szCs w:val="24"/>
        </w:rPr>
        <w:t xml:space="preserve"> (2020) (n = 901 species), with an additional 76 species sourced from Pitcher </w:t>
      </w:r>
      <w:r>
        <w:rPr>
          <w:rFonts w:ascii="Cambria" w:eastAsia="Cambria" w:hAnsi="Cambria" w:cs="Cambria"/>
          <w:i/>
          <w:sz w:val="24"/>
          <w:szCs w:val="24"/>
        </w:rPr>
        <w:t>et al.</w:t>
      </w:r>
      <w:r>
        <w:rPr>
          <w:rFonts w:ascii="Cambria" w:eastAsia="Cambria" w:hAnsi="Cambria" w:cs="Cambria"/>
          <w:sz w:val="24"/>
          <w:szCs w:val="24"/>
        </w:rPr>
        <w:t xml:space="preserve"> (2005). Because Baker </w:t>
      </w:r>
      <w:r>
        <w:rPr>
          <w:rFonts w:ascii="Cambria" w:eastAsia="Cambria" w:hAnsi="Cambria" w:cs="Cambria"/>
          <w:i/>
          <w:sz w:val="24"/>
          <w:szCs w:val="24"/>
        </w:rPr>
        <w:t>et al</w:t>
      </w:r>
      <w:r>
        <w:rPr>
          <w:rFonts w:ascii="Cambria" w:eastAsia="Cambria" w:hAnsi="Cambria" w:cs="Cambria"/>
          <w:sz w:val="24"/>
          <w:szCs w:val="24"/>
        </w:rPr>
        <w:t>. (2020) published testes mass and body mass as separate measurements, we calculated residual testes mass under the same procedure as Pitcher</w:t>
      </w:r>
      <w:r>
        <w:rPr>
          <w:rFonts w:ascii="Cambria" w:eastAsia="Cambria" w:hAnsi="Cambria" w:cs="Cambria"/>
          <w:i/>
          <w:sz w:val="24"/>
          <w:szCs w:val="24"/>
        </w:rPr>
        <w:t xml:space="preserve"> et al.</w:t>
      </w:r>
      <w:r>
        <w:rPr>
          <w:rFonts w:ascii="Cambria" w:eastAsia="Cambria" w:hAnsi="Cambria" w:cs="Cambria"/>
          <w:sz w:val="24"/>
          <w:szCs w:val="24"/>
        </w:rPr>
        <w:t xml:space="preserve"> (2005), using the residuals from the regression of log testes mass on log body mass. </w:t>
      </w:r>
    </w:p>
    <w:p w14:paraId="08EA06BF" w14:textId="77777777" w:rsidR="00D4124E" w:rsidRDefault="00000000">
      <w:pPr>
        <w:pBdr>
          <w:top w:val="nil"/>
          <w:left w:val="nil"/>
          <w:bottom w:val="nil"/>
          <w:right w:val="nil"/>
          <w:between w:val="nil"/>
        </w:pBdr>
        <w:spacing w:after="0" w:line="360" w:lineRule="auto"/>
        <w:rPr>
          <w:rFonts w:ascii="Cambria" w:eastAsia="Cambria" w:hAnsi="Cambria" w:cs="Cambria"/>
          <w:sz w:val="24"/>
          <w:szCs w:val="24"/>
        </w:rPr>
      </w:pPr>
      <w:r>
        <w:rPr>
          <w:rFonts w:ascii="Cambria" w:eastAsia="Cambria" w:hAnsi="Cambria" w:cs="Cambria"/>
          <w:sz w:val="24"/>
          <w:szCs w:val="24"/>
        </w:rPr>
        <w:tab/>
      </w:r>
      <w:proofErr w:type="gramStart"/>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can be</w:t>
      </w:r>
      <w:proofErr w:type="gramEnd"/>
      <w:r>
        <w:rPr>
          <w:rFonts w:ascii="Cambria" w:eastAsia="Cambria" w:hAnsi="Cambria" w:cs="Cambria"/>
          <w:sz w:val="24"/>
          <w:szCs w:val="24"/>
        </w:rPr>
        <w:t xml:space="preserve"> calculated as the sex-specific variance in relativized mating success across individuals of a population (defined as the variance in the number of sexual partners per individual, divided by the squared mean of the number of sexual partners). We calculated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for 28 unique species, either directly from information presented in papers, or from data subsequently provided by authors. Given the scarcity of studies that calculate quantitative measures of sexual selection, we also estimated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for 51 monogamous species that recorded 0% extrapair paternity (EPP), indicating true genetic monogamy. Assuming that each individual was paired, and that operational sex-ratios are approximately even (as tends to be true for genetically monogamous species), this meant we could assign an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of zero for these 51 additional species. As a sensitivity analysis, we removed these species from our reliability assessment (see main Methods), which produced near-identical results (Table S1). </w:t>
      </w:r>
    </w:p>
    <w:p w14:paraId="15118D9A" w14:textId="2F731191" w:rsidR="00D4124E" w:rsidRDefault="00000000">
      <w:pPr>
        <w:spacing w:after="0" w:line="360" w:lineRule="auto"/>
      </w:pPr>
      <w:r>
        <w:rPr>
          <w:rFonts w:ascii="Cambria" w:eastAsia="Cambria" w:hAnsi="Cambria" w:cs="Cambria"/>
          <w:sz w:val="24"/>
          <w:szCs w:val="24"/>
        </w:rPr>
        <w:tab/>
        <w:t xml:space="preserve">Bateman gradients (also </w:t>
      </w:r>
      <w:r w:rsidR="00802C35">
        <w:rPr>
          <w:rFonts w:ascii="Cambria" w:eastAsia="Cambria" w:hAnsi="Cambria" w:cs="Cambria"/>
          <w:sz w:val="24"/>
          <w:szCs w:val="24"/>
        </w:rPr>
        <w:t xml:space="preserve">termed </w:t>
      </w:r>
      <w:r>
        <w:rPr>
          <w:rFonts w:ascii="Cambria" w:eastAsia="Cambria" w:hAnsi="Cambria" w:cs="Cambria"/>
          <w:sz w:val="24"/>
          <w:szCs w:val="24"/>
        </w:rPr>
        <w:t xml:space="preserve">sexual selection gradients) represent the slope of an ordinary least squares regression of reproductive success (number of offspring) on mating success (typically quantified as the number of mating partners) and therefore estimate the fitness benefit that can be obtained from additional matings. To compare between species, we converted Bateman gradients into standardised Pearson correlation coefficients. Lastly, because our sexual selection scores are bi-directional (scoring polyandry and polygyny equally), we took the recorded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and </w:t>
      </w:r>
      <w:r>
        <w:rPr>
          <w:rFonts w:ascii="Cambria" w:eastAsia="Cambria" w:hAnsi="Cambria" w:cs="Cambria"/>
          <w:color w:val="353740"/>
          <w:sz w:val="24"/>
          <w:szCs w:val="24"/>
          <w:highlight w:val="white"/>
        </w:rPr>
        <w:t>β</w:t>
      </w:r>
      <w:r>
        <w:rPr>
          <w:rFonts w:ascii="Cambria" w:eastAsia="Cambria" w:hAnsi="Cambria" w:cs="Cambria"/>
          <w:color w:val="353740"/>
          <w:sz w:val="24"/>
          <w:szCs w:val="24"/>
          <w:highlight w:val="white"/>
          <w:vertAlign w:val="subscript"/>
        </w:rPr>
        <w:t>SS</w:t>
      </w:r>
      <w:r>
        <w:rPr>
          <w:rFonts w:ascii="Cambria" w:eastAsia="Cambria" w:hAnsi="Cambria" w:cs="Cambria"/>
          <w:sz w:val="24"/>
          <w:szCs w:val="24"/>
        </w:rPr>
        <w:t xml:space="preserve"> from the sex with the highest value to generate a single measure per species. </w:t>
      </w:r>
    </w:p>
    <w:p w14:paraId="5D7219F8" w14:textId="77777777" w:rsidR="00D4124E" w:rsidRDefault="00000000">
      <w:pPr>
        <w:spacing w:before="240" w:line="360" w:lineRule="auto"/>
        <w:rPr>
          <w:rFonts w:ascii="Cambria" w:eastAsia="Cambria" w:hAnsi="Cambria" w:cs="Cambria"/>
          <w:b/>
          <w:sz w:val="24"/>
          <w:szCs w:val="24"/>
        </w:rPr>
      </w:pPr>
      <w:r>
        <w:rPr>
          <w:rFonts w:ascii="Cambria" w:eastAsia="Cambria" w:hAnsi="Cambria" w:cs="Cambria"/>
          <w:b/>
          <w:sz w:val="24"/>
          <w:szCs w:val="24"/>
        </w:rPr>
        <w:t>Spatial methods</w:t>
      </w:r>
    </w:p>
    <w:p w14:paraId="7D5B34CD" w14:textId="77777777" w:rsidR="00D4124E" w:rsidRDefault="00000000">
      <w:pPr>
        <w:pBdr>
          <w:top w:val="nil"/>
          <w:left w:val="nil"/>
          <w:bottom w:val="nil"/>
          <w:right w:val="nil"/>
          <w:between w:val="nil"/>
        </w:pBdr>
        <w:spacing w:after="0" w:line="360" w:lineRule="auto"/>
        <w:rPr>
          <w:rFonts w:ascii="Cambria" w:eastAsia="Cambria" w:hAnsi="Cambria" w:cs="Cambria"/>
          <w:color w:val="000000"/>
          <w:sz w:val="24"/>
          <w:szCs w:val="24"/>
        </w:rPr>
      </w:pPr>
      <w:r>
        <w:rPr>
          <w:rFonts w:ascii="Cambria" w:eastAsia="Cambria" w:hAnsi="Cambria" w:cs="Cambria"/>
          <w:color w:val="353740"/>
          <w:sz w:val="24"/>
          <w:szCs w:val="24"/>
        </w:rPr>
        <w:t>To understand how sexual selection varies globally, we incorporated spatial information using expert-drawn geographical range maps provided by Birdlife International (2021)</w:t>
      </w:r>
      <w:r>
        <w:rPr>
          <w:rFonts w:ascii="Cambria" w:eastAsia="Cambria" w:hAnsi="Cambria" w:cs="Cambria"/>
          <w:color w:val="000000"/>
          <w:sz w:val="24"/>
          <w:szCs w:val="24"/>
        </w:rPr>
        <w:t xml:space="preserve">. </w:t>
      </w:r>
      <w:r>
        <w:rPr>
          <w:rFonts w:ascii="Cambria" w:eastAsia="Cambria" w:hAnsi="Cambria" w:cs="Cambria"/>
          <w:color w:val="353740"/>
          <w:sz w:val="24"/>
          <w:szCs w:val="24"/>
        </w:rPr>
        <w:t xml:space="preserve">To align species with BirdTree (Jetz </w:t>
      </w:r>
      <w:r>
        <w:rPr>
          <w:rFonts w:ascii="Cambria" w:eastAsia="Cambria" w:hAnsi="Cambria" w:cs="Cambria"/>
          <w:i/>
          <w:color w:val="353740"/>
          <w:sz w:val="24"/>
          <w:szCs w:val="24"/>
        </w:rPr>
        <w:t>et al.</w:t>
      </w:r>
      <w:r>
        <w:rPr>
          <w:rFonts w:ascii="Cambria" w:eastAsia="Cambria" w:hAnsi="Cambria" w:cs="Cambria"/>
          <w:color w:val="353740"/>
          <w:sz w:val="24"/>
          <w:szCs w:val="24"/>
        </w:rPr>
        <w:t xml:space="preserve"> 2012), we used the BirdLife-to-BirdTree taxonomic crosswalk provided in AVONET (Tobias </w:t>
      </w:r>
      <w:r>
        <w:rPr>
          <w:rFonts w:ascii="Cambria" w:eastAsia="Cambria" w:hAnsi="Cambria" w:cs="Cambria"/>
          <w:i/>
          <w:color w:val="353740"/>
          <w:sz w:val="24"/>
          <w:szCs w:val="24"/>
        </w:rPr>
        <w:t>et al.</w:t>
      </w:r>
      <w:r>
        <w:rPr>
          <w:rFonts w:ascii="Cambria" w:eastAsia="Cambria" w:hAnsi="Cambria" w:cs="Cambria"/>
          <w:color w:val="353740"/>
          <w:sz w:val="24"/>
          <w:szCs w:val="24"/>
        </w:rPr>
        <w:t xml:space="preserve"> 2022). In most cases, BirdTree species had a single equivalent BirdLife species name </w:t>
      </w:r>
      <w:r>
        <w:rPr>
          <w:rFonts w:ascii="Cambria" w:eastAsia="Cambria" w:hAnsi="Cambria" w:cs="Cambria"/>
          <w:color w:val="000000"/>
          <w:sz w:val="24"/>
          <w:szCs w:val="24"/>
        </w:rPr>
        <w:t xml:space="preserve">(one-to-one </w:t>
      </w:r>
      <w:r>
        <w:rPr>
          <w:rFonts w:ascii="Cambria" w:eastAsia="Cambria" w:hAnsi="Cambria" w:cs="Cambria"/>
          <w:color w:val="000000"/>
          <w:sz w:val="24"/>
          <w:szCs w:val="24"/>
        </w:rPr>
        <w:lastRenderedPageBreak/>
        <w:t>matches;</w:t>
      </w:r>
      <w:r>
        <w:rPr>
          <w:rFonts w:ascii="Cambria" w:eastAsia="Cambria" w:hAnsi="Cambria" w:cs="Cambria"/>
          <w:i/>
          <w:color w:val="000000"/>
          <w:sz w:val="24"/>
          <w:szCs w:val="24"/>
        </w:rPr>
        <w:t xml:space="preserve"> n</w:t>
      </w:r>
      <w:r>
        <w:rPr>
          <w:rFonts w:ascii="Cambria" w:eastAsia="Cambria" w:hAnsi="Cambria" w:cs="Cambria"/>
          <w:color w:val="000000"/>
          <w:sz w:val="24"/>
          <w:szCs w:val="24"/>
        </w:rPr>
        <w:t xml:space="preserve"> = 8949), which allowed us to use the corresponding geographical range polygon for the same species. </w:t>
      </w:r>
    </w:p>
    <w:p w14:paraId="2F05AA63" w14:textId="77777777" w:rsidR="00D4124E" w:rsidRDefault="00000000">
      <w:pPr>
        <w:pBdr>
          <w:top w:val="nil"/>
          <w:left w:val="nil"/>
          <w:bottom w:val="nil"/>
          <w:right w:val="nil"/>
          <w:between w:val="nil"/>
        </w:pBdr>
        <w:spacing w:after="0" w:line="360" w:lineRule="auto"/>
        <w:ind w:firstLine="720"/>
        <w:rPr>
          <w:rFonts w:ascii="Cambria" w:eastAsia="Cambria" w:hAnsi="Cambria" w:cs="Cambria"/>
          <w:color w:val="000000"/>
          <w:sz w:val="24"/>
          <w:szCs w:val="24"/>
        </w:rPr>
      </w:pPr>
      <w:r>
        <w:rPr>
          <w:rFonts w:ascii="Cambria" w:eastAsia="Cambria" w:hAnsi="Cambria" w:cs="Cambria"/>
          <w:color w:val="000000"/>
          <w:sz w:val="24"/>
          <w:szCs w:val="24"/>
        </w:rPr>
        <w:t>The majority of taxonomic differences between BirdTree and BirdLife were splits, which resulted in a single BirdTree species corresponding with multiple BirdLife species (BirdLife splits;</w:t>
      </w:r>
      <w:r>
        <w:rPr>
          <w:rFonts w:ascii="Cambria" w:eastAsia="Cambria" w:hAnsi="Cambria" w:cs="Cambria"/>
          <w:i/>
          <w:color w:val="000000"/>
          <w:sz w:val="24"/>
          <w:szCs w:val="24"/>
        </w:rPr>
        <w:t xml:space="preserve"> n</w:t>
      </w:r>
      <w:r>
        <w:rPr>
          <w:rFonts w:ascii="Cambria" w:eastAsia="Cambria" w:hAnsi="Cambria" w:cs="Cambria"/>
          <w:color w:val="000000"/>
          <w:sz w:val="24"/>
          <w:szCs w:val="24"/>
        </w:rPr>
        <w:t xml:space="preserve"> = 1929). In these cases, </w:t>
      </w:r>
      <w:r>
        <w:rPr>
          <w:rFonts w:ascii="Cambria" w:eastAsia="Cambria" w:hAnsi="Cambria" w:cs="Cambria"/>
          <w:color w:val="353740"/>
          <w:sz w:val="24"/>
          <w:szCs w:val="24"/>
        </w:rPr>
        <w:t xml:space="preserve">we </w:t>
      </w:r>
      <w:r>
        <w:rPr>
          <w:rFonts w:ascii="Cambria" w:eastAsia="Cambria" w:hAnsi="Cambria" w:cs="Cambria"/>
          <w:color w:val="000000"/>
          <w:sz w:val="24"/>
          <w:szCs w:val="24"/>
        </w:rPr>
        <w:t xml:space="preserve">combined </w:t>
      </w:r>
      <w:r>
        <w:rPr>
          <w:rFonts w:ascii="Cambria" w:eastAsia="Cambria" w:hAnsi="Cambria" w:cs="Cambria"/>
          <w:color w:val="353740"/>
          <w:sz w:val="24"/>
          <w:szCs w:val="24"/>
        </w:rPr>
        <w:t xml:space="preserve">multiple BirdLife daughter species </w:t>
      </w:r>
      <w:r>
        <w:rPr>
          <w:rFonts w:ascii="Cambria" w:eastAsia="Cambria" w:hAnsi="Cambria" w:cs="Cambria"/>
          <w:color w:val="000000"/>
          <w:sz w:val="24"/>
          <w:szCs w:val="24"/>
        </w:rPr>
        <w:t xml:space="preserve">into a single range polygon for their corresponding parent BirdTree species using the </w:t>
      </w:r>
      <w:r>
        <w:rPr>
          <w:rFonts w:ascii="Cambria" w:eastAsia="Cambria" w:hAnsi="Cambria" w:cs="Cambria"/>
          <w:i/>
          <w:color w:val="000000"/>
          <w:sz w:val="24"/>
          <w:szCs w:val="24"/>
        </w:rPr>
        <w:t>sf</w:t>
      </w:r>
      <w:r>
        <w:rPr>
          <w:rFonts w:ascii="Cambria" w:eastAsia="Cambria" w:hAnsi="Cambria" w:cs="Cambria"/>
          <w:color w:val="000000"/>
          <w:sz w:val="24"/>
          <w:szCs w:val="24"/>
        </w:rPr>
        <w:t xml:space="preserve"> package </w:t>
      </w:r>
      <w:r>
        <w:rPr>
          <w:rFonts w:ascii="Cambria" w:eastAsia="Cambria" w:hAnsi="Cambria" w:cs="Cambria"/>
          <w:color w:val="353740"/>
          <w:sz w:val="24"/>
          <w:szCs w:val="24"/>
        </w:rPr>
        <w:t>(</w:t>
      </w:r>
      <w:proofErr w:type="spellStart"/>
      <w:r>
        <w:rPr>
          <w:rFonts w:ascii="Cambria" w:eastAsia="Cambria" w:hAnsi="Cambria" w:cs="Cambria"/>
          <w:color w:val="353740"/>
          <w:sz w:val="24"/>
          <w:szCs w:val="24"/>
        </w:rPr>
        <w:t>Pebesma</w:t>
      </w:r>
      <w:proofErr w:type="spellEnd"/>
      <w:r>
        <w:rPr>
          <w:rFonts w:ascii="Cambria" w:eastAsia="Cambria" w:hAnsi="Cambria" w:cs="Cambria"/>
          <w:color w:val="353740"/>
          <w:sz w:val="24"/>
          <w:szCs w:val="24"/>
        </w:rPr>
        <w:t xml:space="preserve"> 2018)</w:t>
      </w:r>
      <w:r>
        <w:rPr>
          <w:rFonts w:ascii="Cambria" w:eastAsia="Cambria" w:hAnsi="Cambria" w:cs="Cambria"/>
          <w:color w:val="000000"/>
          <w:sz w:val="24"/>
          <w:szCs w:val="24"/>
        </w:rPr>
        <w:t xml:space="preserve">. </w:t>
      </w:r>
      <w:r>
        <w:rPr>
          <w:rFonts w:ascii="Cambria" w:eastAsia="Cambria" w:hAnsi="Cambria" w:cs="Cambria"/>
          <w:color w:val="353740"/>
          <w:sz w:val="24"/>
          <w:szCs w:val="24"/>
        </w:rPr>
        <w:t xml:space="preserve">In the small number of cases where multiple BirdTree species correspond with one BirdLife species </w:t>
      </w:r>
      <w:r>
        <w:rPr>
          <w:rFonts w:ascii="Cambria" w:eastAsia="Cambria" w:hAnsi="Cambria" w:cs="Cambria"/>
          <w:color w:val="000000"/>
          <w:sz w:val="24"/>
          <w:szCs w:val="24"/>
        </w:rPr>
        <w:t xml:space="preserve">(BirdLife lumps; </w:t>
      </w:r>
      <w:r>
        <w:rPr>
          <w:rFonts w:ascii="Cambria" w:eastAsia="Cambria" w:hAnsi="Cambria" w:cs="Cambria"/>
          <w:i/>
          <w:color w:val="000000"/>
          <w:sz w:val="24"/>
          <w:szCs w:val="24"/>
        </w:rPr>
        <w:t xml:space="preserve">n </w:t>
      </w:r>
      <w:r>
        <w:rPr>
          <w:rFonts w:ascii="Cambria" w:eastAsia="Cambria" w:hAnsi="Cambria" w:cs="Cambria"/>
          <w:color w:val="000000"/>
          <w:sz w:val="24"/>
          <w:szCs w:val="24"/>
        </w:rPr>
        <w:t xml:space="preserve">= 198), </w:t>
      </w:r>
      <w:r>
        <w:rPr>
          <w:rFonts w:ascii="Cambria" w:eastAsia="Cambria" w:hAnsi="Cambria" w:cs="Cambria"/>
          <w:color w:val="353740"/>
          <w:sz w:val="24"/>
          <w:szCs w:val="24"/>
        </w:rPr>
        <w:t xml:space="preserve">we used </w:t>
      </w:r>
      <w:r>
        <w:rPr>
          <w:rFonts w:ascii="Cambria" w:eastAsia="Cambria" w:hAnsi="Cambria" w:cs="Cambria"/>
          <w:color w:val="000000"/>
          <w:sz w:val="24"/>
          <w:szCs w:val="24"/>
        </w:rPr>
        <w:t xml:space="preserve">BirdLife </w:t>
      </w:r>
      <w:r>
        <w:rPr>
          <w:rFonts w:ascii="Cambria" w:eastAsia="Cambria" w:hAnsi="Cambria" w:cs="Cambria"/>
          <w:color w:val="353740"/>
          <w:sz w:val="24"/>
          <w:szCs w:val="24"/>
        </w:rPr>
        <w:t xml:space="preserve">version </w:t>
      </w:r>
      <w:r>
        <w:rPr>
          <w:rFonts w:ascii="Cambria" w:eastAsia="Cambria" w:hAnsi="Cambria" w:cs="Cambria"/>
          <w:color w:val="000000"/>
          <w:sz w:val="24"/>
          <w:szCs w:val="24"/>
        </w:rPr>
        <w:t xml:space="preserve">2.0 maps (BirdLife International 2012), created prior to any taxonomic changes. In this resource, we used maps for the corresponding BirdLife synonyms for each BirdTree species. </w:t>
      </w:r>
    </w:p>
    <w:p w14:paraId="07667302" w14:textId="77777777" w:rsidR="00D4124E" w:rsidRDefault="00000000">
      <w:pPr>
        <w:pBdr>
          <w:top w:val="nil"/>
          <w:left w:val="nil"/>
          <w:bottom w:val="nil"/>
          <w:right w:val="nil"/>
          <w:between w:val="nil"/>
        </w:pBdr>
        <w:spacing w:after="0" w:line="360" w:lineRule="auto"/>
        <w:ind w:firstLine="720"/>
        <w:rPr>
          <w:rFonts w:ascii="Cambria" w:eastAsia="Cambria" w:hAnsi="Cambria" w:cs="Cambria"/>
          <w:color w:val="000000"/>
          <w:sz w:val="24"/>
          <w:szCs w:val="24"/>
        </w:rPr>
      </w:pPr>
      <w:r>
        <w:rPr>
          <w:rFonts w:ascii="Cambria" w:eastAsia="Cambria" w:hAnsi="Cambria" w:cs="Cambria"/>
          <w:color w:val="000000"/>
          <w:sz w:val="24"/>
          <w:szCs w:val="24"/>
        </w:rPr>
        <w:t>For a small number of BirdLife lumps (</w:t>
      </w:r>
      <w:r>
        <w:rPr>
          <w:rFonts w:ascii="Cambria" w:eastAsia="Cambria" w:hAnsi="Cambria" w:cs="Cambria"/>
          <w:i/>
          <w:color w:val="000000"/>
          <w:sz w:val="24"/>
          <w:szCs w:val="24"/>
        </w:rPr>
        <w:t>n</w:t>
      </w:r>
      <w:r>
        <w:rPr>
          <w:rFonts w:ascii="Cambria" w:eastAsia="Cambria" w:hAnsi="Cambria" w:cs="Cambria"/>
          <w:color w:val="000000"/>
          <w:sz w:val="24"/>
          <w:szCs w:val="24"/>
        </w:rPr>
        <w:t xml:space="preserve"> = 64), no previous geographical range polygon existed as a version 2.0 map. In addition, some taxonomically stable species lacked geographical data (</w:t>
      </w:r>
      <w:r>
        <w:rPr>
          <w:rFonts w:ascii="Cambria" w:eastAsia="Cambria" w:hAnsi="Cambria" w:cs="Cambria"/>
          <w:i/>
          <w:color w:val="000000"/>
          <w:sz w:val="24"/>
          <w:szCs w:val="24"/>
        </w:rPr>
        <w:t>n</w:t>
      </w:r>
      <w:r>
        <w:rPr>
          <w:rFonts w:ascii="Cambria" w:eastAsia="Cambria" w:hAnsi="Cambria" w:cs="Cambria"/>
          <w:color w:val="000000"/>
          <w:sz w:val="24"/>
          <w:szCs w:val="24"/>
        </w:rPr>
        <w:t xml:space="preserve"> = 57), either because no part of their known range is coded as resident or breeding range, or because the map is not openly released by BirdLife International (typically because the species is sensitive to hunting or trapping for the cage-bird trade). For mapping purposes, we restricted range polygons to areas where the species is coded by BirdLife International as extant and either native or reintroduced. Finally, because latitude and environmental conditions in the non-breeding range are largely irrelevant to levels of sexual selection, we limited our selection to the breeding and resident ranges of each study species. </w:t>
      </w:r>
    </w:p>
    <w:p w14:paraId="0056BB71" w14:textId="070BBB3D" w:rsidR="00D4124E" w:rsidRDefault="00000000">
      <w:pPr>
        <w:pBdr>
          <w:top w:val="nil"/>
          <w:left w:val="nil"/>
          <w:bottom w:val="nil"/>
          <w:right w:val="nil"/>
          <w:between w:val="nil"/>
        </w:pBdr>
        <w:spacing w:after="0" w:line="360" w:lineRule="auto"/>
        <w:ind w:firstLine="720"/>
        <w:rPr>
          <w:rFonts w:ascii="Cambria" w:eastAsia="Cambria" w:hAnsi="Cambria" w:cs="Cambria"/>
          <w:color w:val="353740"/>
          <w:sz w:val="24"/>
          <w:szCs w:val="24"/>
        </w:rPr>
      </w:pPr>
      <w:bookmarkStart w:id="2" w:name="_1fob9te" w:colFirst="0" w:colLast="0"/>
      <w:bookmarkEnd w:id="2"/>
      <w:r>
        <w:rPr>
          <w:rFonts w:ascii="Cambria" w:eastAsia="Cambria" w:hAnsi="Cambria" w:cs="Cambria"/>
          <w:color w:val="353740"/>
          <w:sz w:val="24"/>
          <w:szCs w:val="24"/>
        </w:rPr>
        <w:t xml:space="preserve">To extract species-specific data, we used a Behrmann equal-area projection for geographical range polygons. To calculate a single value of latitude for each species, we determined the geometric centroid of each range polygon using the </w:t>
      </w:r>
      <w:proofErr w:type="spellStart"/>
      <w:r>
        <w:rPr>
          <w:rFonts w:ascii="Cambria" w:eastAsia="Cambria" w:hAnsi="Cambria" w:cs="Cambria"/>
          <w:i/>
          <w:color w:val="353740"/>
          <w:sz w:val="24"/>
          <w:szCs w:val="24"/>
        </w:rPr>
        <w:t>PBSmapping</w:t>
      </w:r>
      <w:proofErr w:type="spellEnd"/>
      <w:r>
        <w:rPr>
          <w:rFonts w:ascii="Cambria" w:eastAsia="Cambria" w:hAnsi="Cambria" w:cs="Cambria"/>
          <w:color w:val="353740"/>
          <w:sz w:val="24"/>
          <w:szCs w:val="24"/>
        </w:rPr>
        <w:t xml:space="preserve"> package (</w:t>
      </w:r>
      <w:proofErr w:type="spellStart"/>
      <w:r>
        <w:rPr>
          <w:rFonts w:ascii="Cambria" w:eastAsia="Cambria" w:hAnsi="Cambria" w:cs="Cambria"/>
          <w:color w:val="353740"/>
          <w:sz w:val="24"/>
          <w:szCs w:val="24"/>
        </w:rPr>
        <w:t>Schnute</w:t>
      </w:r>
      <w:proofErr w:type="spellEnd"/>
      <w:r>
        <w:rPr>
          <w:rFonts w:ascii="Cambria" w:eastAsia="Cambria" w:hAnsi="Cambria" w:cs="Cambria"/>
          <w:color w:val="353740"/>
          <w:sz w:val="24"/>
          <w:szCs w:val="24"/>
        </w:rPr>
        <w:t xml:space="preserve"> </w:t>
      </w:r>
      <w:r w:rsidRPr="002553D0">
        <w:rPr>
          <w:rFonts w:ascii="Cambria" w:eastAsia="Cambria" w:hAnsi="Cambria" w:cs="Cambria"/>
          <w:i/>
          <w:iCs/>
          <w:color w:val="353740"/>
          <w:sz w:val="24"/>
          <w:szCs w:val="24"/>
        </w:rPr>
        <w:t>et al</w:t>
      </w:r>
      <w:r w:rsidR="002553D0">
        <w:rPr>
          <w:rFonts w:ascii="Cambria" w:eastAsia="Cambria" w:hAnsi="Cambria" w:cs="Cambria"/>
          <w:color w:val="353740"/>
          <w:sz w:val="24"/>
          <w:szCs w:val="24"/>
        </w:rPr>
        <w:t>.</w:t>
      </w:r>
      <w:r>
        <w:rPr>
          <w:rFonts w:ascii="Cambria" w:eastAsia="Cambria" w:hAnsi="Cambria" w:cs="Cambria"/>
          <w:color w:val="353740"/>
          <w:sz w:val="24"/>
          <w:szCs w:val="24"/>
        </w:rPr>
        <w:t xml:space="preserve"> 2017). This approach was preferred over midpoint latitude metrics because the centroid considers the overall shape of a species’ distribution, particularly important for wide-ranging species. Assigning a single value of latitude to each species greatly over-simplifies their distribution, and can be misleading, particularly in species with wide ranges spanning the equator. Nonetheless, midpoint or centroid estimates have the advantage of simplicity, removing the statistical problem of repeated measures per taxon, and usually provide a reasonable approximation of the latitude at which most individuals in the global population breed. For these reasons, midpoints or centroids are often used in phylogenetic comparative analyses or </w:t>
      </w:r>
      <w:r>
        <w:rPr>
          <w:rFonts w:ascii="Cambria" w:eastAsia="Cambria" w:hAnsi="Cambria" w:cs="Cambria"/>
          <w:color w:val="353740"/>
          <w:sz w:val="24"/>
          <w:szCs w:val="24"/>
        </w:rPr>
        <w:lastRenderedPageBreak/>
        <w:t xml:space="preserve">macroevolutionary models testing for latitudinal effects (Weir &amp; Schluter 2007; Sheard </w:t>
      </w:r>
      <w:r>
        <w:rPr>
          <w:rFonts w:ascii="Cambria" w:eastAsia="Cambria" w:hAnsi="Cambria" w:cs="Cambria"/>
          <w:i/>
          <w:color w:val="353740"/>
          <w:sz w:val="24"/>
          <w:szCs w:val="24"/>
        </w:rPr>
        <w:t>et al.</w:t>
      </w:r>
      <w:r>
        <w:rPr>
          <w:rFonts w:ascii="Cambria" w:eastAsia="Cambria" w:hAnsi="Cambria" w:cs="Cambria"/>
          <w:color w:val="353740"/>
          <w:sz w:val="24"/>
          <w:szCs w:val="24"/>
        </w:rPr>
        <w:t xml:space="preserve"> 2020; Weeks </w:t>
      </w:r>
      <w:r>
        <w:rPr>
          <w:rFonts w:ascii="Cambria" w:eastAsia="Cambria" w:hAnsi="Cambria" w:cs="Cambria"/>
          <w:i/>
          <w:color w:val="353740"/>
          <w:sz w:val="24"/>
          <w:szCs w:val="24"/>
        </w:rPr>
        <w:t>et al.</w:t>
      </w:r>
      <w:r>
        <w:rPr>
          <w:rFonts w:ascii="Cambria" w:eastAsia="Cambria" w:hAnsi="Cambria" w:cs="Cambria"/>
          <w:color w:val="353740"/>
          <w:sz w:val="24"/>
          <w:szCs w:val="24"/>
        </w:rPr>
        <w:t xml:space="preserve"> 2022). </w:t>
      </w:r>
    </w:p>
    <w:p w14:paraId="1A619BDF" w14:textId="77777777" w:rsidR="00D4124E" w:rsidRDefault="00000000">
      <w:pPr>
        <w:pBdr>
          <w:top w:val="nil"/>
          <w:left w:val="nil"/>
          <w:bottom w:val="nil"/>
          <w:right w:val="nil"/>
          <w:between w:val="nil"/>
        </w:pBdr>
        <w:spacing w:after="0" w:line="360" w:lineRule="auto"/>
        <w:ind w:firstLine="720"/>
        <w:rPr>
          <w:rFonts w:ascii="Cambria" w:eastAsia="Cambria" w:hAnsi="Cambria" w:cs="Cambria"/>
          <w:color w:val="353740"/>
          <w:sz w:val="24"/>
          <w:szCs w:val="24"/>
        </w:rPr>
      </w:pPr>
      <w:r>
        <w:rPr>
          <w:rFonts w:ascii="Cambria" w:eastAsia="Cambria" w:hAnsi="Cambria" w:cs="Cambria"/>
          <w:color w:val="353740"/>
          <w:sz w:val="24"/>
          <w:szCs w:val="24"/>
        </w:rPr>
        <w:t>To visualise global patterns of sexual selection, we first created a unified map by combining species ranges into a single raster by overlapping the range with a grid of cells at 5-km resolution. To calculate average values of sexual selection per cell, we summed the sexual selection scores of all species with geographical ranges overlapping more than 50% of that cell, then divided the total by the corresponding species richness of the cell. This produced a single raster with cell values representing average sexual selection for the species present. We repeated this process using data certainty scores to generate a map of average data certainty for all birds and for each ecological partition listed in Table S2.</w:t>
      </w:r>
    </w:p>
    <w:p w14:paraId="2DA567DF" w14:textId="77777777" w:rsidR="00D4124E" w:rsidRDefault="00000000">
      <w:pPr>
        <w:spacing w:before="240" w:line="360" w:lineRule="auto"/>
        <w:rPr>
          <w:rFonts w:ascii="Cambria" w:eastAsia="Cambria" w:hAnsi="Cambria" w:cs="Cambria"/>
          <w:b/>
          <w:sz w:val="24"/>
          <w:szCs w:val="24"/>
        </w:rPr>
      </w:pPr>
      <w:r>
        <w:rPr>
          <w:rFonts w:ascii="Cambria" w:eastAsia="Cambria" w:hAnsi="Cambria" w:cs="Cambria"/>
          <w:b/>
          <w:sz w:val="24"/>
          <w:szCs w:val="24"/>
        </w:rPr>
        <w:t xml:space="preserve">Bayesian ordinal models   </w:t>
      </w:r>
    </w:p>
    <w:p w14:paraId="3D8E9E26" w14:textId="77777777" w:rsidR="00D4124E" w:rsidRDefault="00000000">
      <w:pPr>
        <w:pBdr>
          <w:top w:val="nil"/>
          <w:left w:val="nil"/>
          <w:bottom w:val="nil"/>
          <w:right w:val="nil"/>
          <w:between w:val="nil"/>
        </w:pBdr>
        <w:spacing w:after="0" w:line="360" w:lineRule="auto"/>
        <w:rPr>
          <w:rFonts w:ascii="Cambria" w:eastAsia="Cambria" w:hAnsi="Cambria" w:cs="Cambria"/>
          <w:color w:val="353740"/>
          <w:sz w:val="24"/>
          <w:szCs w:val="24"/>
        </w:rPr>
      </w:pPr>
      <w:r>
        <w:rPr>
          <w:rFonts w:ascii="Cambria" w:eastAsia="Cambria" w:hAnsi="Cambria" w:cs="Cambria"/>
          <w:color w:val="353740"/>
          <w:sz w:val="24"/>
          <w:szCs w:val="24"/>
        </w:rPr>
        <w:t>Bayesian mixed-effect models were constructed using the brms package in R (</w:t>
      </w:r>
      <w:proofErr w:type="spellStart"/>
      <w:r>
        <w:rPr>
          <w:rFonts w:ascii="Cambria" w:eastAsia="Cambria" w:hAnsi="Cambria" w:cs="Cambria"/>
          <w:color w:val="353740"/>
          <w:sz w:val="24"/>
          <w:szCs w:val="24"/>
        </w:rPr>
        <w:t>Bürkner</w:t>
      </w:r>
      <w:proofErr w:type="spellEnd"/>
      <w:r>
        <w:rPr>
          <w:rFonts w:ascii="Cambria" w:eastAsia="Cambria" w:hAnsi="Cambria" w:cs="Cambria"/>
          <w:color w:val="353740"/>
          <w:sz w:val="24"/>
          <w:szCs w:val="24"/>
        </w:rPr>
        <w:t xml:space="preserve"> 2017). Because our sexual selection scores are rankings, we used ordinal regression models with a cumulative family distribution. This model estimates the cumulative odds of being at or below each category level, providing insights into how the independent variables influence the likelihood of moving up or down the ordinal scale. Coefficient estimates and confidence intervals can be interpreted similarly to other standard generalised-linear models. Posterior predictive checks (Fig. S2) confirmed that a cumulative family distribution fits the data extremely well. </w:t>
      </w:r>
    </w:p>
    <w:p w14:paraId="2355F671" w14:textId="77777777" w:rsidR="00D4124E" w:rsidRDefault="00000000">
      <w:pPr>
        <w:pBdr>
          <w:top w:val="nil"/>
          <w:left w:val="nil"/>
          <w:bottom w:val="nil"/>
          <w:right w:val="nil"/>
          <w:between w:val="nil"/>
        </w:pBdr>
        <w:spacing w:after="0" w:line="360" w:lineRule="auto"/>
        <w:ind w:firstLine="720"/>
        <w:rPr>
          <w:rFonts w:ascii="Cambria" w:eastAsia="Cambria" w:hAnsi="Cambria" w:cs="Cambria"/>
          <w:color w:val="353740"/>
          <w:sz w:val="24"/>
          <w:szCs w:val="24"/>
        </w:rPr>
      </w:pPr>
      <w:r>
        <w:rPr>
          <w:rFonts w:ascii="Cambria" w:eastAsia="Cambria" w:hAnsi="Cambria" w:cs="Cambria"/>
          <w:color w:val="353740"/>
          <w:sz w:val="24"/>
          <w:szCs w:val="24"/>
        </w:rPr>
        <w:t>To first establish if there were latitudinal gradients in sexual selection, we used univariate models with sexual selection score as the response and absolute latitude as the predictor. We chose not to apply any additional transformations to latitude because models fit generally well, and this allowed for the best alignment with maps of sexual selection. We first ran a single model predicting sexual selection strength for all species (</w:t>
      </w:r>
      <w:r>
        <w:rPr>
          <w:rFonts w:ascii="Cambria" w:eastAsia="Cambria" w:hAnsi="Cambria" w:cs="Cambria"/>
          <w:i/>
          <w:color w:val="353740"/>
          <w:sz w:val="24"/>
          <w:szCs w:val="24"/>
        </w:rPr>
        <w:t xml:space="preserve">n </w:t>
      </w:r>
      <w:r>
        <w:rPr>
          <w:rFonts w:ascii="Cambria" w:eastAsia="Cambria" w:hAnsi="Cambria" w:cs="Cambria"/>
          <w:color w:val="353740"/>
          <w:sz w:val="24"/>
          <w:szCs w:val="24"/>
        </w:rPr>
        <w:t xml:space="preserve"> = 9836), which showed a strong positive gradient in sexual selection (Table S2). Given the strong positive effect of latitude on sexual selection across species, we ran subsequent univariate models to determine if the overall pattern was true for different ecological groups, using the same response and predictor for different data partitions. We then repeated each model using a high certainty dataset (certainty score 3 – 4), which produced similar results. To reduce spatial autocorrelation, we performed a sensitivity analysis by dichotomizing latitude as either tropical (centroid latitude within </w:t>
      </w:r>
      <w:r>
        <w:rPr>
          <w:rFonts w:ascii="Cambria" w:eastAsia="Cambria" w:hAnsi="Cambria" w:cs="Cambria"/>
          <w:color w:val="353740"/>
          <w:sz w:val="24"/>
          <w:szCs w:val="24"/>
        </w:rPr>
        <w:lastRenderedPageBreak/>
        <w:t>the Tropics of Capricorn and Cancer) or non-tropical. We then used our binary latitudinal predictor to repeat the set of models outlined in Table S2, which produced similar results (Table S3).</w:t>
      </w:r>
    </w:p>
    <w:p w14:paraId="33DC1056" w14:textId="77777777" w:rsidR="00D4124E" w:rsidRDefault="00000000">
      <w:pPr>
        <w:pBdr>
          <w:top w:val="nil"/>
          <w:left w:val="nil"/>
          <w:bottom w:val="nil"/>
          <w:right w:val="nil"/>
          <w:between w:val="nil"/>
        </w:pBdr>
        <w:spacing w:after="0" w:line="360" w:lineRule="auto"/>
        <w:ind w:firstLine="720"/>
        <w:rPr>
          <w:rFonts w:ascii="Cambria" w:eastAsia="Cambria" w:hAnsi="Cambria" w:cs="Cambria"/>
          <w:color w:val="353740"/>
          <w:sz w:val="24"/>
          <w:szCs w:val="24"/>
        </w:rPr>
      </w:pPr>
      <w:r>
        <w:rPr>
          <w:rFonts w:ascii="Cambria" w:eastAsia="Cambria" w:hAnsi="Cambria" w:cs="Cambria"/>
          <w:color w:val="353740"/>
          <w:sz w:val="24"/>
          <w:szCs w:val="24"/>
        </w:rPr>
        <w:t xml:space="preserve">For univariate and multivariate trait models, designed to identify the evolutionary determinants of sexual selection strength, we included a phylogenetic covariance matrix as a random effect, using the Jetz </w:t>
      </w:r>
      <w:r>
        <w:rPr>
          <w:rFonts w:ascii="Cambria" w:eastAsia="Cambria" w:hAnsi="Cambria" w:cs="Cambria"/>
          <w:i/>
          <w:color w:val="353740"/>
          <w:sz w:val="24"/>
          <w:szCs w:val="24"/>
        </w:rPr>
        <w:t>et al.</w:t>
      </w:r>
      <w:r>
        <w:rPr>
          <w:rFonts w:ascii="Cambria" w:eastAsia="Cambria" w:hAnsi="Cambria" w:cs="Cambria"/>
          <w:color w:val="353740"/>
          <w:sz w:val="24"/>
          <w:szCs w:val="24"/>
        </w:rPr>
        <w:t xml:space="preserve"> (2012) tree topology grafted to the Prum </w:t>
      </w:r>
      <w:r>
        <w:rPr>
          <w:rFonts w:ascii="Cambria" w:eastAsia="Cambria" w:hAnsi="Cambria" w:cs="Cambria"/>
          <w:i/>
          <w:color w:val="353740"/>
          <w:sz w:val="24"/>
          <w:szCs w:val="24"/>
        </w:rPr>
        <w:t>et al</w:t>
      </w:r>
      <w:r>
        <w:rPr>
          <w:rFonts w:ascii="Cambria" w:eastAsia="Cambria" w:hAnsi="Cambria" w:cs="Cambria"/>
          <w:color w:val="353740"/>
          <w:sz w:val="24"/>
          <w:szCs w:val="24"/>
        </w:rPr>
        <w:t>. (2015) genomic backbone. Temperature seasonality – the only continuous variable – was log-transformed to approximate normality and standardised to two standard deviations to facilitate comparison with categorical predictors (Gelman 2008). All categorical predictors were centred to reduce collinearity with interaction terms, and to set the reference level for each trait to the global average (</w:t>
      </w:r>
      <w:proofErr w:type="spellStart"/>
      <w:r>
        <w:rPr>
          <w:rFonts w:ascii="Cambria" w:eastAsia="Cambria" w:hAnsi="Cambria" w:cs="Cambria"/>
          <w:color w:val="353740"/>
          <w:sz w:val="24"/>
          <w:szCs w:val="24"/>
        </w:rPr>
        <w:t>Schielzeth</w:t>
      </w:r>
      <w:proofErr w:type="spellEnd"/>
      <w:r>
        <w:rPr>
          <w:rFonts w:ascii="Cambria" w:eastAsia="Cambria" w:hAnsi="Cambria" w:cs="Cambria"/>
          <w:color w:val="353740"/>
          <w:sz w:val="24"/>
          <w:szCs w:val="24"/>
        </w:rPr>
        <w:t xml:space="preserve"> 2010). The variance inflation factors (VIF) of all model terms were below three, suggesting that collinearity between predictors does not affect model interpretation (Table S3). To further address issues of collinearity, multivariate models used additional QR decomposition (whereby a matrix is expressed as the product of two separate matrices, Q and R). This approach helps recover accurate coefficient estimates in the presence of correlated traits (</w:t>
      </w:r>
      <w:proofErr w:type="spellStart"/>
      <w:r>
        <w:rPr>
          <w:rFonts w:ascii="Cambria" w:eastAsia="Cambria" w:hAnsi="Cambria" w:cs="Cambria"/>
          <w:color w:val="353740"/>
          <w:sz w:val="24"/>
          <w:szCs w:val="24"/>
        </w:rPr>
        <w:t>Bürkner</w:t>
      </w:r>
      <w:proofErr w:type="spellEnd"/>
      <w:r>
        <w:rPr>
          <w:rFonts w:ascii="Cambria" w:eastAsia="Cambria" w:hAnsi="Cambria" w:cs="Cambria"/>
          <w:color w:val="353740"/>
          <w:sz w:val="24"/>
          <w:szCs w:val="24"/>
        </w:rPr>
        <w:t xml:space="preserve"> 2017). </w:t>
      </w:r>
    </w:p>
    <w:p w14:paraId="02805082" w14:textId="79E4E41E" w:rsidR="00802C35" w:rsidRPr="00D43234" w:rsidRDefault="00000000" w:rsidP="00D43234">
      <w:pPr>
        <w:spacing w:after="0" w:line="360" w:lineRule="auto"/>
        <w:rPr>
          <w:rFonts w:ascii="Cambria" w:eastAsia="Cambria" w:hAnsi="Cambria" w:cs="Cambria"/>
          <w:sz w:val="24"/>
          <w:szCs w:val="24"/>
        </w:rPr>
      </w:pPr>
      <w:r>
        <w:rPr>
          <w:rFonts w:ascii="Cambria" w:eastAsia="Cambria" w:hAnsi="Cambria" w:cs="Cambria"/>
          <w:sz w:val="24"/>
          <w:szCs w:val="24"/>
        </w:rPr>
        <w:tab/>
        <w:t xml:space="preserve">For all Bayesian ordinal models, we used a no </w:t>
      </w:r>
      <w:proofErr w:type="spellStart"/>
      <w:r>
        <w:rPr>
          <w:rFonts w:ascii="Cambria" w:eastAsia="Cambria" w:hAnsi="Cambria" w:cs="Cambria"/>
          <w:sz w:val="24"/>
          <w:szCs w:val="24"/>
        </w:rPr>
        <w:t>u-turn</w:t>
      </w:r>
      <w:proofErr w:type="spellEnd"/>
      <w:r>
        <w:rPr>
          <w:rFonts w:ascii="Cambria" w:eastAsia="Cambria" w:hAnsi="Cambria" w:cs="Cambria"/>
          <w:sz w:val="24"/>
          <w:szCs w:val="24"/>
        </w:rPr>
        <w:t xml:space="preserve"> sampler (NUTS) and selected 10,000 total iterations with a 5,000-iteration warmup-phase and thinning every 20 iterations. Each model was run with two chains which we assessed for convergence by visually inspecting the mixing of chains and ensuring that r-hat values reached a value of one. To ensure our results are robust to uncertainty in tree topology, we repeated each model including phylogeny over 50 randomly selected trees, combining draws into a single posterior distribution. Following recommendations in Gelman (2006), we assigned weakly informative priors to the intercept and slope parameters: normal (0,1). To improve sampling speed, and because initial models showed the estimate for the phylogenetic effect was consistently close to 1, we assigned a stronger prior to the phylogenetic effect: gamma (2,1). To assess the proportion of variance explained by model predictors, we used approximate </w:t>
      </w:r>
      <w:r>
        <w:rPr>
          <w:rFonts w:ascii="Cambria" w:eastAsia="Cambria" w:hAnsi="Cambria" w:cs="Cambria"/>
          <w:i/>
          <w:sz w:val="24"/>
          <w:szCs w:val="24"/>
        </w:rPr>
        <w:t>R</w:t>
      </w:r>
      <w:r>
        <w:rPr>
          <w:rFonts w:ascii="Cambria" w:eastAsia="Cambria" w:hAnsi="Cambria" w:cs="Cambria"/>
          <w:i/>
          <w:sz w:val="24"/>
          <w:szCs w:val="24"/>
          <w:vertAlign w:val="superscript"/>
        </w:rPr>
        <w:t>2</w:t>
      </w:r>
      <w:r>
        <w:rPr>
          <w:rFonts w:ascii="Cambria" w:eastAsia="Cambria" w:hAnsi="Cambria" w:cs="Cambria"/>
          <w:sz w:val="24"/>
          <w:szCs w:val="24"/>
        </w:rPr>
        <w:t xml:space="preserve"> values for Bayesian methods (Gelman</w:t>
      </w:r>
      <w:r>
        <w:rPr>
          <w:rFonts w:ascii="Cambria" w:eastAsia="Cambria" w:hAnsi="Cambria" w:cs="Cambria"/>
          <w:i/>
          <w:sz w:val="24"/>
          <w:szCs w:val="24"/>
        </w:rPr>
        <w:t xml:space="preserve"> et al.</w:t>
      </w:r>
      <w:r>
        <w:rPr>
          <w:rFonts w:ascii="Cambria" w:eastAsia="Cambria" w:hAnsi="Cambria" w:cs="Cambria"/>
          <w:sz w:val="24"/>
          <w:szCs w:val="24"/>
        </w:rPr>
        <w:t xml:space="preserve"> 2019), adapted to fit ordinal regression models (McKelvey &amp; </w:t>
      </w:r>
      <w:proofErr w:type="spellStart"/>
      <w:r>
        <w:rPr>
          <w:rFonts w:ascii="Cambria" w:eastAsia="Cambria" w:hAnsi="Cambria" w:cs="Cambria"/>
          <w:sz w:val="24"/>
          <w:szCs w:val="24"/>
        </w:rPr>
        <w:t>Zavoina</w:t>
      </w:r>
      <w:proofErr w:type="spellEnd"/>
      <w:r>
        <w:rPr>
          <w:rFonts w:ascii="Cambria" w:eastAsia="Cambria" w:hAnsi="Cambria" w:cs="Cambria"/>
          <w:sz w:val="24"/>
          <w:szCs w:val="24"/>
        </w:rPr>
        <w:t xml:space="preserve"> 1975).</w:t>
      </w:r>
      <w:r w:rsidR="0005547B">
        <w:rPr>
          <w:rFonts w:ascii="Cambria" w:eastAsia="Cambria" w:hAnsi="Cambria" w:cs="Cambria"/>
          <w:sz w:val="24"/>
          <w:szCs w:val="24"/>
        </w:rPr>
        <w:t xml:space="preserve"> To calculate reported p-values from Bayesian regression models, we </w:t>
      </w:r>
      <w:r w:rsidR="00D43234">
        <w:rPr>
          <w:rFonts w:ascii="Cambria" w:eastAsia="Cambria" w:hAnsi="Cambria" w:cs="Cambria"/>
          <w:sz w:val="24"/>
          <w:szCs w:val="24"/>
        </w:rPr>
        <w:t xml:space="preserve">extracted the probability of direction from posterior draws, as described by </w:t>
      </w:r>
      <w:r w:rsidR="00D43234" w:rsidRPr="00D43234">
        <w:rPr>
          <w:rFonts w:ascii="Cambria" w:eastAsia="Cambria" w:hAnsi="Cambria" w:cs="Cambria"/>
          <w:sz w:val="24"/>
          <w:szCs w:val="24"/>
        </w:rPr>
        <w:t xml:space="preserve">Makowski </w:t>
      </w:r>
      <w:r w:rsidR="00D43234" w:rsidRPr="00D43234">
        <w:rPr>
          <w:rFonts w:ascii="Cambria" w:eastAsia="Cambria" w:hAnsi="Cambria" w:cs="Cambria"/>
          <w:i/>
          <w:iCs/>
          <w:sz w:val="24"/>
          <w:szCs w:val="24"/>
        </w:rPr>
        <w:t>et al.</w:t>
      </w:r>
      <w:r w:rsidR="00D43234" w:rsidRPr="00D43234">
        <w:rPr>
          <w:rFonts w:ascii="Cambria" w:eastAsia="Cambria" w:hAnsi="Cambria" w:cs="Cambria"/>
          <w:sz w:val="24"/>
          <w:szCs w:val="24"/>
        </w:rPr>
        <w:t xml:space="preserve"> </w:t>
      </w:r>
      <w:r w:rsidR="00D43234">
        <w:rPr>
          <w:rFonts w:ascii="Cambria" w:eastAsia="Cambria" w:hAnsi="Cambria" w:cs="Cambria"/>
          <w:sz w:val="24"/>
          <w:szCs w:val="24"/>
        </w:rPr>
        <w:t>(</w:t>
      </w:r>
      <w:r w:rsidR="00D43234" w:rsidRPr="00D43234">
        <w:rPr>
          <w:rFonts w:ascii="Cambria" w:eastAsia="Cambria" w:hAnsi="Cambria" w:cs="Cambria"/>
          <w:sz w:val="24"/>
          <w:szCs w:val="24"/>
        </w:rPr>
        <w:t>2019)</w:t>
      </w:r>
      <w:r w:rsidR="00D43234">
        <w:rPr>
          <w:rFonts w:ascii="Cambria" w:eastAsia="Cambria" w:hAnsi="Cambria" w:cs="Cambria"/>
          <w:sz w:val="24"/>
          <w:szCs w:val="24"/>
        </w:rPr>
        <w:t>.</w:t>
      </w:r>
      <w:r w:rsidR="00802C35">
        <w:rPr>
          <w:rFonts w:ascii="Cambria" w:eastAsia="Cambria" w:hAnsi="Cambria" w:cs="Cambria"/>
          <w:b/>
          <w:sz w:val="24"/>
          <w:szCs w:val="24"/>
        </w:rPr>
        <w:br w:type="page"/>
      </w:r>
    </w:p>
    <w:p w14:paraId="3F76BB3F" w14:textId="6CB1F7E7" w:rsidR="00D4124E" w:rsidRDefault="00000000" w:rsidP="00A55C35">
      <w:pPr>
        <w:spacing w:line="360" w:lineRule="auto"/>
        <w:rPr>
          <w:rFonts w:ascii="Cambria" w:eastAsia="Cambria" w:hAnsi="Cambria" w:cs="Cambria"/>
          <w:b/>
          <w:sz w:val="24"/>
          <w:szCs w:val="24"/>
        </w:rPr>
      </w:pPr>
      <w:r>
        <w:rPr>
          <w:rFonts w:ascii="Cambria" w:eastAsia="Cambria" w:hAnsi="Cambria" w:cs="Cambria"/>
          <w:b/>
          <w:sz w:val="24"/>
          <w:szCs w:val="24"/>
        </w:rPr>
        <w:lastRenderedPageBreak/>
        <w:t>Supplementary discussion</w:t>
      </w:r>
    </w:p>
    <w:p w14:paraId="3F944820" w14:textId="6766A62B" w:rsidR="00D4124E" w:rsidRPr="0005547B" w:rsidRDefault="00000000" w:rsidP="0005547B">
      <w:pPr>
        <w:spacing w:after="0" w:line="360" w:lineRule="auto"/>
        <w:rPr>
          <w:rFonts w:ascii="Cambria" w:eastAsia="Cambria" w:hAnsi="Cambria" w:cs="Cambria"/>
          <w:sz w:val="24"/>
          <w:szCs w:val="24"/>
        </w:rPr>
      </w:pPr>
      <w:r>
        <w:rPr>
          <w:rFonts w:ascii="Cambria" w:eastAsia="Cambria" w:hAnsi="Cambria" w:cs="Cambria"/>
          <w:sz w:val="24"/>
          <w:szCs w:val="24"/>
        </w:rPr>
        <w:t xml:space="preserve">We considered using information about parental care roles as evidence for the strength of sexual selection. Costly parental care is often cited as a major hypothesis explaining monogamy (Klug 2018; </w:t>
      </w:r>
      <w:proofErr w:type="spellStart"/>
      <w:r>
        <w:rPr>
          <w:rFonts w:ascii="Cambria" w:eastAsia="Cambria" w:hAnsi="Cambria" w:cs="Cambria"/>
          <w:sz w:val="24"/>
          <w:szCs w:val="24"/>
        </w:rPr>
        <w:t>Kvarnemo</w:t>
      </w:r>
      <w:proofErr w:type="spellEnd"/>
      <w:r>
        <w:rPr>
          <w:rFonts w:ascii="Cambria" w:eastAsia="Cambria" w:hAnsi="Cambria" w:cs="Cambria"/>
          <w:sz w:val="24"/>
          <w:szCs w:val="24"/>
        </w:rPr>
        <w:t xml:space="preserve"> 2018) because time constraints can prevent individuals from seeking additional mating opportunities. We excluded parental care in our models because data is lacking at the scale required to test global hypotheses in birds. Alternative binary traits with good coverage such as developmental mode are unsuitable because large sections of the tree have no variation, limiting their accuracy in phylogenetic models. </w:t>
      </w:r>
      <w:r>
        <w:br w:type="page"/>
      </w:r>
    </w:p>
    <w:p w14:paraId="369FD28F" w14:textId="77777777" w:rsidR="00D4124E" w:rsidRDefault="00000000">
      <w:pPr>
        <w:spacing w:line="360" w:lineRule="auto"/>
        <w:rPr>
          <w:rFonts w:ascii="Cambria" w:eastAsia="Cambria" w:hAnsi="Cambria" w:cs="Cambria"/>
          <w:b/>
          <w:sz w:val="24"/>
          <w:szCs w:val="24"/>
        </w:rPr>
      </w:pPr>
      <w:r>
        <w:rPr>
          <w:rFonts w:ascii="Cambria" w:eastAsia="Cambria" w:hAnsi="Cambria" w:cs="Cambria"/>
          <w:b/>
          <w:sz w:val="24"/>
          <w:szCs w:val="24"/>
        </w:rPr>
        <w:lastRenderedPageBreak/>
        <w:t>Supplementary tables</w:t>
      </w:r>
    </w:p>
    <w:p w14:paraId="2C5D971C" w14:textId="77777777" w:rsidR="00D4124E" w:rsidRDefault="00000000">
      <w:pPr>
        <w:spacing w:line="360" w:lineRule="auto"/>
        <w:rPr>
          <w:rFonts w:ascii="Cambria" w:eastAsia="Cambria" w:hAnsi="Cambria" w:cs="Cambria"/>
          <w:sz w:val="24"/>
          <w:szCs w:val="24"/>
        </w:rPr>
      </w:pPr>
      <w:bookmarkStart w:id="3" w:name="_3znysh7" w:colFirst="0" w:colLast="0"/>
      <w:bookmarkEnd w:id="3"/>
      <w:r>
        <w:rPr>
          <w:rFonts w:ascii="Cambria" w:eastAsia="Cambria" w:hAnsi="Cambria" w:cs="Cambria"/>
          <w:b/>
          <w:sz w:val="24"/>
          <w:szCs w:val="24"/>
        </w:rPr>
        <w:t>Table S1 |</w:t>
      </w:r>
      <w:r>
        <w:rPr>
          <w:rFonts w:ascii="Cambria" w:eastAsia="Cambria" w:hAnsi="Cambria" w:cs="Cambria"/>
          <w:sz w:val="24"/>
          <w:szCs w:val="24"/>
        </w:rPr>
        <w:t xml:space="preserve"> </w:t>
      </w:r>
      <w:r>
        <w:rPr>
          <w:rFonts w:ascii="Cambria" w:eastAsia="Cambria" w:hAnsi="Cambria" w:cs="Cambria"/>
          <w:b/>
          <w:sz w:val="24"/>
          <w:szCs w:val="24"/>
        </w:rPr>
        <w:t xml:space="preserve">Comparing alternative metrics of sexual selection. </w:t>
      </w:r>
      <w:r>
        <w:rPr>
          <w:rFonts w:ascii="Cambria" w:eastAsia="Cambria" w:hAnsi="Cambria" w:cs="Cambria"/>
          <w:sz w:val="24"/>
          <w:szCs w:val="24"/>
        </w:rPr>
        <w:t>Results shown are Results are β estimates and 95% credible intervals from phylogenetic Bayesian ordinal mixed-effect models estimating the strength of relationship between sexual selection scores from this study and alternative measures of sexual selection: residual testes mass (a proxy for post-copulatory sexual selection), Bateman gradients (</w:t>
      </w:r>
      <w:r>
        <w:rPr>
          <w:rFonts w:ascii="Cambria" w:eastAsia="Cambria" w:hAnsi="Cambria" w:cs="Cambria"/>
          <w:sz w:val="24"/>
          <w:szCs w:val="24"/>
          <w:highlight w:val="white"/>
        </w:rPr>
        <w:t>β</w:t>
      </w:r>
      <w:r>
        <w:rPr>
          <w:rFonts w:ascii="Cambria" w:eastAsia="Cambria" w:hAnsi="Cambria" w:cs="Cambria"/>
          <w:sz w:val="24"/>
          <w:szCs w:val="24"/>
          <w:highlight w:val="white"/>
          <w:vertAlign w:val="subscript"/>
        </w:rPr>
        <w:t>SS</w:t>
      </w:r>
      <w:r>
        <w:rPr>
          <w:rFonts w:ascii="Cambria" w:eastAsia="Cambria" w:hAnsi="Cambria" w:cs="Cambria"/>
          <w:sz w:val="24"/>
          <w:szCs w:val="24"/>
        </w:rPr>
        <w:t>) (reproductive benefit from additional matings), the opportunity for sexual selection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(variance in mating success). To compare sex-specific metrics with bi-directional scores, we selected the largest β</w:t>
      </w:r>
      <w:r>
        <w:rPr>
          <w:rFonts w:ascii="Cambria" w:eastAsia="Cambria" w:hAnsi="Cambria" w:cs="Cambria"/>
          <w:sz w:val="24"/>
          <w:szCs w:val="24"/>
          <w:vertAlign w:val="subscript"/>
        </w:rPr>
        <w:t>SS</w:t>
      </w:r>
      <w:r>
        <w:rPr>
          <w:rFonts w:ascii="Cambria" w:eastAsia="Cambria" w:hAnsi="Cambria" w:cs="Cambria"/>
          <w:sz w:val="24"/>
          <w:szCs w:val="24"/>
        </w:rPr>
        <w:t xml:space="preserve"> or </w:t>
      </w:r>
      <w:r>
        <w:rPr>
          <w:rFonts w:ascii="Cambria" w:eastAsia="Cambria" w:hAnsi="Cambria" w:cs="Cambria"/>
          <w:i/>
          <w:sz w:val="24"/>
          <w:szCs w:val="24"/>
        </w:rPr>
        <w:t>I</w:t>
      </w:r>
      <w:r>
        <w:rPr>
          <w:rFonts w:ascii="Cambria" w:eastAsia="Cambria" w:hAnsi="Cambria" w:cs="Cambria"/>
          <w:sz w:val="24"/>
          <w:szCs w:val="24"/>
          <w:vertAlign w:val="subscript"/>
        </w:rPr>
        <w:t>S</w:t>
      </w:r>
      <w:r>
        <w:rPr>
          <w:rFonts w:ascii="Cambria" w:eastAsia="Cambria" w:hAnsi="Cambria" w:cs="Cambria"/>
          <w:sz w:val="24"/>
          <w:szCs w:val="24"/>
        </w:rPr>
        <w:t xml:space="preserve"> from each species, treating males and female metrics equally. For 51 monogamous species with 0% extra-pair paternity reported in well-sampled molecular studies, we scored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 xml:space="preserve"> as zero. When we ran a sensitivity analysis (</w:t>
      </w:r>
      <w:r>
        <w:rPr>
          <w:rFonts w:ascii="Cambria" w:eastAsia="Cambria" w:hAnsi="Cambria" w:cs="Cambria"/>
          <w:i/>
          <w:sz w:val="24"/>
          <w:szCs w:val="24"/>
        </w:rPr>
        <w:t>I</w:t>
      </w:r>
      <w:r>
        <w:rPr>
          <w:rFonts w:ascii="Cambria" w:eastAsia="Cambria" w:hAnsi="Cambria" w:cs="Cambria"/>
          <w:i/>
          <w:sz w:val="24"/>
          <w:szCs w:val="24"/>
          <w:vertAlign w:val="subscript"/>
        </w:rPr>
        <w:t>S</w:t>
      </w:r>
      <w:r>
        <w:rPr>
          <w:rFonts w:ascii="Cambria" w:eastAsia="Cambria" w:hAnsi="Cambria" w:cs="Cambria"/>
          <w:sz w:val="24"/>
          <w:szCs w:val="24"/>
        </w:rPr>
        <w:t>2) with these arbitrary zeroes excluded, results remained similar. Models were run on a sample of 50 phylogenetic tree topologies extracted from www.birdtree.org (Jetz</w:t>
      </w:r>
      <w:r>
        <w:rPr>
          <w:rFonts w:ascii="Cambria" w:eastAsia="Cambria" w:hAnsi="Cambria" w:cs="Cambria"/>
          <w:i/>
          <w:sz w:val="24"/>
          <w:szCs w:val="24"/>
        </w:rPr>
        <w:t xml:space="preserve"> et al.</w:t>
      </w:r>
      <w:r>
        <w:rPr>
          <w:rFonts w:ascii="Cambria" w:eastAsia="Cambria" w:hAnsi="Cambria" w:cs="Cambria"/>
          <w:sz w:val="24"/>
          <w:szCs w:val="24"/>
        </w:rPr>
        <w:t xml:space="preserve"> 2012), grafted to the Prum </w:t>
      </w:r>
      <w:r>
        <w:rPr>
          <w:rFonts w:ascii="Cambria" w:eastAsia="Cambria" w:hAnsi="Cambria" w:cs="Cambria"/>
          <w:i/>
          <w:sz w:val="24"/>
          <w:szCs w:val="24"/>
        </w:rPr>
        <w:t>et al.</w:t>
      </w:r>
      <w:r>
        <w:rPr>
          <w:rFonts w:ascii="Cambria" w:eastAsia="Cambria" w:hAnsi="Cambria" w:cs="Cambria"/>
          <w:sz w:val="24"/>
          <w:szCs w:val="24"/>
        </w:rPr>
        <w:t xml:space="preserve"> (2015) genomic backbone. Testes mass = residual testes mass. See Supplementary methods for detailed model descriptions. </w:t>
      </w:r>
    </w:p>
    <w:p w14:paraId="1D7ADAE0" w14:textId="77777777" w:rsidR="00D4124E" w:rsidRDefault="00D4124E" w:rsidP="0005547B">
      <w:pPr>
        <w:suppressLineNumbers/>
        <w:spacing w:line="276" w:lineRule="auto"/>
        <w:jc w:val="both"/>
        <w:rPr>
          <w:rFonts w:ascii="Cambria" w:eastAsia="Cambria" w:hAnsi="Cambria" w:cs="Cambria"/>
        </w:rPr>
      </w:pPr>
    </w:p>
    <w:tbl>
      <w:tblPr>
        <w:tblStyle w:val="a"/>
        <w:tblW w:w="9517" w:type="dxa"/>
        <w:jc w:val="center"/>
        <w:tblLayout w:type="fixed"/>
        <w:tblLook w:val="04A0" w:firstRow="1" w:lastRow="0" w:firstColumn="1" w:lastColumn="0" w:noHBand="0" w:noVBand="1"/>
      </w:tblPr>
      <w:tblGrid>
        <w:gridCol w:w="2268"/>
        <w:gridCol w:w="1186"/>
        <w:gridCol w:w="1186"/>
        <w:gridCol w:w="1502"/>
        <w:gridCol w:w="1827"/>
        <w:gridCol w:w="1548"/>
      </w:tblGrid>
      <w:tr w:rsidR="00D4124E" w14:paraId="2EE3A01C" w14:textId="77777777" w:rsidTr="0025405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2268" w:type="dxa"/>
            <w:tcBorders>
              <w:bottom w:val="single" w:sz="4" w:space="0" w:color="auto"/>
              <w:right w:val="none" w:sz="0" w:space="0" w:color="auto"/>
            </w:tcBorders>
            <w:shd w:val="clear" w:color="auto" w:fill="auto"/>
            <w:vAlign w:val="center"/>
          </w:tcPr>
          <w:p w14:paraId="0D2B84B7" w14:textId="77777777" w:rsidR="00D4124E" w:rsidRDefault="00000000">
            <w:pPr>
              <w:spacing w:after="0" w:line="276" w:lineRule="auto"/>
              <w:rPr>
                <w:rFonts w:ascii="Cambria" w:eastAsia="Cambria" w:hAnsi="Cambria" w:cs="Cambria"/>
                <w:sz w:val="24"/>
                <w:szCs w:val="24"/>
              </w:rPr>
            </w:pPr>
            <w:r>
              <w:rPr>
                <w:rFonts w:ascii="Cambria" w:eastAsia="Cambria" w:hAnsi="Cambria" w:cs="Cambria"/>
                <w:color w:val="000000"/>
                <w:sz w:val="24"/>
                <w:szCs w:val="24"/>
              </w:rPr>
              <w:t>Metric</w:t>
            </w:r>
          </w:p>
        </w:tc>
        <w:tc>
          <w:tcPr>
            <w:tcW w:w="1186" w:type="dxa"/>
            <w:tcBorders>
              <w:bottom w:val="single" w:sz="4" w:space="0" w:color="auto"/>
            </w:tcBorders>
            <w:shd w:val="clear" w:color="auto" w:fill="auto"/>
            <w:vAlign w:val="center"/>
          </w:tcPr>
          <w:p w14:paraId="598F22F1" w14:textId="77777777" w:rsidR="00D4124E" w:rsidRDefault="0000000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i/>
                <w:color w:val="000000"/>
                <w:sz w:val="24"/>
                <w:szCs w:val="24"/>
              </w:rPr>
            </w:pPr>
            <w:r>
              <w:rPr>
                <w:rFonts w:ascii="Cambria" w:eastAsia="Cambria" w:hAnsi="Cambria" w:cs="Cambria"/>
                <w:i/>
                <w:color w:val="000000"/>
                <w:sz w:val="24"/>
                <w:szCs w:val="24"/>
              </w:rPr>
              <w:t>n</w:t>
            </w:r>
          </w:p>
        </w:tc>
        <w:tc>
          <w:tcPr>
            <w:tcW w:w="1186" w:type="dxa"/>
            <w:tcBorders>
              <w:bottom w:val="single" w:sz="4" w:space="0" w:color="auto"/>
            </w:tcBorders>
            <w:shd w:val="clear" w:color="auto" w:fill="auto"/>
            <w:vAlign w:val="center"/>
          </w:tcPr>
          <w:p w14:paraId="633C55CF" w14:textId="77777777" w:rsidR="00D4124E" w:rsidRDefault="0000000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Estimate</w:t>
            </w:r>
          </w:p>
        </w:tc>
        <w:tc>
          <w:tcPr>
            <w:tcW w:w="1502" w:type="dxa"/>
            <w:tcBorders>
              <w:bottom w:val="single" w:sz="4" w:space="0" w:color="auto"/>
            </w:tcBorders>
            <w:shd w:val="clear" w:color="auto" w:fill="auto"/>
            <w:vAlign w:val="center"/>
          </w:tcPr>
          <w:p w14:paraId="1CB4D35F" w14:textId="77777777" w:rsidR="00D4124E" w:rsidRDefault="0000000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95% CI</w:t>
            </w:r>
          </w:p>
        </w:tc>
        <w:tc>
          <w:tcPr>
            <w:tcW w:w="1827" w:type="dxa"/>
            <w:tcBorders>
              <w:bottom w:val="single" w:sz="4" w:space="0" w:color="auto"/>
            </w:tcBorders>
            <w:shd w:val="clear" w:color="auto" w:fill="auto"/>
            <w:vAlign w:val="center"/>
          </w:tcPr>
          <w:p w14:paraId="601DAFF0" w14:textId="77777777" w:rsidR="00D4124E" w:rsidRDefault="0000000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i/>
                <w:color w:val="000000"/>
                <w:sz w:val="24"/>
                <w:szCs w:val="24"/>
              </w:rPr>
            </w:pPr>
            <w:r>
              <w:rPr>
                <w:rFonts w:ascii="Cambria" w:eastAsia="Cambria" w:hAnsi="Cambria" w:cs="Cambria"/>
                <w:color w:val="000000"/>
                <w:sz w:val="24"/>
                <w:szCs w:val="24"/>
              </w:rPr>
              <w:t xml:space="preserve">Conditional </w:t>
            </w:r>
            <w:r>
              <w:rPr>
                <w:rFonts w:ascii="Cambria" w:eastAsia="Cambria" w:hAnsi="Cambria" w:cs="Cambria"/>
                <w:i/>
                <w:color w:val="000000"/>
                <w:sz w:val="24"/>
                <w:szCs w:val="24"/>
              </w:rPr>
              <w:t>R</w:t>
            </w:r>
            <w:r>
              <w:rPr>
                <w:rFonts w:ascii="Cambria" w:eastAsia="Cambria" w:hAnsi="Cambria" w:cs="Cambria"/>
                <w:i/>
                <w:color w:val="000000"/>
                <w:sz w:val="24"/>
                <w:szCs w:val="24"/>
                <w:vertAlign w:val="superscript"/>
              </w:rPr>
              <w:t>2</w:t>
            </w:r>
          </w:p>
        </w:tc>
        <w:tc>
          <w:tcPr>
            <w:tcW w:w="1548" w:type="dxa"/>
            <w:tcBorders>
              <w:bottom w:val="single" w:sz="4" w:space="0" w:color="auto"/>
            </w:tcBorders>
            <w:shd w:val="clear" w:color="auto" w:fill="auto"/>
            <w:vAlign w:val="center"/>
          </w:tcPr>
          <w:p w14:paraId="6DF36E84" w14:textId="77777777" w:rsidR="00D4124E" w:rsidRDefault="0000000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i/>
                <w:color w:val="000000"/>
                <w:sz w:val="24"/>
                <w:szCs w:val="24"/>
              </w:rPr>
            </w:pPr>
            <w:r>
              <w:rPr>
                <w:rFonts w:ascii="Cambria" w:eastAsia="Cambria" w:hAnsi="Cambria" w:cs="Cambria"/>
                <w:color w:val="000000"/>
                <w:sz w:val="24"/>
                <w:szCs w:val="24"/>
              </w:rPr>
              <w:t xml:space="preserve">Marginal </w:t>
            </w:r>
            <w:r>
              <w:rPr>
                <w:rFonts w:ascii="Cambria" w:eastAsia="Cambria" w:hAnsi="Cambria" w:cs="Cambria"/>
                <w:i/>
                <w:color w:val="000000"/>
                <w:sz w:val="24"/>
                <w:szCs w:val="24"/>
              </w:rPr>
              <w:t>R</w:t>
            </w:r>
            <w:r>
              <w:rPr>
                <w:rFonts w:ascii="Cambria" w:eastAsia="Cambria" w:hAnsi="Cambria" w:cs="Cambria"/>
                <w:i/>
                <w:color w:val="000000"/>
                <w:sz w:val="24"/>
                <w:szCs w:val="24"/>
                <w:vertAlign w:val="superscript"/>
              </w:rPr>
              <w:t>2</w:t>
            </w:r>
          </w:p>
        </w:tc>
      </w:tr>
      <w:tr w:rsidR="00D4124E" w14:paraId="42B74380"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none" w:sz="0" w:space="0" w:color="auto"/>
              <w:right w:val="none" w:sz="0" w:space="0" w:color="auto"/>
            </w:tcBorders>
            <w:vAlign w:val="center"/>
          </w:tcPr>
          <w:p w14:paraId="6D822A36" w14:textId="77777777" w:rsidR="00D4124E" w:rsidRDefault="00000000">
            <w:pPr>
              <w:spacing w:after="0" w:line="276" w:lineRule="auto"/>
              <w:rPr>
                <w:rFonts w:ascii="Cambria" w:eastAsia="Cambria" w:hAnsi="Cambria" w:cs="Cambria"/>
                <w:sz w:val="24"/>
                <w:szCs w:val="24"/>
              </w:rPr>
            </w:pPr>
            <w:r>
              <w:rPr>
                <w:rFonts w:ascii="Cambria" w:eastAsia="Cambria" w:hAnsi="Cambria" w:cs="Cambria"/>
                <w:b w:val="0"/>
                <w:sz w:val="24"/>
                <w:szCs w:val="24"/>
              </w:rPr>
              <w:t>Testes mass</w:t>
            </w:r>
          </w:p>
        </w:tc>
        <w:tc>
          <w:tcPr>
            <w:tcW w:w="1186" w:type="dxa"/>
            <w:tcBorders>
              <w:top w:val="single" w:sz="4" w:space="0" w:color="auto"/>
              <w:bottom w:val="none" w:sz="0" w:space="0" w:color="auto"/>
            </w:tcBorders>
            <w:vAlign w:val="center"/>
          </w:tcPr>
          <w:p w14:paraId="359A43DE"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977</w:t>
            </w:r>
          </w:p>
        </w:tc>
        <w:tc>
          <w:tcPr>
            <w:tcW w:w="1186" w:type="dxa"/>
            <w:tcBorders>
              <w:top w:val="single" w:sz="4" w:space="0" w:color="auto"/>
              <w:bottom w:val="none" w:sz="0" w:space="0" w:color="auto"/>
            </w:tcBorders>
            <w:shd w:val="clear" w:color="auto" w:fill="auto"/>
            <w:vAlign w:val="center"/>
          </w:tcPr>
          <w:p w14:paraId="7A2A6500"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2.41</w:t>
            </w:r>
          </w:p>
        </w:tc>
        <w:tc>
          <w:tcPr>
            <w:tcW w:w="1502" w:type="dxa"/>
            <w:tcBorders>
              <w:top w:val="single" w:sz="4" w:space="0" w:color="auto"/>
              <w:bottom w:val="none" w:sz="0" w:space="0" w:color="auto"/>
            </w:tcBorders>
            <w:shd w:val="clear" w:color="auto" w:fill="auto"/>
            <w:vAlign w:val="center"/>
          </w:tcPr>
          <w:p w14:paraId="4771AA89"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1.69, 3.36</w:t>
            </w:r>
          </w:p>
        </w:tc>
        <w:tc>
          <w:tcPr>
            <w:tcW w:w="1827" w:type="dxa"/>
            <w:tcBorders>
              <w:top w:val="single" w:sz="4" w:space="0" w:color="auto"/>
              <w:bottom w:val="none" w:sz="0" w:space="0" w:color="auto"/>
            </w:tcBorders>
            <w:shd w:val="clear" w:color="auto" w:fill="auto"/>
            <w:vAlign w:val="center"/>
          </w:tcPr>
          <w:p w14:paraId="6EA81538"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0.91</w:t>
            </w:r>
          </w:p>
        </w:tc>
        <w:tc>
          <w:tcPr>
            <w:tcW w:w="1548" w:type="dxa"/>
            <w:tcBorders>
              <w:top w:val="single" w:sz="4" w:space="0" w:color="auto"/>
              <w:bottom w:val="none" w:sz="0" w:space="0" w:color="auto"/>
            </w:tcBorders>
            <w:shd w:val="clear" w:color="auto" w:fill="auto"/>
            <w:vAlign w:val="center"/>
          </w:tcPr>
          <w:p w14:paraId="4143022D"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0.30</w:t>
            </w:r>
          </w:p>
        </w:tc>
      </w:tr>
      <w:tr w:rsidR="00D4124E" w14:paraId="3556566B"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vAlign w:val="center"/>
          </w:tcPr>
          <w:p w14:paraId="0BA56676" w14:textId="77777777" w:rsidR="00D4124E" w:rsidRDefault="00000000">
            <w:pPr>
              <w:spacing w:after="0" w:line="276" w:lineRule="auto"/>
              <w:rPr>
                <w:rFonts w:ascii="Cambria" w:eastAsia="Cambria" w:hAnsi="Cambria" w:cs="Cambria"/>
                <w:sz w:val="24"/>
                <w:szCs w:val="24"/>
              </w:rPr>
            </w:pPr>
            <w:r>
              <w:rPr>
                <w:rFonts w:ascii="Cambria" w:eastAsia="Cambria" w:hAnsi="Cambria" w:cs="Cambria"/>
                <w:b w:val="0"/>
                <w:color w:val="353740"/>
                <w:sz w:val="24"/>
                <w:szCs w:val="24"/>
                <w:highlight w:val="white"/>
              </w:rPr>
              <w:t>β</w:t>
            </w:r>
            <w:r>
              <w:rPr>
                <w:rFonts w:ascii="Cambria" w:eastAsia="Cambria" w:hAnsi="Cambria" w:cs="Cambria"/>
                <w:b w:val="0"/>
                <w:color w:val="353740"/>
                <w:sz w:val="24"/>
                <w:szCs w:val="24"/>
                <w:highlight w:val="white"/>
                <w:vertAlign w:val="subscript"/>
              </w:rPr>
              <w:t>SS</w:t>
            </w:r>
          </w:p>
        </w:tc>
        <w:tc>
          <w:tcPr>
            <w:tcW w:w="1186" w:type="dxa"/>
            <w:vAlign w:val="center"/>
          </w:tcPr>
          <w:p w14:paraId="635871FD"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14</w:t>
            </w:r>
          </w:p>
        </w:tc>
        <w:tc>
          <w:tcPr>
            <w:tcW w:w="1186" w:type="dxa"/>
            <w:shd w:val="clear" w:color="auto" w:fill="auto"/>
            <w:vAlign w:val="center"/>
          </w:tcPr>
          <w:p w14:paraId="5319EEC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4.51</w:t>
            </w:r>
          </w:p>
        </w:tc>
        <w:tc>
          <w:tcPr>
            <w:tcW w:w="1502" w:type="dxa"/>
            <w:shd w:val="clear" w:color="auto" w:fill="auto"/>
            <w:vAlign w:val="center"/>
          </w:tcPr>
          <w:p w14:paraId="24EAD390"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0.55, 10.86</w:t>
            </w:r>
          </w:p>
        </w:tc>
        <w:tc>
          <w:tcPr>
            <w:tcW w:w="1827" w:type="dxa"/>
            <w:shd w:val="clear" w:color="auto" w:fill="auto"/>
            <w:vAlign w:val="center"/>
          </w:tcPr>
          <w:p w14:paraId="5FC311C7"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0.76</w:t>
            </w:r>
          </w:p>
        </w:tc>
        <w:tc>
          <w:tcPr>
            <w:tcW w:w="1548" w:type="dxa"/>
            <w:shd w:val="clear" w:color="auto" w:fill="auto"/>
            <w:vAlign w:val="center"/>
          </w:tcPr>
          <w:p w14:paraId="598DF0A9"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0.53</w:t>
            </w:r>
          </w:p>
        </w:tc>
      </w:tr>
      <w:tr w:rsidR="00D4124E" w14:paraId="2AAF9B80"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right w:val="none" w:sz="0" w:space="0" w:color="auto"/>
            </w:tcBorders>
            <w:shd w:val="clear" w:color="auto" w:fill="auto"/>
            <w:vAlign w:val="center"/>
          </w:tcPr>
          <w:p w14:paraId="4C3E043D" w14:textId="77777777" w:rsidR="00D4124E" w:rsidRDefault="00000000">
            <w:pPr>
              <w:spacing w:after="0" w:line="360" w:lineRule="auto"/>
              <w:rPr>
                <w:rFonts w:ascii="Cambria" w:eastAsia="Cambria" w:hAnsi="Cambria" w:cs="Cambria"/>
                <w:sz w:val="24"/>
                <w:szCs w:val="24"/>
              </w:rPr>
            </w:pPr>
            <w:r>
              <w:rPr>
                <w:rFonts w:ascii="Cambria" w:eastAsia="Cambria" w:hAnsi="Cambria" w:cs="Cambria"/>
                <w:b w:val="0"/>
                <w:i/>
                <w:sz w:val="24"/>
                <w:szCs w:val="24"/>
              </w:rPr>
              <w:t>I</w:t>
            </w:r>
            <w:r>
              <w:rPr>
                <w:rFonts w:ascii="Cambria" w:eastAsia="Cambria" w:hAnsi="Cambria" w:cs="Cambria"/>
                <w:b w:val="0"/>
                <w:i/>
                <w:sz w:val="24"/>
                <w:szCs w:val="24"/>
                <w:vertAlign w:val="subscript"/>
              </w:rPr>
              <w:t>S</w:t>
            </w:r>
          </w:p>
        </w:tc>
        <w:tc>
          <w:tcPr>
            <w:tcW w:w="1186" w:type="dxa"/>
            <w:tcBorders>
              <w:top w:val="none" w:sz="0" w:space="0" w:color="auto"/>
              <w:bottom w:val="none" w:sz="0" w:space="0" w:color="auto"/>
            </w:tcBorders>
            <w:vAlign w:val="center"/>
          </w:tcPr>
          <w:p w14:paraId="023568F0"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79</w:t>
            </w:r>
          </w:p>
        </w:tc>
        <w:tc>
          <w:tcPr>
            <w:tcW w:w="1186" w:type="dxa"/>
            <w:tcBorders>
              <w:top w:val="none" w:sz="0" w:space="0" w:color="auto"/>
              <w:bottom w:val="none" w:sz="0" w:space="0" w:color="auto"/>
            </w:tcBorders>
            <w:shd w:val="clear" w:color="auto" w:fill="auto"/>
            <w:vAlign w:val="center"/>
          </w:tcPr>
          <w:p w14:paraId="56076B52"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24.08</w:t>
            </w:r>
          </w:p>
        </w:tc>
        <w:tc>
          <w:tcPr>
            <w:tcW w:w="1502" w:type="dxa"/>
            <w:tcBorders>
              <w:top w:val="none" w:sz="0" w:space="0" w:color="auto"/>
              <w:bottom w:val="none" w:sz="0" w:space="0" w:color="auto"/>
            </w:tcBorders>
            <w:shd w:val="clear" w:color="auto" w:fill="auto"/>
            <w:vAlign w:val="center"/>
          </w:tcPr>
          <w:p w14:paraId="75AD021A"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15.48, 37.94</w:t>
            </w:r>
          </w:p>
        </w:tc>
        <w:tc>
          <w:tcPr>
            <w:tcW w:w="1827" w:type="dxa"/>
            <w:tcBorders>
              <w:top w:val="none" w:sz="0" w:space="0" w:color="auto"/>
              <w:bottom w:val="none" w:sz="0" w:space="0" w:color="auto"/>
            </w:tcBorders>
            <w:shd w:val="clear" w:color="auto" w:fill="auto"/>
            <w:vAlign w:val="center"/>
          </w:tcPr>
          <w:p w14:paraId="0936A412"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0.98</w:t>
            </w:r>
          </w:p>
        </w:tc>
        <w:tc>
          <w:tcPr>
            <w:tcW w:w="1548" w:type="dxa"/>
            <w:tcBorders>
              <w:top w:val="none" w:sz="0" w:space="0" w:color="auto"/>
              <w:bottom w:val="none" w:sz="0" w:space="0" w:color="auto"/>
            </w:tcBorders>
            <w:shd w:val="clear" w:color="auto" w:fill="auto"/>
            <w:vAlign w:val="center"/>
          </w:tcPr>
          <w:p w14:paraId="10410D80"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0.97</w:t>
            </w:r>
          </w:p>
        </w:tc>
      </w:tr>
      <w:tr w:rsidR="00D4124E" w14:paraId="1F98C461"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right w:val="none" w:sz="0" w:space="0" w:color="auto"/>
            </w:tcBorders>
            <w:shd w:val="clear" w:color="auto" w:fill="auto"/>
            <w:vAlign w:val="center"/>
          </w:tcPr>
          <w:p w14:paraId="2DED5997" w14:textId="77777777" w:rsidR="00D4124E" w:rsidRDefault="00000000">
            <w:pPr>
              <w:spacing w:after="0" w:line="276" w:lineRule="auto"/>
              <w:rPr>
                <w:rFonts w:ascii="Cambria" w:eastAsia="Cambria" w:hAnsi="Cambria" w:cs="Cambria"/>
                <w:sz w:val="24"/>
                <w:szCs w:val="24"/>
              </w:rPr>
            </w:pPr>
            <w:r>
              <w:rPr>
                <w:rFonts w:ascii="Cambria" w:eastAsia="Cambria" w:hAnsi="Cambria" w:cs="Cambria"/>
                <w:b w:val="0"/>
                <w:i/>
                <w:sz w:val="24"/>
                <w:szCs w:val="24"/>
              </w:rPr>
              <w:t>I</w:t>
            </w:r>
            <w:r>
              <w:rPr>
                <w:rFonts w:ascii="Cambria" w:eastAsia="Cambria" w:hAnsi="Cambria" w:cs="Cambria"/>
                <w:b w:val="0"/>
                <w:i/>
                <w:sz w:val="24"/>
                <w:szCs w:val="24"/>
                <w:vertAlign w:val="subscript"/>
              </w:rPr>
              <w:t>S</w:t>
            </w:r>
            <w:r>
              <w:rPr>
                <w:rFonts w:ascii="Cambria" w:eastAsia="Cambria" w:hAnsi="Cambria" w:cs="Cambria"/>
                <w:b w:val="0"/>
                <w:sz w:val="24"/>
                <w:szCs w:val="24"/>
              </w:rPr>
              <w:t>2</w:t>
            </w:r>
          </w:p>
        </w:tc>
        <w:tc>
          <w:tcPr>
            <w:tcW w:w="1186" w:type="dxa"/>
            <w:tcBorders>
              <w:bottom w:val="single" w:sz="4" w:space="0" w:color="auto"/>
            </w:tcBorders>
            <w:vAlign w:val="center"/>
          </w:tcPr>
          <w:p w14:paraId="0592B267"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28</w:t>
            </w:r>
          </w:p>
        </w:tc>
        <w:tc>
          <w:tcPr>
            <w:tcW w:w="1186" w:type="dxa"/>
            <w:tcBorders>
              <w:bottom w:val="single" w:sz="4" w:space="0" w:color="auto"/>
            </w:tcBorders>
            <w:shd w:val="clear" w:color="auto" w:fill="auto"/>
            <w:vAlign w:val="center"/>
          </w:tcPr>
          <w:p w14:paraId="67D2C3E6"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24.24</w:t>
            </w:r>
          </w:p>
        </w:tc>
        <w:tc>
          <w:tcPr>
            <w:tcW w:w="1502" w:type="dxa"/>
            <w:tcBorders>
              <w:bottom w:val="single" w:sz="4" w:space="0" w:color="auto"/>
            </w:tcBorders>
            <w:shd w:val="clear" w:color="auto" w:fill="auto"/>
            <w:vAlign w:val="center"/>
          </w:tcPr>
          <w:p w14:paraId="1BB24E63"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15.59, 38.47</w:t>
            </w:r>
          </w:p>
        </w:tc>
        <w:tc>
          <w:tcPr>
            <w:tcW w:w="1827" w:type="dxa"/>
            <w:tcBorders>
              <w:bottom w:val="single" w:sz="4" w:space="0" w:color="auto"/>
            </w:tcBorders>
            <w:shd w:val="clear" w:color="auto" w:fill="auto"/>
            <w:vAlign w:val="center"/>
          </w:tcPr>
          <w:p w14:paraId="2275DACC"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0.98</w:t>
            </w:r>
          </w:p>
        </w:tc>
        <w:tc>
          <w:tcPr>
            <w:tcW w:w="1548" w:type="dxa"/>
            <w:tcBorders>
              <w:bottom w:val="single" w:sz="4" w:space="0" w:color="auto"/>
            </w:tcBorders>
            <w:shd w:val="clear" w:color="auto" w:fill="auto"/>
            <w:vAlign w:val="center"/>
          </w:tcPr>
          <w:p w14:paraId="1E578BBE"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0.97</w:t>
            </w:r>
          </w:p>
        </w:tc>
      </w:tr>
    </w:tbl>
    <w:p w14:paraId="42B2743C" w14:textId="77777777" w:rsidR="00D4124E" w:rsidRDefault="00D4124E" w:rsidP="0005547B">
      <w:pPr>
        <w:suppressLineNumbers/>
        <w:spacing w:line="360" w:lineRule="auto"/>
        <w:rPr>
          <w:rFonts w:ascii="Cambria" w:eastAsia="Cambria" w:hAnsi="Cambria" w:cs="Cambria"/>
          <w:b/>
          <w:sz w:val="24"/>
          <w:szCs w:val="24"/>
        </w:rPr>
      </w:pPr>
    </w:p>
    <w:p w14:paraId="53220813" w14:textId="77777777" w:rsidR="00D4124E" w:rsidRDefault="00D4124E" w:rsidP="0005547B">
      <w:pPr>
        <w:suppressLineNumbers/>
        <w:spacing w:line="276" w:lineRule="auto"/>
        <w:rPr>
          <w:rFonts w:ascii="Cambria" w:eastAsia="Cambria" w:hAnsi="Cambria" w:cs="Cambria"/>
          <w:b/>
          <w:sz w:val="24"/>
          <w:szCs w:val="24"/>
        </w:rPr>
      </w:pPr>
    </w:p>
    <w:p w14:paraId="5B9C986B" w14:textId="77777777" w:rsidR="00D4124E" w:rsidRDefault="00D4124E" w:rsidP="0005547B">
      <w:pPr>
        <w:suppressLineNumbers/>
        <w:spacing w:line="360" w:lineRule="auto"/>
        <w:rPr>
          <w:rFonts w:ascii="Cambria" w:eastAsia="Cambria" w:hAnsi="Cambria" w:cs="Cambria"/>
          <w:b/>
          <w:sz w:val="24"/>
          <w:szCs w:val="24"/>
        </w:rPr>
      </w:pPr>
    </w:p>
    <w:p w14:paraId="219020B5" w14:textId="77777777" w:rsidR="00D4124E" w:rsidRDefault="00D4124E" w:rsidP="0005547B">
      <w:pPr>
        <w:suppressLineNumbers/>
        <w:spacing w:line="360" w:lineRule="auto"/>
        <w:rPr>
          <w:rFonts w:ascii="Cambria" w:eastAsia="Cambria" w:hAnsi="Cambria" w:cs="Cambria"/>
          <w:b/>
          <w:sz w:val="24"/>
          <w:szCs w:val="24"/>
        </w:rPr>
      </w:pPr>
    </w:p>
    <w:p w14:paraId="31437F72" w14:textId="77777777" w:rsidR="00D4124E" w:rsidRDefault="00D4124E" w:rsidP="0005547B">
      <w:pPr>
        <w:suppressLineNumbers/>
        <w:spacing w:line="360" w:lineRule="auto"/>
        <w:rPr>
          <w:rFonts w:ascii="Cambria" w:eastAsia="Cambria" w:hAnsi="Cambria" w:cs="Cambria"/>
          <w:b/>
          <w:sz w:val="24"/>
          <w:szCs w:val="24"/>
        </w:rPr>
      </w:pPr>
    </w:p>
    <w:p w14:paraId="057CFB07" w14:textId="77777777" w:rsidR="00D4124E" w:rsidRDefault="00D4124E" w:rsidP="0005547B">
      <w:pPr>
        <w:suppressLineNumbers/>
        <w:spacing w:after="0" w:line="240" w:lineRule="auto"/>
        <w:rPr>
          <w:rFonts w:ascii="Cambria" w:eastAsia="Cambria" w:hAnsi="Cambria" w:cs="Cambria"/>
          <w:b/>
        </w:rPr>
      </w:pPr>
    </w:p>
    <w:p w14:paraId="26B70161" w14:textId="77777777" w:rsidR="00D4124E" w:rsidRDefault="00000000" w:rsidP="0005547B">
      <w:pPr>
        <w:suppressLineNumbers/>
        <w:spacing w:after="0" w:line="240" w:lineRule="auto"/>
        <w:rPr>
          <w:rFonts w:ascii="Cambria" w:eastAsia="Cambria" w:hAnsi="Cambria" w:cs="Cambria"/>
          <w:b/>
          <w:sz w:val="24"/>
          <w:szCs w:val="24"/>
        </w:rPr>
      </w:pPr>
      <w:r>
        <w:br w:type="page"/>
      </w:r>
    </w:p>
    <w:p w14:paraId="55BCA4CD" w14:textId="77777777" w:rsidR="00D4124E" w:rsidRDefault="00000000">
      <w:pPr>
        <w:spacing w:line="360" w:lineRule="auto"/>
        <w:rPr>
          <w:rFonts w:ascii="Cambria" w:eastAsia="Cambria" w:hAnsi="Cambria" w:cs="Cambria"/>
          <w:sz w:val="24"/>
          <w:szCs w:val="24"/>
        </w:rPr>
      </w:pPr>
      <w:r>
        <w:rPr>
          <w:rFonts w:ascii="Cambria" w:eastAsia="Cambria" w:hAnsi="Cambria" w:cs="Cambria"/>
          <w:b/>
          <w:sz w:val="24"/>
          <w:szCs w:val="24"/>
        </w:rPr>
        <w:lastRenderedPageBreak/>
        <w:t>Table S2 |</w:t>
      </w:r>
      <w:r>
        <w:rPr>
          <w:rFonts w:ascii="Cambria" w:eastAsia="Cambria" w:hAnsi="Cambria" w:cs="Cambria"/>
          <w:sz w:val="24"/>
          <w:szCs w:val="24"/>
        </w:rPr>
        <w:t xml:space="preserve"> </w:t>
      </w:r>
      <w:r>
        <w:rPr>
          <w:rFonts w:ascii="Cambria" w:eastAsia="Cambria" w:hAnsi="Cambria" w:cs="Cambria"/>
          <w:b/>
          <w:sz w:val="24"/>
          <w:szCs w:val="24"/>
        </w:rPr>
        <w:t xml:space="preserve">Latitudinal gradients in sexual selection. </w:t>
      </w:r>
      <w:r>
        <w:rPr>
          <w:rFonts w:ascii="Cambria" w:eastAsia="Cambria" w:hAnsi="Cambria" w:cs="Cambria"/>
          <w:sz w:val="24"/>
          <w:szCs w:val="24"/>
        </w:rPr>
        <w:t xml:space="preserve">Results shown are </w:t>
      </w:r>
      <w:r>
        <w:t>β</w:t>
      </w:r>
      <w:r>
        <w:rPr>
          <w:rFonts w:ascii="Cambria" w:eastAsia="Cambria" w:hAnsi="Cambria" w:cs="Cambria"/>
          <w:sz w:val="24"/>
          <w:szCs w:val="24"/>
        </w:rPr>
        <w:t xml:space="preserve"> estimates and 95% credible intervals from Bayesian ordinal mixed-effect models estimating the strength of latitudinal gradients in sexual selection across different ecological groups of birds. Models were repeated on high certainty data, defined as species scored 3 or 4 for data certainty (see Extended Data Table 2). See Supplementary methods for detailed model descriptions. To increase legibility, estimates were multiplied by 10 to represent the change in sexual selection score over a 10 degree increase in latitude. See Figs. 2 &amp; 3, and Extended Data Figs. 3 &amp; 4 for visualisation (main text).</w:t>
      </w:r>
    </w:p>
    <w:p w14:paraId="410B4003" w14:textId="77777777" w:rsidR="00D4124E" w:rsidRDefault="00D4124E" w:rsidP="0005547B">
      <w:pPr>
        <w:suppressLineNumbers/>
        <w:spacing w:after="0" w:line="360" w:lineRule="auto"/>
        <w:jc w:val="both"/>
        <w:rPr>
          <w:rFonts w:ascii="Cambria" w:eastAsia="Cambria" w:hAnsi="Cambria" w:cs="Cambria"/>
          <w:b/>
          <w:sz w:val="24"/>
          <w:szCs w:val="24"/>
          <w:highlight w:val="yellow"/>
        </w:rPr>
      </w:pPr>
    </w:p>
    <w:tbl>
      <w:tblPr>
        <w:tblStyle w:val="a0"/>
        <w:tblW w:w="9255" w:type="dxa"/>
        <w:jc w:val="center"/>
        <w:tblLayout w:type="fixed"/>
        <w:tblLook w:val="04A0" w:firstRow="1" w:lastRow="0" w:firstColumn="1" w:lastColumn="0" w:noHBand="0" w:noVBand="1"/>
      </w:tblPr>
      <w:tblGrid>
        <w:gridCol w:w="1980"/>
        <w:gridCol w:w="840"/>
        <w:gridCol w:w="1230"/>
        <w:gridCol w:w="1590"/>
        <w:gridCol w:w="840"/>
        <w:gridCol w:w="1245"/>
        <w:gridCol w:w="1530"/>
      </w:tblGrid>
      <w:tr w:rsidR="00D4124E" w14:paraId="0A595594" w14:textId="77777777" w:rsidTr="0025405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shd w:val="clear" w:color="auto" w:fill="auto"/>
            <w:vAlign w:val="bottom"/>
          </w:tcPr>
          <w:p w14:paraId="67A39060" w14:textId="77777777" w:rsidR="00D4124E" w:rsidRDefault="00000000">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Sample</w:t>
            </w:r>
          </w:p>
        </w:tc>
        <w:tc>
          <w:tcPr>
            <w:tcW w:w="3660" w:type="dxa"/>
            <w:gridSpan w:val="3"/>
            <w:tcBorders>
              <w:bottom w:val="single" w:sz="4" w:space="0" w:color="auto"/>
            </w:tcBorders>
            <w:shd w:val="clear" w:color="auto" w:fill="auto"/>
            <w:vAlign w:val="bottom"/>
          </w:tcPr>
          <w:p w14:paraId="08E69230"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Certainty 1-4</w:t>
            </w:r>
          </w:p>
        </w:tc>
        <w:tc>
          <w:tcPr>
            <w:tcW w:w="3615" w:type="dxa"/>
            <w:gridSpan w:val="3"/>
            <w:tcBorders>
              <w:bottom w:val="single" w:sz="4" w:space="0" w:color="auto"/>
            </w:tcBorders>
            <w:shd w:val="clear" w:color="auto" w:fill="auto"/>
            <w:vAlign w:val="bottom"/>
          </w:tcPr>
          <w:p w14:paraId="1082F0B7"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Certainty 3-4</w:t>
            </w:r>
          </w:p>
        </w:tc>
      </w:tr>
      <w:tr w:rsidR="00D4124E" w14:paraId="66111857"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vAlign w:val="bottom"/>
          </w:tcPr>
          <w:p w14:paraId="2034D1FB" w14:textId="77777777" w:rsidR="00D4124E" w:rsidRDefault="00D4124E">
            <w:pPr>
              <w:spacing w:after="0" w:line="240" w:lineRule="auto"/>
              <w:rPr>
                <w:rFonts w:ascii="Cambria" w:eastAsia="Cambria" w:hAnsi="Cambria" w:cs="Cambria"/>
                <w:sz w:val="24"/>
                <w:szCs w:val="24"/>
              </w:rPr>
            </w:pPr>
          </w:p>
        </w:tc>
        <w:tc>
          <w:tcPr>
            <w:tcW w:w="840" w:type="dxa"/>
            <w:tcBorders>
              <w:top w:val="single" w:sz="4" w:space="0" w:color="auto"/>
              <w:bottom w:val="single" w:sz="4" w:space="0" w:color="auto"/>
            </w:tcBorders>
            <w:vAlign w:val="bottom"/>
          </w:tcPr>
          <w:p w14:paraId="25683B0A"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sz w:val="24"/>
                <w:szCs w:val="24"/>
              </w:rPr>
            </w:pPr>
            <w:r>
              <w:rPr>
                <w:rFonts w:ascii="Cambria" w:eastAsia="Cambria" w:hAnsi="Cambria" w:cs="Cambria"/>
                <w:i/>
                <w:sz w:val="24"/>
                <w:szCs w:val="24"/>
              </w:rPr>
              <w:t>n</w:t>
            </w:r>
          </w:p>
        </w:tc>
        <w:tc>
          <w:tcPr>
            <w:tcW w:w="1230" w:type="dxa"/>
            <w:tcBorders>
              <w:top w:val="single" w:sz="4" w:space="0" w:color="auto"/>
              <w:bottom w:val="single" w:sz="4" w:space="0" w:color="auto"/>
            </w:tcBorders>
            <w:shd w:val="clear" w:color="auto" w:fill="auto"/>
            <w:vAlign w:val="bottom"/>
          </w:tcPr>
          <w:p w14:paraId="2AADB298"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Estimate</w:t>
            </w:r>
          </w:p>
        </w:tc>
        <w:tc>
          <w:tcPr>
            <w:tcW w:w="1590" w:type="dxa"/>
            <w:tcBorders>
              <w:top w:val="single" w:sz="4" w:space="0" w:color="auto"/>
              <w:bottom w:val="single" w:sz="4" w:space="0" w:color="auto"/>
            </w:tcBorders>
            <w:shd w:val="clear" w:color="auto" w:fill="auto"/>
            <w:vAlign w:val="bottom"/>
          </w:tcPr>
          <w:p w14:paraId="64A94164"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95% CI</w:t>
            </w:r>
          </w:p>
        </w:tc>
        <w:tc>
          <w:tcPr>
            <w:tcW w:w="840" w:type="dxa"/>
            <w:tcBorders>
              <w:top w:val="single" w:sz="4" w:space="0" w:color="auto"/>
              <w:bottom w:val="single" w:sz="4" w:space="0" w:color="auto"/>
            </w:tcBorders>
            <w:vAlign w:val="bottom"/>
          </w:tcPr>
          <w:p w14:paraId="4C3E80CE"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sz w:val="24"/>
                <w:szCs w:val="24"/>
              </w:rPr>
            </w:pPr>
            <w:r>
              <w:rPr>
                <w:rFonts w:ascii="Cambria" w:eastAsia="Cambria" w:hAnsi="Cambria" w:cs="Cambria"/>
                <w:i/>
                <w:sz w:val="24"/>
                <w:szCs w:val="24"/>
              </w:rPr>
              <w:t>n</w:t>
            </w:r>
          </w:p>
        </w:tc>
        <w:tc>
          <w:tcPr>
            <w:tcW w:w="1245" w:type="dxa"/>
            <w:tcBorders>
              <w:top w:val="single" w:sz="4" w:space="0" w:color="auto"/>
              <w:bottom w:val="single" w:sz="4" w:space="0" w:color="auto"/>
            </w:tcBorders>
            <w:shd w:val="clear" w:color="auto" w:fill="auto"/>
            <w:vAlign w:val="bottom"/>
          </w:tcPr>
          <w:p w14:paraId="14E032C2"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Estimate</w:t>
            </w:r>
          </w:p>
        </w:tc>
        <w:tc>
          <w:tcPr>
            <w:tcW w:w="1530" w:type="dxa"/>
            <w:tcBorders>
              <w:top w:val="single" w:sz="4" w:space="0" w:color="auto"/>
              <w:bottom w:val="single" w:sz="4" w:space="0" w:color="auto"/>
            </w:tcBorders>
            <w:shd w:val="clear" w:color="auto" w:fill="auto"/>
            <w:vAlign w:val="bottom"/>
          </w:tcPr>
          <w:p w14:paraId="780800B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95% CI</w:t>
            </w:r>
          </w:p>
        </w:tc>
      </w:tr>
      <w:tr w:rsidR="00D4124E" w14:paraId="18067A87"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38DFBF1C"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All birds</w:t>
            </w:r>
          </w:p>
        </w:tc>
        <w:tc>
          <w:tcPr>
            <w:tcW w:w="840" w:type="dxa"/>
            <w:tcBorders>
              <w:top w:val="single" w:sz="4" w:space="0" w:color="auto"/>
            </w:tcBorders>
            <w:vAlign w:val="bottom"/>
          </w:tcPr>
          <w:p w14:paraId="7AB37886"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9836</w:t>
            </w:r>
          </w:p>
        </w:tc>
        <w:tc>
          <w:tcPr>
            <w:tcW w:w="1230" w:type="dxa"/>
            <w:tcBorders>
              <w:top w:val="single" w:sz="4" w:space="0" w:color="auto"/>
            </w:tcBorders>
            <w:shd w:val="clear" w:color="auto" w:fill="auto"/>
            <w:vAlign w:val="bottom"/>
          </w:tcPr>
          <w:p w14:paraId="5223A756"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0.17</w:t>
            </w:r>
          </w:p>
        </w:tc>
        <w:tc>
          <w:tcPr>
            <w:tcW w:w="1590" w:type="dxa"/>
            <w:tcBorders>
              <w:top w:val="single" w:sz="4" w:space="0" w:color="auto"/>
            </w:tcBorders>
            <w:shd w:val="clear" w:color="auto" w:fill="auto"/>
            <w:vAlign w:val="bottom"/>
          </w:tcPr>
          <w:p w14:paraId="3CD7756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0.14, 0.20</w:t>
            </w:r>
          </w:p>
        </w:tc>
        <w:tc>
          <w:tcPr>
            <w:tcW w:w="840" w:type="dxa"/>
            <w:tcBorders>
              <w:top w:val="single" w:sz="4" w:space="0" w:color="auto"/>
            </w:tcBorders>
            <w:vAlign w:val="bottom"/>
          </w:tcPr>
          <w:p w14:paraId="30C06848"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7592</w:t>
            </w:r>
          </w:p>
        </w:tc>
        <w:tc>
          <w:tcPr>
            <w:tcW w:w="1245" w:type="dxa"/>
            <w:tcBorders>
              <w:top w:val="single" w:sz="4" w:space="0" w:color="auto"/>
            </w:tcBorders>
            <w:shd w:val="clear" w:color="auto" w:fill="auto"/>
            <w:vAlign w:val="bottom"/>
          </w:tcPr>
          <w:p w14:paraId="606D66E6"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0.15</w:t>
            </w:r>
          </w:p>
        </w:tc>
        <w:tc>
          <w:tcPr>
            <w:tcW w:w="1530" w:type="dxa"/>
            <w:tcBorders>
              <w:top w:val="single" w:sz="4" w:space="0" w:color="auto"/>
            </w:tcBorders>
            <w:shd w:val="clear" w:color="auto" w:fill="auto"/>
            <w:vAlign w:val="bottom"/>
          </w:tcPr>
          <w:p w14:paraId="6011701A"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0.12, 0.18</w:t>
            </w:r>
          </w:p>
        </w:tc>
      </w:tr>
      <w:tr w:rsidR="00D4124E" w14:paraId="45CEDEE1"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4B9741CB"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consumers</w:t>
            </w:r>
          </w:p>
        </w:tc>
        <w:tc>
          <w:tcPr>
            <w:tcW w:w="840" w:type="dxa"/>
            <w:vAlign w:val="bottom"/>
          </w:tcPr>
          <w:p w14:paraId="04C3DDC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2753</w:t>
            </w:r>
          </w:p>
        </w:tc>
        <w:tc>
          <w:tcPr>
            <w:tcW w:w="1230" w:type="dxa"/>
            <w:shd w:val="clear" w:color="auto" w:fill="auto"/>
            <w:vAlign w:val="bottom"/>
          </w:tcPr>
          <w:p w14:paraId="69206E70"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0.01</w:t>
            </w:r>
          </w:p>
        </w:tc>
        <w:tc>
          <w:tcPr>
            <w:tcW w:w="1590" w:type="dxa"/>
            <w:shd w:val="clear" w:color="auto" w:fill="auto"/>
            <w:vAlign w:val="bottom"/>
          </w:tcPr>
          <w:p w14:paraId="1C39B9A6"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-0.04, 0.07</w:t>
            </w:r>
          </w:p>
        </w:tc>
        <w:tc>
          <w:tcPr>
            <w:tcW w:w="840" w:type="dxa"/>
            <w:vAlign w:val="bottom"/>
          </w:tcPr>
          <w:p w14:paraId="6D93CB8D"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2311</w:t>
            </w:r>
          </w:p>
        </w:tc>
        <w:tc>
          <w:tcPr>
            <w:tcW w:w="1245" w:type="dxa"/>
            <w:shd w:val="clear" w:color="auto" w:fill="auto"/>
            <w:vAlign w:val="bottom"/>
          </w:tcPr>
          <w:p w14:paraId="59F4CD8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-0.03</w:t>
            </w:r>
          </w:p>
        </w:tc>
        <w:tc>
          <w:tcPr>
            <w:tcW w:w="1530" w:type="dxa"/>
            <w:shd w:val="clear" w:color="auto" w:fill="auto"/>
            <w:vAlign w:val="bottom"/>
          </w:tcPr>
          <w:p w14:paraId="1F7E27F0"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-0.09, 0.03</w:t>
            </w:r>
          </w:p>
        </w:tc>
      </w:tr>
      <w:tr w:rsidR="00D4124E" w14:paraId="610207C4" w14:textId="77777777" w:rsidTr="00D4124E">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2C493C86"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Frugivores</w:t>
            </w:r>
          </w:p>
        </w:tc>
        <w:tc>
          <w:tcPr>
            <w:tcW w:w="840" w:type="dxa"/>
            <w:vAlign w:val="bottom"/>
          </w:tcPr>
          <w:p w14:paraId="10A3B1E8"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1025</w:t>
            </w:r>
          </w:p>
        </w:tc>
        <w:tc>
          <w:tcPr>
            <w:tcW w:w="1230" w:type="dxa"/>
            <w:shd w:val="clear" w:color="auto" w:fill="auto"/>
            <w:vAlign w:val="bottom"/>
          </w:tcPr>
          <w:p w14:paraId="72ECC0DC"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-0.24</w:t>
            </w:r>
          </w:p>
        </w:tc>
        <w:tc>
          <w:tcPr>
            <w:tcW w:w="1590" w:type="dxa"/>
            <w:shd w:val="clear" w:color="auto" w:fill="auto"/>
            <w:vAlign w:val="bottom"/>
          </w:tcPr>
          <w:p w14:paraId="7FAF9EDF"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-0.47, -0.01</w:t>
            </w:r>
          </w:p>
        </w:tc>
        <w:tc>
          <w:tcPr>
            <w:tcW w:w="840" w:type="dxa"/>
            <w:vAlign w:val="bottom"/>
          </w:tcPr>
          <w:p w14:paraId="0F6EC108"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767</w:t>
            </w:r>
          </w:p>
        </w:tc>
        <w:tc>
          <w:tcPr>
            <w:tcW w:w="1245" w:type="dxa"/>
            <w:shd w:val="clear" w:color="auto" w:fill="auto"/>
            <w:vAlign w:val="bottom"/>
          </w:tcPr>
          <w:p w14:paraId="26F018AA"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b/>
                <w:sz w:val="24"/>
                <w:szCs w:val="24"/>
              </w:rPr>
            </w:pPr>
            <w:r>
              <w:rPr>
                <w:rFonts w:ascii="Cambria" w:eastAsia="Cambria" w:hAnsi="Cambria" w:cs="Cambria"/>
                <w:sz w:val="24"/>
                <w:szCs w:val="24"/>
              </w:rPr>
              <w:t>-0.30</w:t>
            </w:r>
          </w:p>
        </w:tc>
        <w:tc>
          <w:tcPr>
            <w:tcW w:w="1530" w:type="dxa"/>
            <w:shd w:val="clear" w:color="auto" w:fill="auto"/>
            <w:vAlign w:val="bottom"/>
          </w:tcPr>
          <w:p w14:paraId="63EEF38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b/>
                <w:sz w:val="24"/>
                <w:szCs w:val="24"/>
              </w:rPr>
            </w:pPr>
            <w:r>
              <w:rPr>
                <w:rFonts w:ascii="Cambria" w:eastAsia="Cambria" w:hAnsi="Cambria" w:cs="Cambria"/>
                <w:sz w:val="24"/>
                <w:szCs w:val="24"/>
              </w:rPr>
              <w:t>-0.57, -0.05</w:t>
            </w:r>
          </w:p>
        </w:tc>
      </w:tr>
      <w:tr w:rsidR="00D4124E" w14:paraId="357171ED"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25F0D61A"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vertAlign w:val="superscript"/>
              </w:rPr>
              <w:t>ry</w:t>
            </w:r>
            <w:r>
              <w:rPr>
                <w:rFonts w:ascii="Cambria" w:eastAsia="Cambria" w:hAnsi="Cambria" w:cs="Cambria"/>
                <w:sz w:val="24"/>
                <w:szCs w:val="24"/>
              </w:rPr>
              <w:t xml:space="preserve"> consumers</w:t>
            </w:r>
          </w:p>
        </w:tc>
        <w:tc>
          <w:tcPr>
            <w:tcW w:w="840" w:type="dxa"/>
            <w:vAlign w:val="bottom"/>
          </w:tcPr>
          <w:p w14:paraId="23526C81"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7083</w:t>
            </w:r>
          </w:p>
        </w:tc>
        <w:tc>
          <w:tcPr>
            <w:tcW w:w="1230" w:type="dxa"/>
            <w:shd w:val="clear" w:color="auto" w:fill="auto"/>
            <w:vAlign w:val="bottom"/>
          </w:tcPr>
          <w:p w14:paraId="2C194829"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0.30</w:t>
            </w:r>
          </w:p>
        </w:tc>
        <w:tc>
          <w:tcPr>
            <w:tcW w:w="1590" w:type="dxa"/>
            <w:shd w:val="clear" w:color="auto" w:fill="auto"/>
            <w:vAlign w:val="bottom"/>
          </w:tcPr>
          <w:p w14:paraId="60F228AE"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0.26, 0.34</w:t>
            </w:r>
          </w:p>
        </w:tc>
        <w:tc>
          <w:tcPr>
            <w:tcW w:w="840" w:type="dxa"/>
            <w:vAlign w:val="bottom"/>
          </w:tcPr>
          <w:p w14:paraId="450F889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5281</w:t>
            </w:r>
          </w:p>
        </w:tc>
        <w:tc>
          <w:tcPr>
            <w:tcW w:w="1245" w:type="dxa"/>
            <w:shd w:val="clear" w:color="auto" w:fill="auto"/>
            <w:vAlign w:val="bottom"/>
          </w:tcPr>
          <w:p w14:paraId="7FF883A3"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0.32</w:t>
            </w:r>
          </w:p>
        </w:tc>
        <w:tc>
          <w:tcPr>
            <w:tcW w:w="1530" w:type="dxa"/>
            <w:shd w:val="clear" w:color="auto" w:fill="auto"/>
            <w:vAlign w:val="bottom"/>
          </w:tcPr>
          <w:p w14:paraId="7BDF028A"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0.28, 0.36</w:t>
            </w:r>
          </w:p>
        </w:tc>
      </w:tr>
      <w:tr w:rsidR="00D4124E" w14:paraId="5214EF72" w14:textId="77777777" w:rsidTr="00D4124E">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5C2C6C6F"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Invertivores</w:t>
            </w:r>
          </w:p>
        </w:tc>
        <w:tc>
          <w:tcPr>
            <w:tcW w:w="840" w:type="dxa"/>
            <w:vAlign w:val="bottom"/>
          </w:tcPr>
          <w:p w14:paraId="2F48C846"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4694</w:t>
            </w:r>
          </w:p>
        </w:tc>
        <w:tc>
          <w:tcPr>
            <w:tcW w:w="1230" w:type="dxa"/>
            <w:shd w:val="clear" w:color="auto" w:fill="auto"/>
            <w:vAlign w:val="bottom"/>
          </w:tcPr>
          <w:p w14:paraId="1637F921"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0.45</w:t>
            </w:r>
          </w:p>
        </w:tc>
        <w:tc>
          <w:tcPr>
            <w:tcW w:w="1590" w:type="dxa"/>
            <w:shd w:val="clear" w:color="auto" w:fill="auto"/>
            <w:vAlign w:val="bottom"/>
          </w:tcPr>
          <w:p w14:paraId="7C5D1657"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0.39, 0.51</w:t>
            </w:r>
          </w:p>
        </w:tc>
        <w:tc>
          <w:tcPr>
            <w:tcW w:w="840" w:type="dxa"/>
            <w:vAlign w:val="bottom"/>
          </w:tcPr>
          <w:p w14:paraId="1A2F0005"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3477</w:t>
            </w:r>
          </w:p>
        </w:tc>
        <w:tc>
          <w:tcPr>
            <w:tcW w:w="1245" w:type="dxa"/>
            <w:shd w:val="clear" w:color="auto" w:fill="auto"/>
            <w:vAlign w:val="bottom"/>
          </w:tcPr>
          <w:p w14:paraId="18206F66"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0.56</w:t>
            </w:r>
          </w:p>
        </w:tc>
        <w:tc>
          <w:tcPr>
            <w:tcW w:w="1530" w:type="dxa"/>
            <w:shd w:val="clear" w:color="auto" w:fill="auto"/>
            <w:vAlign w:val="bottom"/>
          </w:tcPr>
          <w:p w14:paraId="2F5E5CA5"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0.50, 0.63</w:t>
            </w:r>
          </w:p>
        </w:tc>
      </w:tr>
      <w:tr w:rsidR="00D4124E" w14:paraId="2A7CB148"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0832C986"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Migrants</w:t>
            </w:r>
          </w:p>
        </w:tc>
        <w:tc>
          <w:tcPr>
            <w:tcW w:w="840" w:type="dxa"/>
            <w:vAlign w:val="bottom"/>
          </w:tcPr>
          <w:p w14:paraId="1F69DCBE"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901</w:t>
            </w:r>
          </w:p>
        </w:tc>
        <w:tc>
          <w:tcPr>
            <w:tcW w:w="1230" w:type="dxa"/>
            <w:shd w:val="clear" w:color="auto" w:fill="auto"/>
            <w:vAlign w:val="bottom"/>
          </w:tcPr>
          <w:p w14:paraId="3B462E4E"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0.15</w:t>
            </w:r>
          </w:p>
        </w:tc>
        <w:tc>
          <w:tcPr>
            <w:tcW w:w="1590" w:type="dxa"/>
            <w:shd w:val="clear" w:color="auto" w:fill="auto"/>
            <w:vAlign w:val="bottom"/>
          </w:tcPr>
          <w:p w14:paraId="0E6B328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0.06, 0.23</w:t>
            </w:r>
          </w:p>
        </w:tc>
        <w:tc>
          <w:tcPr>
            <w:tcW w:w="840" w:type="dxa"/>
            <w:vAlign w:val="bottom"/>
          </w:tcPr>
          <w:p w14:paraId="417EA78F"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793</w:t>
            </w:r>
          </w:p>
        </w:tc>
        <w:tc>
          <w:tcPr>
            <w:tcW w:w="1245" w:type="dxa"/>
            <w:shd w:val="clear" w:color="auto" w:fill="auto"/>
            <w:vAlign w:val="bottom"/>
          </w:tcPr>
          <w:p w14:paraId="32EEE11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0.14</w:t>
            </w:r>
          </w:p>
        </w:tc>
        <w:tc>
          <w:tcPr>
            <w:tcW w:w="1530" w:type="dxa"/>
            <w:shd w:val="clear" w:color="auto" w:fill="auto"/>
            <w:vAlign w:val="bottom"/>
          </w:tcPr>
          <w:p w14:paraId="113E9F94"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0.05, 0.23</w:t>
            </w:r>
          </w:p>
        </w:tc>
      </w:tr>
      <w:tr w:rsidR="00D4124E" w14:paraId="658312C2" w14:textId="77777777" w:rsidTr="00D4124E">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0CA9D9B2"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Non-migrants</w:t>
            </w:r>
          </w:p>
        </w:tc>
        <w:tc>
          <w:tcPr>
            <w:tcW w:w="840" w:type="dxa"/>
            <w:vAlign w:val="bottom"/>
          </w:tcPr>
          <w:p w14:paraId="6B114087"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8935</w:t>
            </w:r>
          </w:p>
        </w:tc>
        <w:tc>
          <w:tcPr>
            <w:tcW w:w="1230" w:type="dxa"/>
            <w:shd w:val="clear" w:color="auto" w:fill="auto"/>
            <w:vAlign w:val="bottom"/>
          </w:tcPr>
          <w:p w14:paraId="0FE56419"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0.13</w:t>
            </w:r>
          </w:p>
        </w:tc>
        <w:tc>
          <w:tcPr>
            <w:tcW w:w="1590" w:type="dxa"/>
            <w:shd w:val="clear" w:color="auto" w:fill="auto"/>
            <w:vAlign w:val="bottom"/>
          </w:tcPr>
          <w:p w14:paraId="6E3DB9A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0.09, 0.17</w:t>
            </w:r>
          </w:p>
        </w:tc>
        <w:tc>
          <w:tcPr>
            <w:tcW w:w="840" w:type="dxa"/>
            <w:vAlign w:val="bottom"/>
          </w:tcPr>
          <w:p w14:paraId="5108C3DD"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6799</w:t>
            </w:r>
          </w:p>
        </w:tc>
        <w:tc>
          <w:tcPr>
            <w:tcW w:w="1245" w:type="dxa"/>
            <w:shd w:val="clear" w:color="auto" w:fill="auto"/>
            <w:vAlign w:val="bottom"/>
          </w:tcPr>
          <w:p w14:paraId="584EE11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0.11</w:t>
            </w:r>
          </w:p>
        </w:tc>
        <w:tc>
          <w:tcPr>
            <w:tcW w:w="1530" w:type="dxa"/>
            <w:shd w:val="clear" w:color="auto" w:fill="auto"/>
            <w:vAlign w:val="bottom"/>
          </w:tcPr>
          <w:p w14:paraId="651EB142"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0.06, 0.15</w:t>
            </w:r>
          </w:p>
        </w:tc>
      </w:tr>
      <w:tr w:rsidR="00D4124E" w14:paraId="471B5358"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707377E3"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Territorial</w:t>
            </w:r>
          </w:p>
        </w:tc>
        <w:tc>
          <w:tcPr>
            <w:tcW w:w="840" w:type="dxa"/>
            <w:vAlign w:val="bottom"/>
          </w:tcPr>
          <w:p w14:paraId="18CB3062"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7261</w:t>
            </w:r>
          </w:p>
        </w:tc>
        <w:tc>
          <w:tcPr>
            <w:tcW w:w="1230" w:type="dxa"/>
            <w:shd w:val="clear" w:color="auto" w:fill="auto"/>
            <w:vAlign w:val="bottom"/>
          </w:tcPr>
          <w:p w14:paraId="460BEF40"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0.42</w:t>
            </w:r>
          </w:p>
        </w:tc>
        <w:tc>
          <w:tcPr>
            <w:tcW w:w="1590" w:type="dxa"/>
            <w:shd w:val="clear" w:color="auto" w:fill="auto"/>
            <w:vAlign w:val="bottom"/>
          </w:tcPr>
          <w:p w14:paraId="52E6474F"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0.37, 0.46</w:t>
            </w:r>
          </w:p>
        </w:tc>
        <w:tc>
          <w:tcPr>
            <w:tcW w:w="840" w:type="dxa"/>
            <w:vAlign w:val="bottom"/>
          </w:tcPr>
          <w:p w14:paraId="674A9277"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5353</w:t>
            </w:r>
          </w:p>
        </w:tc>
        <w:tc>
          <w:tcPr>
            <w:tcW w:w="1245" w:type="dxa"/>
            <w:shd w:val="clear" w:color="auto" w:fill="auto"/>
            <w:vAlign w:val="bottom"/>
          </w:tcPr>
          <w:p w14:paraId="32E1C73B"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0.42</w:t>
            </w:r>
          </w:p>
        </w:tc>
        <w:tc>
          <w:tcPr>
            <w:tcW w:w="1530" w:type="dxa"/>
            <w:shd w:val="clear" w:color="auto" w:fill="auto"/>
            <w:vAlign w:val="bottom"/>
          </w:tcPr>
          <w:p w14:paraId="1AA500C5"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0.37, 0.47</w:t>
            </w:r>
          </w:p>
        </w:tc>
      </w:tr>
      <w:tr w:rsidR="00D4124E" w14:paraId="2F7CFF62"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shd w:val="clear" w:color="auto" w:fill="auto"/>
            <w:vAlign w:val="bottom"/>
          </w:tcPr>
          <w:p w14:paraId="7E591F45"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Non-territorial</w:t>
            </w:r>
          </w:p>
        </w:tc>
        <w:tc>
          <w:tcPr>
            <w:tcW w:w="840" w:type="dxa"/>
            <w:tcBorders>
              <w:bottom w:val="single" w:sz="4" w:space="0" w:color="auto"/>
            </w:tcBorders>
            <w:vAlign w:val="bottom"/>
          </w:tcPr>
          <w:p w14:paraId="3C11A522"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2575</w:t>
            </w:r>
          </w:p>
        </w:tc>
        <w:tc>
          <w:tcPr>
            <w:tcW w:w="1230" w:type="dxa"/>
            <w:tcBorders>
              <w:bottom w:val="single" w:sz="4" w:space="0" w:color="auto"/>
            </w:tcBorders>
            <w:shd w:val="clear" w:color="auto" w:fill="auto"/>
            <w:vAlign w:val="bottom"/>
          </w:tcPr>
          <w:p w14:paraId="0BF8E7FD"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-0.11</w:t>
            </w:r>
          </w:p>
        </w:tc>
        <w:tc>
          <w:tcPr>
            <w:tcW w:w="1590" w:type="dxa"/>
            <w:tcBorders>
              <w:bottom w:val="single" w:sz="4" w:space="0" w:color="auto"/>
            </w:tcBorders>
            <w:shd w:val="clear" w:color="auto" w:fill="auto"/>
            <w:vAlign w:val="bottom"/>
          </w:tcPr>
          <w:p w14:paraId="66E89832"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-0.15, -0.06</w:t>
            </w:r>
          </w:p>
        </w:tc>
        <w:tc>
          <w:tcPr>
            <w:tcW w:w="840" w:type="dxa"/>
            <w:tcBorders>
              <w:bottom w:val="single" w:sz="4" w:space="0" w:color="auto"/>
            </w:tcBorders>
            <w:vAlign w:val="bottom"/>
          </w:tcPr>
          <w:p w14:paraId="0423945A"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2239</w:t>
            </w:r>
          </w:p>
        </w:tc>
        <w:tc>
          <w:tcPr>
            <w:tcW w:w="1245" w:type="dxa"/>
            <w:tcBorders>
              <w:bottom w:val="single" w:sz="4" w:space="0" w:color="auto"/>
            </w:tcBorders>
            <w:shd w:val="clear" w:color="auto" w:fill="auto"/>
            <w:vAlign w:val="bottom"/>
          </w:tcPr>
          <w:p w14:paraId="63FF0088"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-0.12</w:t>
            </w:r>
          </w:p>
        </w:tc>
        <w:tc>
          <w:tcPr>
            <w:tcW w:w="1530" w:type="dxa"/>
            <w:tcBorders>
              <w:bottom w:val="single" w:sz="4" w:space="0" w:color="auto"/>
            </w:tcBorders>
            <w:shd w:val="clear" w:color="auto" w:fill="auto"/>
            <w:vAlign w:val="bottom"/>
          </w:tcPr>
          <w:p w14:paraId="48C45851"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sz w:val="24"/>
                <w:szCs w:val="24"/>
              </w:rPr>
            </w:pPr>
            <w:r>
              <w:rPr>
                <w:rFonts w:ascii="Cambria" w:eastAsia="Cambria" w:hAnsi="Cambria" w:cs="Cambria"/>
                <w:sz w:val="24"/>
                <w:szCs w:val="24"/>
              </w:rPr>
              <w:t>-0.17, -0.08</w:t>
            </w:r>
          </w:p>
        </w:tc>
      </w:tr>
    </w:tbl>
    <w:p w14:paraId="695E11EA" w14:textId="77777777" w:rsidR="00D4124E" w:rsidRDefault="00D4124E" w:rsidP="0005547B">
      <w:pPr>
        <w:suppressLineNumbers/>
        <w:spacing w:after="0" w:line="360" w:lineRule="auto"/>
        <w:jc w:val="both"/>
        <w:rPr>
          <w:rFonts w:ascii="Cambria" w:eastAsia="Cambria" w:hAnsi="Cambria" w:cs="Cambria"/>
          <w:b/>
          <w:highlight w:val="yellow"/>
        </w:rPr>
      </w:pPr>
    </w:p>
    <w:p w14:paraId="58E22A81" w14:textId="77777777" w:rsidR="00D4124E" w:rsidRDefault="00D4124E" w:rsidP="0005547B">
      <w:pPr>
        <w:suppressLineNumbers/>
        <w:spacing w:after="0" w:line="360" w:lineRule="auto"/>
        <w:jc w:val="both"/>
        <w:rPr>
          <w:rFonts w:ascii="Cambria" w:eastAsia="Cambria" w:hAnsi="Cambria" w:cs="Cambria"/>
          <w:b/>
        </w:rPr>
      </w:pPr>
    </w:p>
    <w:p w14:paraId="7785714C" w14:textId="77777777" w:rsidR="00D4124E" w:rsidRDefault="00000000" w:rsidP="0005547B">
      <w:pPr>
        <w:suppressLineNumbers/>
        <w:spacing w:after="0" w:line="240" w:lineRule="auto"/>
        <w:rPr>
          <w:rFonts w:ascii="Cambria" w:eastAsia="Cambria" w:hAnsi="Cambria" w:cs="Cambria"/>
          <w:b/>
        </w:rPr>
      </w:pPr>
      <w:r>
        <w:br w:type="page"/>
      </w:r>
    </w:p>
    <w:p w14:paraId="55587A07" w14:textId="77777777" w:rsidR="00D4124E" w:rsidRDefault="00000000">
      <w:pPr>
        <w:spacing w:after="0" w:line="360" w:lineRule="auto"/>
        <w:rPr>
          <w:rFonts w:ascii="Cambria" w:eastAsia="Cambria" w:hAnsi="Cambria" w:cs="Cambria"/>
          <w:sz w:val="24"/>
          <w:szCs w:val="24"/>
        </w:rPr>
      </w:pPr>
      <w:r>
        <w:rPr>
          <w:rFonts w:ascii="Cambria" w:eastAsia="Cambria" w:hAnsi="Cambria" w:cs="Cambria"/>
          <w:b/>
          <w:sz w:val="24"/>
          <w:szCs w:val="24"/>
        </w:rPr>
        <w:lastRenderedPageBreak/>
        <w:t xml:space="preserve">Table S3 | Differences in sexual selection for tropical and non-tropical species. </w:t>
      </w:r>
      <w:r>
        <w:rPr>
          <w:rFonts w:ascii="Cambria" w:eastAsia="Cambria" w:hAnsi="Cambria" w:cs="Cambria"/>
          <w:sz w:val="24"/>
          <w:szCs w:val="24"/>
        </w:rPr>
        <w:t xml:space="preserve">Results shown are </w:t>
      </w:r>
      <w:r>
        <w:t>β</w:t>
      </w:r>
      <w:r>
        <w:rPr>
          <w:rFonts w:ascii="Cambria" w:eastAsia="Cambria" w:hAnsi="Cambria" w:cs="Cambria"/>
          <w:sz w:val="24"/>
          <w:szCs w:val="24"/>
        </w:rPr>
        <w:t xml:space="preserve"> estimates and 95% credible intervals from Bayesian ordinal mixed-effect models estimating the difference in the strength of sexual selection between tropical and non-tropical species for different ecological groups of birds. Species were assigned tropical status if the centre of their range was within the Tropics of Capricorn and Cancer (&lt; 23.4 degrees latitude). Models were repeated on high certainty data, defined as species scored 3 or 4 for data certainty (see Extended Data Table 2). See Supplementary methods for detailed model descriptions. See Extended Data Fig. 6 for visualisation (main text).</w:t>
      </w:r>
    </w:p>
    <w:p w14:paraId="3E4E3D7A" w14:textId="77777777" w:rsidR="00D4124E" w:rsidRDefault="00D4124E" w:rsidP="0005547B">
      <w:pPr>
        <w:suppressLineNumbers/>
        <w:spacing w:after="0" w:line="360" w:lineRule="auto"/>
        <w:jc w:val="both"/>
        <w:rPr>
          <w:rFonts w:ascii="Cambria" w:eastAsia="Cambria" w:hAnsi="Cambria" w:cs="Cambria"/>
          <w:b/>
          <w:sz w:val="24"/>
          <w:szCs w:val="24"/>
          <w:highlight w:val="yellow"/>
        </w:rPr>
      </w:pPr>
    </w:p>
    <w:tbl>
      <w:tblPr>
        <w:tblStyle w:val="a1"/>
        <w:tblW w:w="9255" w:type="dxa"/>
        <w:jc w:val="center"/>
        <w:tblLayout w:type="fixed"/>
        <w:tblLook w:val="04A0" w:firstRow="1" w:lastRow="0" w:firstColumn="1" w:lastColumn="0" w:noHBand="0" w:noVBand="1"/>
      </w:tblPr>
      <w:tblGrid>
        <w:gridCol w:w="1980"/>
        <w:gridCol w:w="840"/>
        <w:gridCol w:w="1230"/>
        <w:gridCol w:w="1590"/>
        <w:gridCol w:w="840"/>
        <w:gridCol w:w="1245"/>
        <w:gridCol w:w="1530"/>
      </w:tblGrid>
      <w:tr w:rsidR="00D4124E" w14:paraId="26D8F9CD" w14:textId="77777777" w:rsidTr="0025405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shd w:val="clear" w:color="auto" w:fill="auto"/>
            <w:vAlign w:val="bottom"/>
          </w:tcPr>
          <w:p w14:paraId="5A99507A" w14:textId="77777777" w:rsidR="00D4124E" w:rsidRDefault="00000000">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Sample</w:t>
            </w:r>
          </w:p>
        </w:tc>
        <w:tc>
          <w:tcPr>
            <w:tcW w:w="3660" w:type="dxa"/>
            <w:gridSpan w:val="3"/>
            <w:tcBorders>
              <w:bottom w:val="single" w:sz="4" w:space="0" w:color="auto"/>
            </w:tcBorders>
            <w:shd w:val="clear" w:color="auto" w:fill="auto"/>
            <w:vAlign w:val="bottom"/>
          </w:tcPr>
          <w:p w14:paraId="46B14C62"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Certainty 1-4</w:t>
            </w:r>
          </w:p>
        </w:tc>
        <w:tc>
          <w:tcPr>
            <w:tcW w:w="3615" w:type="dxa"/>
            <w:gridSpan w:val="3"/>
            <w:tcBorders>
              <w:bottom w:val="single" w:sz="4" w:space="0" w:color="auto"/>
            </w:tcBorders>
            <w:shd w:val="clear" w:color="auto" w:fill="auto"/>
            <w:vAlign w:val="bottom"/>
          </w:tcPr>
          <w:p w14:paraId="1ACC334E"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Certainty 3-4</w:t>
            </w:r>
          </w:p>
        </w:tc>
      </w:tr>
      <w:tr w:rsidR="00D4124E" w14:paraId="05DFBBB6"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tcBorders>
            <w:vAlign w:val="bottom"/>
          </w:tcPr>
          <w:p w14:paraId="6CF3E55E" w14:textId="77777777" w:rsidR="00D4124E" w:rsidRDefault="00D4124E">
            <w:pPr>
              <w:spacing w:after="0" w:line="240" w:lineRule="auto"/>
              <w:rPr>
                <w:rFonts w:ascii="Cambria" w:eastAsia="Cambria" w:hAnsi="Cambria" w:cs="Cambria"/>
                <w:sz w:val="24"/>
                <w:szCs w:val="24"/>
              </w:rPr>
            </w:pPr>
          </w:p>
        </w:tc>
        <w:tc>
          <w:tcPr>
            <w:tcW w:w="840" w:type="dxa"/>
            <w:tcBorders>
              <w:top w:val="single" w:sz="4" w:space="0" w:color="auto"/>
              <w:bottom w:val="single" w:sz="4" w:space="0" w:color="auto"/>
            </w:tcBorders>
            <w:vAlign w:val="bottom"/>
          </w:tcPr>
          <w:p w14:paraId="63B33451"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4"/>
                <w:szCs w:val="24"/>
              </w:rPr>
            </w:pPr>
            <w:r>
              <w:rPr>
                <w:rFonts w:ascii="Cambria" w:eastAsia="Cambria" w:hAnsi="Cambria" w:cs="Cambria"/>
                <w:i/>
                <w:color w:val="000000"/>
                <w:sz w:val="24"/>
                <w:szCs w:val="24"/>
              </w:rPr>
              <w:t>n</w:t>
            </w:r>
          </w:p>
        </w:tc>
        <w:tc>
          <w:tcPr>
            <w:tcW w:w="1230" w:type="dxa"/>
            <w:tcBorders>
              <w:top w:val="single" w:sz="4" w:space="0" w:color="auto"/>
              <w:bottom w:val="single" w:sz="4" w:space="0" w:color="auto"/>
            </w:tcBorders>
            <w:shd w:val="clear" w:color="auto" w:fill="auto"/>
            <w:vAlign w:val="bottom"/>
          </w:tcPr>
          <w:p w14:paraId="6CEAFA4A"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Estimate</w:t>
            </w:r>
          </w:p>
        </w:tc>
        <w:tc>
          <w:tcPr>
            <w:tcW w:w="1590" w:type="dxa"/>
            <w:tcBorders>
              <w:top w:val="single" w:sz="4" w:space="0" w:color="auto"/>
              <w:bottom w:val="single" w:sz="4" w:space="0" w:color="auto"/>
            </w:tcBorders>
            <w:shd w:val="clear" w:color="auto" w:fill="auto"/>
            <w:vAlign w:val="bottom"/>
          </w:tcPr>
          <w:p w14:paraId="0D90D42F"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95% CI</w:t>
            </w:r>
          </w:p>
        </w:tc>
        <w:tc>
          <w:tcPr>
            <w:tcW w:w="840" w:type="dxa"/>
            <w:tcBorders>
              <w:top w:val="single" w:sz="4" w:space="0" w:color="auto"/>
              <w:bottom w:val="single" w:sz="4" w:space="0" w:color="auto"/>
            </w:tcBorders>
            <w:vAlign w:val="bottom"/>
          </w:tcPr>
          <w:p w14:paraId="0828C6C0"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4"/>
                <w:szCs w:val="24"/>
              </w:rPr>
            </w:pPr>
            <w:r>
              <w:rPr>
                <w:rFonts w:ascii="Cambria" w:eastAsia="Cambria" w:hAnsi="Cambria" w:cs="Cambria"/>
                <w:i/>
                <w:color w:val="000000"/>
                <w:sz w:val="24"/>
                <w:szCs w:val="24"/>
              </w:rPr>
              <w:t>n</w:t>
            </w:r>
          </w:p>
        </w:tc>
        <w:tc>
          <w:tcPr>
            <w:tcW w:w="1245" w:type="dxa"/>
            <w:tcBorders>
              <w:top w:val="single" w:sz="4" w:space="0" w:color="auto"/>
              <w:bottom w:val="single" w:sz="4" w:space="0" w:color="auto"/>
            </w:tcBorders>
            <w:shd w:val="clear" w:color="auto" w:fill="auto"/>
            <w:vAlign w:val="bottom"/>
          </w:tcPr>
          <w:p w14:paraId="1F5D65A8"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Estimate</w:t>
            </w:r>
          </w:p>
        </w:tc>
        <w:tc>
          <w:tcPr>
            <w:tcW w:w="1530" w:type="dxa"/>
            <w:tcBorders>
              <w:top w:val="single" w:sz="4" w:space="0" w:color="auto"/>
              <w:bottom w:val="single" w:sz="4" w:space="0" w:color="auto"/>
            </w:tcBorders>
            <w:shd w:val="clear" w:color="auto" w:fill="auto"/>
            <w:vAlign w:val="bottom"/>
          </w:tcPr>
          <w:p w14:paraId="5D11907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95% CI</w:t>
            </w:r>
          </w:p>
        </w:tc>
      </w:tr>
      <w:tr w:rsidR="00D4124E" w14:paraId="038D88B8"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7330FB79"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consumers</w:t>
            </w:r>
          </w:p>
        </w:tc>
        <w:tc>
          <w:tcPr>
            <w:tcW w:w="840" w:type="dxa"/>
            <w:tcBorders>
              <w:top w:val="single" w:sz="4" w:space="0" w:color="auto"/>
            </w:tcBorders>
            <w:vAlign w:val="bottom"/>
          </w:tcPr>
          <w:p w14:paraId="392C404D"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2753</w:t>
            </w:r>
          </w:p>
        </w:tc>
        <w:tc>
          <w:tcPr>
            <w:tcW w:w="1230" w:type="dxa"/>
            <w:tcBorders>
              <w:top w:val="single" w:sz="4" w:space="0" w:color="auto"/>
            </w:tcBorders>
            <w:shd w:val="clear" w:color="auto" w:fill="auto"/>
            <w:vAlign w:val="bottom"/>
          </w:tcPr>
          <w:p w14:paraId="71ABA0D0"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-0.04</w:t>
            </w:r>
          </w:p>
        </w:tc>
        <w:tc>
          <w:tcPr>
            <w:tcW w:w="1590" w:type="dxa"/>
            <w:tcBorders>
              <w:top w:val="single" w:sz="4" w:space="0" w:color="auto"/>
            </w:tcBorders>
            <w:shd w:val="clear" w:color="auto" w:fill="auto"/>
            <w:vAlign w:val="bottom"/>
          </w:tcPr>
          <w:p w14:paraId="60453968"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-0.24, 0.14</w:t>
            </w:r>
          </w:p>
        </w:tc>
        <w:tc>
          <w:tcPr>
            <w:tcW w:w="840" w:type="dxa"/>
            <w:tcBorders>
              <w:top w:val="single" w:sz="4" w:space="0" w:color="auto"/>
            </w:tcBorders>
            <w:vAlign w:val="bottom"/>
          </w:tcPr>
          <w:p w14:paraId="5AB82FB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2311</w:t>
            </w:r>
          </w:p>
        </w:tc>
        <w:tc>
          <w:tcPr>
            <w:tcW w:w="1245" w:type="dxa"/>
            <w:tcBorders>
              <w:top w:val="single" w:sz="4" w:space="0" w:color="auto"/>
            </w:tcBorders>
            <w:shd w:val="clear" w:color="auto" w:fill="auto"/>
            <w:vAlign w:val="bottom"/>
          </w:tcPr>
          <w:p w14:paraId="670B264B"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-0.18</w:t>
            </w:r>
          </w:p>
        </w:tc>
        <w:tc>
          <w:tcPr>
            <w:tcW w:w="1530" w:type="dxa"/>
            <w:tcBorders>
              <w:top w:val="single" w:sz="4" w:space="0" w:color="auto"/>
            </w:tcBorders>
            <w:shd w:val="clear" w:color="auto" w:fill="auto"/>
            <w:vAlign w:val="bottom"/>
          </w:tcPr>
          <w:p w14:paraId="31C8E888"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-0.41, 0.03</w:t>
            </w:r>
          </w:p>
        </w:tc>
      </w:tr>
      <w:tr w:rsidR="00D4124E" w14:paraId="4531BE1A"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vAlign w:val="bottom"/>
          </w:tcPr>
          <w:p w14:paraId="67C2B01E"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Frugivores</w:t>
            </w:r>
          </w:p>
        </w:tc>
        <w:tc>
          <w:tcPr>
            <w:tcW w:w="840" w:type="dxa"/>
            <w:vAlign w:val="bottom"/>
          </w:tcPr>
          <w:p w14:paraId="32EB4E5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1025</w:t>
            </w:r>
          </w:p>
        </w:tc>
        <w:tc>
          <w:tcPr>
            <w:tcW w:w="1230" w:type="dxa"/>
            <w:shd w:val="clear" w:color="auto" w:fill="auto"/>
            <w:vAlign w:val="bottom"/>
          </w:tcPr>
          <w:p w14:paraId="0829E2A3"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-0.95</w:t>
            </w:r>
          </w:p>
        </w:tc>
        <w:tc>
          <w:tcPr>
            <w:tcW w:w="1590" w:type="dxa"/>
            <w:shd w:val="clear" w:color="auto" w:fill="auto"/>
            <w:vAlign w:val="bottom"/>
          </w:tcPr>
          <w:p w14:paraId="49E83811"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-1.94, -0.16</w:t>
            </w:r>
          </w:p>
        </w:tc>
        <w:tc>
          <w:tcPr>
            <w:tcW w:w="840" w:type="dxa"/>
            <w:vAlign w:val="bottom"/>
          </w:tcPr>
          <w:p w14:paraId="6CBBCE7F"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767</w:t>
            </w:r>
          </w:p>
        </w:tc>
        <w:tc>
          <w:tcPr>
            <w:tcW w:w="1245" w:type="dxa"/>
            <w:shd w:val="clear" w:color="auto" w:fill="auto"/>
            <w:vAlign w:val="bottom"/>
          </w:tcPr>
          <w:p w14:paraId="7BEDD4A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b/>
                <w:color w:val="000000"/>
                <w:sz w:val="24"/>
                <w:szCs w:val="24"/>
              </w:rPr>
            </w:pPr>
            <w:r>
              <w:rPr>
                <w:rFonts w:ascii="Cambria" w:eastAsia="Cambria" w:hAnsi="Cambria" w:cs="Cambria"/>
                <w:color w:val="000000"/>
                <w:sz w:val="24"/>
                <w:szCs w:val="24"/>
              </w:rPr>
              <w:t>-1.06</w:t>
            </w:r>
          </w:p>
        </w:tc>
        <w:tc>
          <w:tcPr>
            <w:tcW w:w="1530" w:type="dxa"/>
            <w:shd w:val="clear" w:color="auto" w:fill="auto"/>
            <w:vAlign w:val="bottom"/>
          </w:tcPr>
          <w:p w14:paraId="6E04B21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b/>
                <w:color w:val="000000"/>
                <w:sz w:val="24"/>
                <w:szCs w:val="24"/>
              </w:rPr>
            </w:pPr>
            <w:r>
              <w:rPr>
                <w:rFonts w:ascii="Cambria" w:eastAsia="Cambria" w:hAnsi="Cambria" w:cs="Cambria"/>
                <w:color w:val="000000"/>
                <w:sz w:val="24"/>
                <w:szCs w:val="24"/>
              </w:rPr>
              <w:t>-2.04, -0.22</w:t>
            </w:r>
          </w:p>
        </w:tc>
      </w:tr>
      <w:tr w:rsidR="00D4124E" w14:paraId="5ED16065"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2056D4DF"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2</w:t>
            </w:r>
            <w:r>
              <w:rPr>
                <w:rFonts w:ascii="Cambria" w:eastAsia="Cambria" w:hAnsi="Cambria" w:cs="Cambria"/>
                <w:sz w:val="24"/>
                <w:szCs w:val="24"/>
                <w:vertAlign w:val="superscript"/>
              </w:rPr>
              <w:t>ry</w:t>
            </w:r>
            <w:r>
              <w:rPr>
                <w:rFonts w:ascii="Cambria" w:eastAsia="Cambria" w:hAnsi="Cambria" w:cs="Cambria"/>
                <w:sz w:val="24"/>
                <w:szCs w:val="24"/>
              </w:rPr>
              <w:t xml:space="preserve"> consumers</w:t>
            </w:r>
          </w:p>
        </w:tc>
        <w:tc>
          <w:tcPr>
            <w:tcW w:w="840" w:type="dxa"/>
            <w:vAlign w:val="bottom"/>
          </w:tcPr>
          <w:p w14:paraId="3E31384B"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7083</w:t>
            </w:r>
          </w:p>
        </w:tc>
        <w:tc>
          <w:tcPr>
            <w:tcW w:w="1230" w:type="dxa"/>
            <w:shd w:val="clear" w:color="auto" w:fill="auto"/>
            <w:vAlign w:val="bottom"/>
          </w:tcPr>
          <w:p w14:paraId="01496174"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0.91</w:t>
            </w:r>
          </w:p>
        </w:tc>
        <w:tc>
          <w:tcPr>
            <w:tcW w:w="1590" w:type="dxa"/>
            <w:shd w:val="clear" w:color="auto" w:fill="auto"/>
            <w:vAlign w:val="bottom"/>
          </w:tcPr>
          <w:p w14:paraId="772C4833"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0.77, 1.05</w:t>
            </w:r>
          </w:p>
        </w:tc>
        <w:tc>
          <w:tcPr>
            <w:tcW w:w="840" w:type="dxa"/>
            <w:vAlign w:val="bottom"/>
          </w:tcPr>
          <w:p w14:paraId="78DABB0B"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5281</w:t>
            </w:r>
          </w:p>
        </w:tc>
        <w:tc>
          <w:tcPr>
            <w:tcW w:w="1245" w:type="dxa"/>
            <w:shd w:val="clear" w:color="auto" w:fill="auto"/>
            <w:vAlign w:val="bottom"/>
          </w:tcPr>
          <w:p w14:paraId="7A469DBD"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0.99</w:t>
            </w:r>
          </w:p>
        </w:tc>
        <w:tc>
          <w:tcPr>
            <w:tcW w:w="1530" w:type="dxa"/>
            <w:shd w:val="clear" w:color="auto" w:fill="auto"/>
            <w:vAlign w:val="bottom"/>
          </w:tcPr>
          <w:p w14:paraId="021E4889"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0.85, 1.14</w:t>
            </w:r>
          </w:p>
        </w:tc>
      </w:tr>
      <w:tr w:rsidR="00D4124E" w14:paraId="47BD140A"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216BFE7A"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Invertivores</w:t>
            </w:r>
          </w:p>
        </w:tc>
        <w:tc>
          <w:tcPr>
            <w:tcW w:w="840" w:type="dxa"/>
            <w:vAlign w:val="bottom"/>
          </w:tcPr>
          <w:p w14:paraId="470E5B7F"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4694</w:t>
            </w:r>
          </w:p>
        </w:tc>
        <w:tc>
          <w:tcPr>
            <w:tcW w:w="1230" w:type="dxa"/>
            <w:shd w:val="clear" w:color="auto" w:fill="auto"/>
            <w:vAlign w:val="bottom"/>
          </w:tcPr>
          <w:p w14:paraId="0CD8F46D"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1.21</w:t>
            </w:r>
          </w:p>
        </w:tc>
        <w:tc>
          <w:tcPr>
            <w:tcW w:w="1590" w:type="dxa"/>
            <w:shd w:val="clear" w:color="auto" w:fill="auto"/>
            <w:vAlign w:val="bottom"/>
          </w:tcPr>
          <w:p w14:paraId="7A25B28A"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1.04, 1.39</w:t>
            </w:r>
          </w:p>
        </w:tc>
        <w:tc>
          <w:tcPr>
            <w:tcW w:w="840" w:type="dxa"/>
            <w:vAlign w:val="bottom"/>
          </w:tcPr>
          <w:p w14:paraId="133F5A23"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3477</w:t>
            </w:r>
          </w:p>
        </w:tc>
        <w:tc>
          <w:tcPr>
            <w:tcW w:w="1245" w:type="dxa"/>
            <w:shd w:val="clear" w:color="auto" w:fill="auto"/>
            <w:vAlign w:val="bottom"/>
          </w:tcPr>
          <w:p w14:paraId="0071A9E4"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1.52</w:t>
            </w:r>
          </w:p>
        </w:tc>
        <w:tc>
          <w:tcPr>
            <w:tcW w:w="1530" w:type="dxa"/>
            <w:shd w:val="clear" w:color="auto" w:fill="auto"/>
            <w:vAlign w:val="bottom"/>
          </w:tcPr>
          <w:p w14:paraId="238F33A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1.3, 1.74</w:t>
            </w:r>
          </w:p>
        </w:tc>
      </w:tr>
      <w:tr w:rsidR="00D4124E" w14:paraId="0412CBEA"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3BB69378"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Migrants</w:t>
            </w:r>
          </w:p>
        </w:tc>
        <w:tc>
          <w:tcPr>
            <w:tcW w:w="840" w:type="dxa"/>
            <w:vAlign w:val="bottom"/>
          </w:tcPr>
          <w:p w14:paraId="66443DDB"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901</w:t>
            </w:r>
          </w:p>
        </w:tc>
        <w:tc>
          <w:tcPr>
            <w:tcW w:w="1230" w:type="dxa"/>
            <w:shd w:val="clear" w:color="auto" w:fill="auto"/>
            <w:vAlign w:val="bottom"/>
          </w:tcPr>
          <w:p w14:paraId="6305DD89"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0.33</w:t>
            </w:r>
          </w:p>
        </w:tc>
        <w:tc>
          <w:tcPr>
            <w:tcW w:w="1590" w:type="dxa"/>
            <w:shd w:val="clear" w:color="auto" w:fill="auto"/>
            <w:vAlign w:val="bottom"/>
          </w:tcPr>
          <w:p w14:paraId="7310CEF2"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-0.11, 0.75</w:t>
            </w:r>
          </w:p>
        </w:tc>
        <w:tc>
          <w:tcPr>
            <w:tcW w:w="840" w:type="dxa"/>
            <w:vAlign w:val="bottom"/>
          </w:tcPr>
          <w:p w14:paraId="66E0159E"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793</w:t>
            </w:r>
          </w:p>
        </w:tc>
        <w:tc>
          <w:tcPr>
            <w:tcW w:w="1245" w:type="dxa"/>
            <w:shd w:val="clear" w:color="auto" w:fill="auto"/>
            <w:vAlign w:val="bottom"/>
          </w:tcPr>
          <w:p w14:paraId="3DAA4A68"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0.43</w:t>
            </w:r>
          </w:p>
        </w:tc>
        <w:tc>
          <w:tcPr>
            <w:tcW w:w="1530" w:type="dxa"/>
            <w:shd w:val="clear" w:color="auto" w:fill="auto"/>
            <w:vAlign w:val="bottom"/>
          </w:tcPr>
          <w:p w14:paraId="48F542D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-0.04, 0.9</w:t>
            </w:r>
          </w:p>
        </w:tc>
      </w:tr>
      <w:tr w:rsidR="00D4124E" w14:paraId="7E4E54A8"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60258940"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Non-migrants</w:t>
            </w:r>
          </w:p>
        </w:tc>
        <w:tc>
          <w:tcPr>
            <w:tcW w:w="840" w:type="dxa"/>
            <w:vAlign w:val="bottom"/>
          </w:tcPr>
          <w:p w14:paraId="1B0F53C3"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8935</w:t>
            </w:r>
          </w:p>
        </w:tc>
        <w:tc>
          <w:tcPr>
            <w:tcW w:w="1230" w:type="dxa"/>
            <w:shd w:val="clear" w:color="auto" w:fill="auto"/>
            <w:vAlign w:val="bottom"/>
          </w:tcPr>
          <w:p w14:paraId="360D2ED1"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0.30</w:t>
            </w:r>
          </w:p>
        </w:tc>
        <w:tc>
          <w:tcPr>
            <w:tcW w:w="1590" w:type="dxa"/>
            <w:shd w:val="clear" w:color="auto" w:fill="auto"/>
            <w:vAlign w:val="bottom"/>
          </w:tcPr>
          <w:p w14:paraId="32C9CCA3"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0.17, 0.42</w:t>
            </w:r>
          </w:p>
        </w:tc>
        <w:tc>
          <w:tcPr>
            <w:tcW w:w="840" w:type="dxa"/>
            <w:vAlign w:val="bottom"/>
          </w:tcPr>
          <w:p w14:paraId="02BC5259"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6799</w:t>
            </w:r>
          </w:p>
        </w:tc>
        <w:tc>
          <w:tcPr>
            <w:tcW w:w="1245" w:type="dxa"/>
            <w:shd w:val="clear" w:color="auto" w:fill="auto"/>
            <w:vAlign w:val="bottom"/>
          </w:tcPr>
          <w:p w14:paraId="0DAFDE9A"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0.21</w:t>
            </w:r>
          </w:p>
        </w:tc>
        <w:tc>
          <w:tcPr>
            <w:tcW w:w="1530" w:type="dxa"/>
            <w:shd w:val="clear" w:color="auto" w:fill="auto"/>
            <w:vAlign w:val="bottom"/>
          </w:tcPr>
          <w:p w14:paraId="2EFB6B40"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0.07, 0.34</w:t>
            </w:r>
          </w:p>
        </w:tc>
      </w:tr>
      <w:tr w:rsidR="00D4124E" w14:paraId="5B150CDC"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vAlign w:val="bottom"/>
          </w:tcPr>
          <w:p w14:paraId="1E12AC24"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Territorial</w:t>
            </w:r>
          </w:p>
        </w:tc>
        <w:tc>
          <w:tcPr>
            <w:tcW w:w="840" w:type="dxa"/>
            <w:vAlign w:val="bottom"/>
          </w:tcPr>
          <w:p w14:paraId="4D62A556"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7261</w:t>
            </w:r>
          </w:p>
        </w:tc>
        <w:tc>
          <w:tcPr>
            <w:tcW w:w="1230" w:type="dxa"/>
            <w:shd w:val="clear" w:color="auto" w:fill="auto"/>
            <w:vAlign w:val="bottom"/>
          </w:tcPr>
          <w:p w14:paraId="5C6DC04A"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1.15</w:t>
            </w:r>
          </w:p>
        </w:tc>
        <w:tc>
          <w:tcPr>
            <w:tcW w:w="1590" w:type="dxa"/>
            <w:shd w:val="clear" w:color="auto" w:fill="auto"/>
            <w:vAlign w:val="bottom"/>
          </w:tcPr>
          <w:p w14:paraId="7976ADDF"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1.00, 1.30</w:t>
            </w:r>
          </w:p>
        </w:tc>
        <w:tc>
          <w:tcPr>
            <w:tcW w:w="840" w:type="dxa"/>
            <w:vAlign w:val="bottom"/>
          </w:tcPr>
          <w:p w14:paraId="58F93FCB"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5353</w:t>
            </w:r>
          </w:p>
        </w:tc>
        <w:tc>
          <w:tcPr>
            <w:tcW w:w="1245" w:type="dxa"/>
            <w:shd w:val="clear" w:color="auto" w:fill="auto"/>
            <w:vAlign w:val="bottom"/>
          </w:tcPr>
          <w:p w14:paraId="6D112B48"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1.19</w:t>
            </w:r>
          </w:p>
        </w:tc>
        <w:tc>
          <w:tcPr>
            <w:tcW w:w="1530" w:type="dxa"/>
            <w:shd w:val="clear" w:color="auto" w:fill="auto"/>
            <w:vAlign w:val="bottom"/>
          </w:tcPr>
          <w:p w14:paraId="46B64F82"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1.01, 1.35</w:t>
            </w:r>
          </w:p>
        </w:tc>
      </w:tr>
      <w:tr w:rsidR="00D4124E" w14:paraId="6935A22D"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shd w:val="clear" w:color="auto" w:fill="auto"/>
            <w:vAlign w:val="bottom"/>
          </w:tcPr>
          <w:p w14:paraId="519B3D92"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Non-territorial</w:t>
            </w:r>
          </w:p>
        </w:tc>
        <w:tc>
          <w:tcPr>
            <w:tcW w:w="840" w:type="dxa"/>
            <w:tcBorders>
              <w:bottom w:val="single" w:sz="4" w:space="0" w:color="auto"/>
            </w:tcBorders>
            <w:vAlign w:val="bottom"/>
          </w:tcPr>
          <w:p w14:paraId="4B95E839"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2575</w:t>
            </w:r>
          </w:p>
        </w:tc>
        <w:tc>
          <w:tcPr>
            <w:tcW w:w="1230" w:type="dxa"/>
            <w:tcBorders>
              <w:bottom w:val="single" w:sz="4" w:space="0" w:color="auto"/>
            </w:tcBorders>
            <w:shd w:val="clear" w:color="auto" w:fill="auto"/>
            <w:vAlign w:val="bottom"/>
          </w:tcPr>
          <w:p w14:paraId="50FAB8E9"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-0.43</w:t>
            </w:r>
          </w:p>
        </w:tc>
        <w:tc>
          <w:tcPr>
            <w:tcW w:w="1590" w:type="dxa"/>
            <w:tcBorders>
              <w:bottom w:val="single" w:sz="4" w:space="0" w:color="auto"/>
            </w:tcBorders>
            <w:shd w:val="clear" w:color="auto" w:fill="auto"/>
            <w:vAlign w:val="bottom"/>
          </w:tcPr>
          <w:p w14:paraId="3D949331"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-0.61, -0.23</w:t>
            </w:r>
          </w:p>
        </w:tc>
        <w:tc>
          <w:tcPr>
            <w:tcW w:w="840" w:type="dxa"/>
            <w:tcBorders>
              <w:bottom w:val="single" w:sz="4" w:space="0" w:color="auto"/>
            </w:tcBorders>
            <w:vAlign w:val="bottom"/>
          </w:tcPr>
          <w:p w14:paraId="07DFA2C2"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2239</w:t>
            </w:r>
          </w:p>
        </w:tc>
        <w:tc>
          <w:tcPr>
            <w:tcW w:w="1245" w:type="dxa"/>
            <w:tcBorders>
              <w:bottom w:val="single" w:sz="4" w:space="0" w:color="auto"/>
            </w:tcBorders>
            <w:shd w:val="clear" w:color="auto" w:fill="auto"/>
            <w:vAlign w:val="bottom"/>
          </w:tcPr>
          <w:p w14:paraId="2973ABCB"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-0.52</w:t>
            </w:r>
          </w:p>
        </w:tc>
        <w:tc>
          <w:tcPr>
            <w:tcW w:w="1530" w:type="dxa"/>
            <w:tcBorders>
              <w:bottom w:val="single" w:sz="4" w:space="0" w:color="auto"/>
            </w:tcBorders>
            <w:shd w:val="clear" w:color="auto" w:fill="auto"/>
            <w:vAlign w:val="bottom"/>
          </w:tcPr>
          <w:p w14:paraId="559250E1"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-0.69, -0.33</w:t>
            </w:r>
          </w:p>
        </w:tc>
      </w:tr>
    </w:tbl>
    <w:p w14:paraId="499B7B67" w14:textId="77777777" w:rsidR="00D4124E" w:rsidRDefault="00D4124E" w:rsidP="0005547B">
      <w:pPr>
        <w:suppressLineNumbers/>
        <w:spacing w:after="0" w:line="360" w:lineRule="auto"/>
        <w:jc w:val="both"/>
        <w:rPr>
          <w:rFonts w:ascii="Cambria" w:eastAsia="Cambria" w:hAnsi="Cambria" w:cs="Cambria"/>
          <w:b/>
          <w:sz w:val="24"/>
          <w:szCs w:val="24"/>
          <w:highlight w:val="yellow"/>
        </w:rPr>
      </w:pPr>
    </w:p>
    <w:p w14:paraId="6CD9FD33" w14:textId="77777777" w:rsidR="00D4124E" w:rsidRDefault="00D4124E" w:rsidP="0005547B">
      <w:pPr>
        <w:suppressLineNumbers/>
        <w:spacing w:after="0" w:line="360" w:lineRule="auto"/>
        <w:jc w:val="both"/>
        <w:rPr>
          <w:rFonts w:ascii="Cambria" w:eastAsia="Cambria" w:hAnsi="Cambria" w:cs="Cambria"/>
          <w:b/>
          <w:highlight w:val="yellow"/>
        </w:rPr>
      </w:pPr>
    </w:p>
    <w:p w14:paraId="01D3851E" w14:textId="77777777" w:rsidR="00D4124E" w:rsidRDefault="00000000" w:rsidP="0005547B">
      <w:pPr>
        <w:suppressLineNumbers/>
        <w:spacing w:after="0" w:line="240" w:lineRule="auto"/>
        <w:rPr>
          <w:rFonts w:ascii="Cambria" w:eastAsia="Cambria" w:hAnsi="Cambria" w:cs="Cambria"/>
          <w:b/>
        </w:rPr>
      </w:pPr>
      <w:r>
        <w:br w:type="page"/>
      </w:r>
    </w:p>
    <w:p w14:paraId="2AA67F7B" w14:textId="77777777" w:rsidR="00D4124E" w:rsidRDefault="00000000">
      <w:pPr>
        <w:spacing w:line="360" w:lineRule="auto"/>
        <w:rPr>
          <w:rFonts w:ascii="Cambria" w:eastAsia="Cambria" w:hAnsi="Cambria" w:cs="Cambria"/>
          <w:sz w:val="24"/>
          <w:szCs w:val="24"/>
        </w:rPr>
      </w:pPr>
      <w:r>
        <w:rPr>
          <w:rFonts w:ascii="Cambria" w:eastAsia="Cambria" w:hAnsi="Cambria" w:cs="Cambria"/>
          <w:b/>
          <w:sz w:val="24"/>
          <w:szCs w:val="24"/>
        </w:rPr>
        <w:lastRenderedPageBreak/>
        <w:t>Table S4 |</w:t>
      </w:r>
      <w:r>
        <w:rPr>
          <w:rFonts w:ascii="Cambria" w:eastAsia="Cambria" w:hAnsi="Cambria" w:cs="Cambria"/>
          <w:sz w:val="24"/>
          <w:szCs w:val="24"/>
        </w:rPr>
        <w:t xml:space="preserve"> </w:t>
      </w:r>
      <w:r>
        <w:rPr>
          <w:rFonts w:ascii="Cambria" w:eastAsia="Cambria" w:hAnsi="Cambria" w:cs="Cambria"/>
          <w:b/>
          <w:sz w:val="24"/>
          <w:szCs w:val="24"/>
        </w:rPr>
        <w:t>Ecological predictors of sexual selection.</w:t>
      </w:r>
      <w:r>
        <w:rPr>
          <w:rFonts w:ascii="Cambria" w:eastAsia="Cambria" w:hAnsi="Cambria" w:cs="Cambria"/>
          <w:sz w:val="24"/>
          <w:szCs w:val="24"/>
        </w:rPr>
        <w:t xml:space="preserve"> Results shown are </w:t>
      </w:r>
      <w:r>
        <w:t>β</w:t>
      </w:r>
      <w:r>
        <w:rPr>
          <w:rFonts w:ascii="Cambria" w:eastAsia="Cambria" w:hAnsi="Cambria" w:cs="Cambria"/>
          <w:sz w:val="24"/>
          <w:szCs w:val="24"/>
        </w:rPr>
        <w:t xml:space="preserve"> estimates and 95% credible intervals from univariate and multivariate phylogenetic Bayesian ordinal mixed-effect models testing drivers of sexual selection in birds (</w:t>
      </w:r>
      <w:r>
        <w:rPr>
          <w:rFonts w:ascii="Cambria" w:eastAsia="Cambria" w:hAnsi="Cambria" w:cs="Cambria"/>
          <w:i/>
          <w:sz w:val="24"/>
          <w:szCs w:val="24"/>
        </w:rPr>
        <w:t>n</w:t>
      </w:r>
      <w:r>
        <w:rPr>
          <w:rFonts w:ascii="Cambria" w:eastAsia="Cambria" w:hAnsi="Cambria" w:cs="Cambria"/>
          <w:sz w:val="24"/>
          <w:szCs w:val="24"/>
        </w:rPr>
        <w:t xml:space="preserve"> = 9836 species). </w:t>
      </w:r>
      <w:bookmarkStart w:id="4" w:name="_Hlk143870360"/>
      <w:r>
        <w:rPr>
          <w:rFonts w:ascii="Cambria" w:eastAsia="Cambria" w:hAnsi="Cambria" w:cs="Cambria"/>
          <w:sz w:val="24"/>
          <w:szCs w:val="24"/>
        </w:rPr>
        <w:t xml:space="preserve">Models were run on a sample of 50 phylogenetic trees extracted from www.birdtree.org (Jetz </w:t>
      </w:r>
      <w:r w:rsidRPr="0005547B">
        <w:rPr>
          <w:rFonts w:ascii="Cambria" w:eastAsia="Cambria" w:hAnsi="Cambria" w:cs="Cambria"/>
          <w:i/>
          <w:iCs/>
          <w:sz w:val="24"/>
          <w:szCs w:val="24"/>
        </w:rPr>
        <w:t>et al.</w:t>
      </w:r>
      <w:r>
        <w:rPr>
          <w:rFonts w:ascii="Cambria" w:eastAsia="Cambria" w:hAnsi="Cambria" w:cs="Cambria"/>
          <w:sz w:val="24"/>
          <w:szCs w:val="24"/>
        </w:rPr>
        <w:t xml:space="preserve"> 2012), grafted to the Prum </w:t>
      </w:r>
      <w:r w:rsidRPr="00265131">
        <w:rPr>
          <w:rFonts w:ascii="Cambria" w:eastAsia="Cambria" w:hAnsi="Cambria" w:cs="Cambria"/>
          <w:i/>
          <w:iCs/>
          <w:sz w:val="24"/>
          <w:szCs w:val="24"/>
        </w:rPr>
        <w:t>et al.</w:t>
      </w:r>
      <w:r>
        <w:rPr>
          <w:rFonts w:ascii="Cambria" w:eastAsia="Cambria" w:hAnsi="Cambria" w:cs="Cambria"/>
          <w:sz w:val="24"/>
          <w:szCs w:val="24"/>
        </w:rPr>
        <w:t xml:space="preserve"> (2015) genomic backbone</w:t>
      </w:r>
      <w:bookmarkEnd w:id="4"/>
      <w:r>
        <w:rPr>
          <w:rFonts w:ascii="Cambria" w:eastAsia="Cambria" w:hAnsi="Cambria" w:cs="Cambria"/>
          <w:sz w:val="24"/>
          <w:szCs w:val="24"/>
        </w:rPr>
        <w:t>. See Supplementary methods for detailed model descriptions. See Figs. 4 &amp; 5 (main text) for visualisation. 1</w:t>
      </w:r>
      <w:r>
        <w:rPr>
          <w:rFonts w:ascii="Cambria" w:eastAsia="Cambria" w:hAnsi="Cambria" w:cs="Cambria"/>
          <w:sz w:val="24"/>
          <w:szCs w:val="24"/>
          <w:vertAlign w:val="superscript"/>
        </w:rPr>
        <w:t>ry</w:t>
      </w:r>
      <w:r>
        <w:rPr>
          <w:rFonts w:ascii="Cambria" w:eastAsia="Cambria" w:hAnsi="Cambria" w:cs="Cambria"/>
          <w:sz w:val="24"/>
          <w:szCs w:val="24"/>
        </w:rPr>
        <w:t xml:space="preserve"> consumer = primary consumer. </w:t>
      </w:r>
    </w:p>
    <w:p w14:paraId="3AEFF4EC" w14:textId="77777777" w:rsidR="0005547B" w:rsidRDefault="0005547B" w:rsidP="0005547B">
      <w:pPr>
        <w:suppressLineNumbers/>
        <w:spacing w:line="360" w:lineRule="auto"/>
        <w:rPr>
          <w:rFonts w:ascii="Cambria" w:eastAsia="Cambria" w:hAnsi="Cambria" w:cs="Cambria"/>
          <w:sz w:val="24"/>
          <w:szCs w:val="24"/>
        </w:rPr>
      </w:pPr>
    </w:p>
    <w:tbl>
      <w:tblPr>
        <w:tblStyle w:val="a2"/>
        <w:tblW w:w="8788" w:type="dxa"/>
        <w:jc w:val="center"/>
        <w:tblLayout w:type="fixed"/>
        <w:tblLook w:val="04A0" w:firstRow="1" w:lastRow="0" w:firstColumn="1" w:lastColumn="0" w:noHBand="0" w:noVBand="1"/>
      </w:tblPr>
      <w:tblGrid>
        <w:gridCol w:w="2976"/>
        <w:gridCol w:w="1453"/>
        <w:gridCol w:w="1453"/>
        <w:gridCol w:w="1453"/>
        <w:gridCol w:w="1453"/>
      </w:tblGrid>
      <w:tr w:rsidR="00D4124E" w14:paraId="72E66D51" w14:textId="77777777" w:rsidTr="0025405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2977" w:type="dxa"/>
            <w:tcBorders>
              <w:bottom w:val="single" w:sz="4" w:space="0" w:color="auto"/>
              <w:right w:val="none" w:sz="0" w:space="0" w:color="auto"/>
            </w:tcBorders>
            <w:shd w:val="clear" w:color="auto" w:fill="auto"/>
            <w:vAlign w:val="bottom"/>
          </w:tcPr>
          <w:p w14:paraId="50755246" w14:textId="77777777" w:rsidR="00D4124E"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Predictor</w:t>
            </w:r>
          </w:p>
        </w:tc>
        <w:tc>
          <w:tcPr>
            <w:tcW w:w="2906" w:type="dxa"/>
            <w:gridSpan w:val="2"/>
            <w:tcBorders>
              <w:bottom w:val="single" w:sz="4" w:space="0" w:color="auto"/>
            </w:tcBorders>
            <w:shd w:val="clear" w:color="auto" w:fill="auto"/>
            <w:vAlign w:val="bottom"/>
          </w:tcPr>
          <w:p w14:paraId="3FE227F0"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Univariate</w:t>
            </w:r>
          </w:p>
        </w:tc>
        <w:tc>
          <w:tcPr>
            <w:tcW w:w="2906" w:type="dxa"/>
            <w:gridSpan w:val="2"/>
            <w:tcBorders>
              <w:bottom w:val="single" w:sz="4" w:space="0" w:color="auto"/>
            </w:tcBorders>
            <w:shd w:val="clear" w:color="auto" w:fill="auto"/>
            <w:vAlign w:val="bottom"/>
          </w:tcPr>
          <w:p w14:paraId="6222FA3A"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vertAlign w:val="superscript"/>
              </w:rPr>
            </w:pPr>
            <w:r>
              <w:rPr>
                <w:rFonts w:ascii="Cambria" w:eastAsia="Cambria" w:hAnsi="Cambria" w:cs="Cambria"/>
                <w:color w:val="000000"/>
                <w:sz w:val="24"/>
                <w:szCs w:val="24"/>
              </w:rPr>
              <w:t>Multivariate</w:t>
            </w:r>
          </w:p>
        </w:tc>
      </w:tr>
      <w:tr w:rsidR="00D4124E" w14:paraId="523DA432"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none" w:sz="0" w:space="0" w:color="auto"/>
              <w:right w:val="none" w:sz="0" w:space="0" w:color="auto"/>
            </w:tcBorders>
            <w:vAlign w:val="center"/>
          </w:tcPr>
          <w:p w14:paraId="0CFCABFF" w14:textId="77777777" w:rsidR="00D4124E" w:rsidRDefault="00D4124E">
            <w:pPr>
              <w:spacing w:after="0" w:line="240" w:lineRule="auto"/>
              <w:rPr>
                <w:rFonts w:ascii="Cambria" w:eastAsia="Cambria" w:hAnsi="Cambria" w:cs="Cambria"/>
                <w:sz w:val="24"/>
                <w:szCs w:val="24"/>
              </w:rPr>
            </w:pPr>
          </w:p>
        </w:tc>
        <w:tc>
          <w:tcPr>
            <w:tcW w:w="1453" w:type="dxa"/>
            <w:tcBorders>
              <w:top w:val="single" w:sz="4" w:space="0" w:color="auto"/>
              <w:bottom w:val="single" w:sz="4" w:space="0" w:color="auto"/>
            </w:tcBorders>
            <w:vAlign w:val="center"/>
          </w:tcPr>
          <w:p w14:paraId="545F1AF2"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Estimate</w:t>
            </w:r>
          </w:p>
        </w:tc>
        <w:tc>
          <w:tcPr>
            <w:tcW w:w="1453" w:type="dxa"/>
            <w:tcBorders>
              <w:top w:val="single" w:sz="4" w:space="0" w:color="auto"/>
              <w:bottom w:val="single" w:sz="4" w:space="0" w:color="auto"/>
            </w:tcBorders>
            <w:vAlign w:val="center"/>
          </w:tcPr>
          <w:p w14:paraId="5F99906D"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95% CI</w:t>
            </w:r>
          </w:p>
        </w:tc>
        <w:tc>
          <w:tcPr>
            <w:tcW w:w="1453" w:type="dxa"/>
            <w:tcBorders>
              <w:top w:val="single" w:sz="4" w:space="0" w:color="auto"/>
              <w:bottom w:val="single" w:sz="4" w:space="0" w:color="auto"/>
            </w:tcBorders>
            <w:vAlign w:val="center"/>
          </w:tcPr>
          <w:p w14:paraId="21468FA0"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Estimate</w:t>
            </w:r>
          </w:p>
        </w:tc>
        <w:tc>
          <w:tcPr>
            <w:tcW w:w="1453" w:type="dxa"/>
            <w:tcBorders>
              <w:top w:val="single" w:sz="4" w:space="0" w:color="auto"/>
              <w:bottom w:val="single" w:sz="4" w:space="0" w:color="auto"/>
            </w:tcBorders>
            <w:vAlign w:val="center"/>
          </w:tcPr>
          <w:p w14:paraId="2B00A16D"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95% CI</w:t>
            </w:r>
          </w:p>
        </w:tc>
      </w:tr>
      <w:tr w:rsidR="00D4124E" w14:paraId="43394E32"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none" w:sz="0" w:space="0" w:color="auto"/>
            </w:tcBorders>
            <w:vAlign w:val="center"/>
          </w:tcPr>
          <w:p w14:paraId="21D0E496"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w:t>
            </w:r>
          </w:p>
        </w:tc>
        <w:tc>
          <w:tcPr>
            <w:tcW w:w="1453" w:type="dxa"/>
            <w:tcBorders>
              <w:top w:val="single" w:sz="4" w:space="0" w:color="auto"/>
            </w:tcBorders>
            <w:vAlign w:val="center"/>
          </w:tcPr>
          <w:p w14:paraId="65DE20D6"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0.52</w:t>
            </w:r>
          </w:p>
        </w:tc>
        <w:tc>
          <w:tcPr>
            <w:tcW w:w="1453" w:type="dxa"/>
            <w:tcBorders>
              <w:top w:val="single" w:sz="4" w:space="0" w:color="auto"/>
            </w:tcBorders>
            <w:vAlign w:val="center"/>
          </w:tcPr>
          <w:p w14:paraId="159EA37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0.13, 0.92</w:t>
            </w:r>
          </w:p>
        </w:tc>
        <w:tc>
          <w:tcPr>
            <w:tcW w:w="1453" w:type="dxa"/>
            <w:tcBorders>
              <w:top w:val="single" w:sz="4" w:space="0" w:color="auto"/>
            </w:tcBorders>
            <w:vAlign w:val="center"/>
          </w:tcPr>
          <w:p w14:paraId="01F29B8D"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0.64</w:t>
            </w:r>
          </w:p>
        </w:tc>
        <w:tc>
          <w:tcPr>
            <w:tcW w:w="1453" w:type="dxa"/>
            <w:tcBorders>
              <w:top w:val="single" w:sz="4" w:space="0" w:color="auto"/>
            </w:tcBorders>
            <w:vAlign w:val="center"/>
          </w:tcPr>
          <w:p w14:paraId="534618F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0.21, 1.07</w:t>
            </w:r>
          </w:p>
        </w:tc>
      </w:tr>
      <w:tr w:rsidR="00D4124E" w14:paraId="3D1BBC1B"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none" w:sz="0" w:space="0" w:color="auto"/>
              <w:right w:val="none" w:sz="0" w:space="0" w:color="auto"/>
            </w:tcBorders>
            <w:vAlign w:val="center"/>
          </w:tcPr>
          <w:p w14:paraId="0879AC0F"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Migration</w:t>
            </w:r>
          </w:p>
        </w:tc>
        <w:tc>
          <w:tcPr>
            <w:tcW w:w="1453" w:type="dxa"/>
            <w:tcBorders>
              <w:top w:val="none" w:sz="0" w:space="0" w:color="auto"/>
              <w:bottom w:val="none" w:sz="0" w:space="0" w:color="auto"/>
            </w:tcBorders>
            <w:vAlign w:val="center"/>
          </w:tcPr>
          <w:p w14:paraId="3ECA7166"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2.06</w:t>
            </w:r>
          </w:p>
        </w:tc>
        <w:tc>
          <w:tcPr>
            <w:tcW w:w="1453" w:type="dxa"/>
            <w:tcBorders>
              <w:top w:val="none" w:sz="0" w:space="0" w:color="auto"/>
              <w:bottom w:val="none" w:sz="0" w:space="0" w:color="auto"/>
            </w:tcBorders>
            <w:vAlign w:val="center"/>
          </w:tcPr>
          <w:p w14:paraId="776D2780"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1.70, 2.43</w:t>
            </w:r>
          </w:p>
        </w:tc>
        <w:tc>
          <w:tcPr>
            <w:tcW w:w="1453" w:type="dxa"/>
            <w:tcBorders>
              <w:top w:val="none" w:sz="0" w:space="0" w:color="auto"/>
              <w:bottom w:val="none" w:sz="0" w:space="0" w:color="auto"/>
            </w:tcBorders>
            <w:vAlign w:val="center"/>
          </w:tcPr>
          <w:p w14:paraId="31914459"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0.84</w:t>
            </w:r>
          </w:p>
        </w:tc>
        <w:tc>
          <w:tcPr>
            <w:tcW w:w="1453" w:type="dxa"/>
            <w:tcBorders>
              <w:top w:val="none" w:sz="0" w:space="0" w:color="auto"/>
              <w:bottom w:val="none" w:sz="0" w:space="0" w:color="auto"/>
            </w:tcBorders>
            <w:vAlign w:val="center"/>
          </w:tcPr>
          <w:p w14:paraId="2CF7E512"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0.44, 1.25</w:t>
            </w:r>
          </w:p>
        </w:tc>
      </w:tr>
      <w:tr w:rsidR="00D4124E" w14:paraId="306B9418"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none" w:sz="0" w:space="0" w:color="auto"/>
            </w:tcBorders>
            <w:vAlign w:val="center"/>
          </w:tcPr>
          <w:p w14:paraId="6C0C261B" w14:textId="77777777" w:rsidR="00D4124E" w:rsidRDefault="00000000">
            <w:pPr>
              <w:spacing w:after="0" w:line="240" w:lineRule="auto"/>
              <w:rPr>
                <w:rFonts w:ascii="Cambria" w:eastAsia="Cambria" w:hAnsi="Cambria" w:cs="Cambria"/>
                <w:sz w:val="24"/>
                <w:szCs w:val="24"/>
              </w:rPr>
            </w:pPr>
            <w:bookmarkStart w:id="5" w:name="_2et92p0" w:colFirst="0" w:colLast="0"/>
            <w:bookmarkEnd w:id="5"/>
            <w:r>
              <w:rPr>
                <w:rFonts w:ascii="Cambria" w:eastAsia="Cambria" w:hAnsi="Cambria" w:cs="Cambria"/>
                <w:sz w:val="24"/>
                <w:szCs w:val="24"/>
              </w:rPr>
              <w:t>Territoriality</w:t>
            </w:r>
          </w:p>
        </w:tc>
        <w:tc>
          <w:tcPr>
            <w:tcW w:w="1453" w:type="dxa"/>
            <w:vAlign w:val="center"/>
          </w:tcPr>
          <w:p w14:paraId="291ED2E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-2.61</w:t>
            </w:r>
          </w:p>
        </w:tc>
        <w:tc>
          <w:tcPr>
            <w:tcW w:w="1453" w:type="dxa"/>
            <w:vAlign w:val="center"/>
          </w:tcPr>
          <w:p w14:paraId="1E8D630D"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-3.13, -2.12</w:t>
            </w:r>
          </w:p>
        </w:tc>
        <w:tc>
          <w:tcPr>
            <w:tcW w:w="1453" w:type="dxa"/>
            <w:vAlign w:val="center"/>
          </w:tcPr>
          <w:p w14:paraId="311DA49E"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-2.71</w:t>
            </w:r>
          </w:p>
        </w:tc>
        <w:tc>
          <w:tcPr>
            <w:tcW w:w="1453" w:type="dxa"/>
            <w:vAlign w:val="center"/>
          </w:tcPr>
          <w:p w14:paraId="5941126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-3.27, -2.17</w:t>
            </w:r>
          </w:p>
        </w:tc>
      </w:tr>
      <w:tr w:rsidR="00D4124E" w14:paraId="0DF58790"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none" w:sz="0" w:space="0" w:color="auto"/>
              <w:right w:val="none" w:sz="0" w:space="0" w:color="auto"/>
            </w:tcBorders>
            <w:shd w:val="clear" w:color="auto" w:fill="auto"/>
            <w:vAlign w:val="center"/>
          </w:tcPr>
          <w:p w14:paraId="2A1D29AC"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Seasonality</w:t>
            </w:r>
          </w:p>
        </w:tc>
        <w:tc>
          <w:tcPr>
            <w:tcW w:w="1453" w:type="dxa"/>
            <w:tcBorders>
              <w:top w:val="none" w:sz="0" w:space="0" w:color="auto"/>
              <w:bottom w:val="none" w:sz="0" w:space="0" w:color="auto"/>
            </w:tcBorders>
            <w:vAlign w:val="center"/>
          </w:tcPr>
          <w:p w14:paraId="3BD473DE"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2.12</w:t>
            </w:r>
          </w:p>
        </w:tc>
        <w:tc>
          <w:tcPr>
            <w:tcW w:w="1453" w:type="dxa"/>
            <w:tcBorders>
              <w:top w:val="none" w:sz="0" w:space="0" w:color="auto"/>
              <w:bottom w:val="none" w:sz="0" w:space="0" w:color="auto"/>
            </w:tcBorders>
            <w:vAlign w:val="center"/>
          </w:tcPr>
          <w:p w14:paraId="606DD0F5"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1.83, 2.43</w:t>
            </w:r>
          </w:p>
        </w:tc>
        <w:tc>
          <w:tcPr>
            <w:tcW w:w="1453" w:type="dxa"/>
            <w:tcBorders>
              <w:top w:val="none" w:sz="0" w:space="0" w:color="auto"/>
              <w:bottom w:val="none" w:sz="0" w:space="0" w:color="auto"/>
            </w:tcBorders>
            <w:vAlign w:val="center"/>
          </w:tcPr>
          <w:p w14:paraId="6FF62184"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1.78</w:t>
            </w:r>
          </w:p>
        </w:tc>
        <w:tc>
          <w:tcPr>
            <w:tcW w:w="1453" w:type="dxa"/>
            <w:tcBorders>
              <w:top w:val="none" w:sz="0" w:space="0" w:color="auto"/>
              <w:bottom w:val="none" w:sz="0" w:space="0" w:color="auto"/>
            </w:tcBorders>
            <w:vAlign w:val="center"/>
          </w:tcPr>
          <w:p w14:paraId="5070AEFA"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1.44, 2.12</w:t>
            </w:r>
          </w:p>
        </w:tc>
      </w:tr>
      <w:tr w:rsidR="00D4124E" w14:paraId="6F2747A4"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977" w:type="dxa"/>
            <w:tcBorders>
              <w:right w:val="none" w:sz="0" w:space="0" w:color="auto"/>
            </w:tcBorders>
            <w:shd w:val="clear" w:color="auto" w:fill="auto"/>
            <w:vAlign w:val="center"/>
          </w:tcPr>
          <w:p w14:paraId="1F5E5184"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 × territoriality</w:t>
            </w:r>
          </w:p>
        </w:tc>
        <w:tc>
          <w:tcPr>
            <w:tcW w:w="1453" w:type="dxa"/>
            <w:vAlign w:val="center"/>
          </w:tcPr>
          <w:p w14:paraId="006A0342"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53" w:type="dxa"/>
            <w:vAlign w:val="center"/>
          </w:tcPr>
          <w:p w14:paraId="7E0BA75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53" w:type="dxa"/>
            <w:vAlign w:val="center"/>
          </w:tcPr>
          <w:p w14:paraId="201F561A"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0.80</w:t>
            </w:r>
          </w:p>
        </w:tc>
        <w:tc>
          <w:tcPr>
            <w:tcW w:w="1453" w:type="dxa"/>
            <w:vAlign w:val="center"/>
          </w:tcPr>
          <w:p w14:paraId="6D36ECC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0.08, 1.51</w:t>
            </w:r>
          </w:p>
        </w:tc>
      </w:tr>
      <w:tr w:rsidR="00D4124E" w14:paraId="33113D7F"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977" w:type="dxa"/>
            <w:tcBorders>
              <w:top w:val="none" w:sz="0" w:space="0" w:color="auto"/>
              <w:bottom w:val="single" w:sz="4" w:space="0" w:color="auto"/>
              <w:right w:val="none" w:sz="0" w:space="0" w:color="auto"/>
            </w:tcBorders>
            <w:shd w:val="clear" w:color="auto" w:fill="auto"/>
            <w:vAlign w:val="center"/>
          </w:tcPr>
          <w:p w14:paraId="50F45065"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 × seasonality</w:t>
            </w:r>
          </w:p>
        </w:tc>
        <w:tc>
          <w:tcPr>
            <w:tcW w:w="1453" w:type="dxa"/>
            <w:tcBorders>
              <w:top w:val="none" w:sz="0" w:space="0" w:color="auto"/>
              <w:bottom w:val="single" w:sz="4" w:space="0" w:color="auto"/>
            </w:tcBorders>
            <w:vAlign w:val="center"/>
          </w:tcPr>
          <w:p w14:paraId="47BD093C"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53" w:type="dxa"/>
            <w:tcBorders>
              <w:top w:val="none" w:sz="0" w:space="0" w:color="auto"/>
              <w:bottom w:val="single" w:sz="4" w:space="0" w:color="auto"/>
            </w:tcBorders>
            <w:vAlign w:val="center"/>
          </w:tcPr>
          <w:p w14:paraId="3A1814C5"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53" w:type="dxa"/>
            <w:tcBorders>
              <w:top w:val="none" w:sz="0" w:space="0" w:color="auto"/>
              <w:bottom w:val="single" w:sz="4" w:space="0" w:color="auto"/>
            </w:tcBorders>
            <w:vAlign w:val="center"/>
          </w:tcPr>
          <w:p w14:paraId="48E19877"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-0.75</w:t>
            </w:r>
          </w:p>
        </w:tc>
        <w:tc>
          <w:tcPr>
            <w:tcW w:w="1453" w:type="dxa"/>
            <w:tcBorders>
              <w:top w:val="none" w:sz="0" w:space="0" w:color="auto"/>
              <w:bottom w:val="single" w:sz="4" w:space="0" w:color="auto"/>
            </w:tcBorders>
            <w:vAlign w:val="center"/>
          </w:tcPr>
          <w:p w14:paraId="11A2F156"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-1.33, -0.18</w:t>
            </w:r>
          </w:p>
        </w:tc>
      </w:tr>
    </w:tbl>
    <w:p w14:paraId="3770EF07" w14:textId="77777777" w:rsidR="00D4124E" w:rsidRDefault="00D4124E" w:rsidP="0005547B">
      <w:pPr>
        <w:suppressLineNumbers/>
        <w:rPr>
          <w:b/>
          <w:sz w:val="24"/>
          <w:szCs w:val="24"/>
        </w:rPr>
      </w:pPr>
    </w:p>
    <w:p w14:paraId="028EBABC" w14:textId="77777777" w:rsidR="00D4124E" w:rsidRDefault="00D4124E" w:rsidP="0005547B">
      <w:pPr>
        <w:suppressLineNumbers/>
        <w:rPr>
          <w:b/>
        </w:rPr>
      </w:pPr>
    </w:p>
    <w:p w14:paraId="389E73F2" w14:textId="77777777" w:rsidR="00D4124E" w:rsidRDefault="00D4124E" w:rsidP="0005547B">
      <w:pPr>
        <w:suppressLineNumbers/>
        <w:rPr>
          <w:b/>
        </w:rPr>
      </w:pPr>
    </w:p>
    <w:p w14:paraId="31D2E6DB" w14:textId="77777777" w:rsidR="00D4124E" w:rsidRDefault="00D4124E" w:rsidP="0005547B">
      <w:pPr>
        <w:suppressLineNumbers/>
        <w:rPr>
          <w:b/>
        </w:rPr>
      </w:pPr>
    </w:p>
    <w:p w14:paraId="02EF252C" w14:textId="77777777" w:rsidR="00D4124E" w:rsidRDefault="00000000" w:rsidP="0005547B">
      <w:pPr>
        <w:suppressLineNumbers/>
        <w:spacing w:after="0" w:line="240" w:lineRule="auto"/>
        <w:rPr>
          <w:rFonts w:ascii="Cambria" w:eastAsia="Cambria" w:hAnsi="Cambria" w:cs="Cambria"/>
          <w:b/>
        </w:rPr>
      </w:pPr>
      <w:r>
        <w:br w:type="page"/>
      </w:r>
    </w:p>
    <w:p w14:paraId="2B71B2A5" w14:textId="7149704D" w:rsidR="00D4124E" w:rsidRDefault="00000000">
      <w:pPr>
        <w:spacing w:line="360" w:lineRule="auto"/>
        <w:rPr>
          <w:sz w:val="24"/>
          <w:szCs w:val="24"/>
        </w:rPr>
      </w:pPr>
      <w:r>
        <w:rPr>
          <w:rFonts w:ascii="Cambria" w:eastAsia="Cambria" w:hAnsi="Cambria" w:cs="Cambria"/>
          <w:b/>
          <w:sz w:val="24"/>
          <w:szCs w:val="24"/>
        </w:rPr>
        <w:lastRenderedPageBreak/>
        <w:t>Table S5 |</w:t>
      </w:r>
      <w:r>
        <w:rPr>
          <w:rFonts w:ascii="Cambria" w:eastAsia="Cambria" w:hAnsi="Cambria" w:cs="Cambria"/>
          <w:sz w:val="24"/>
          <w:szCs w:val="24"/>
        </w:rPr>
        <w:t xml:space="preserve"> </w:t>
      </w:r>
      <w:r>
        <w:rPr>
          <w:rFonts w:ascii="Cambria" w:eastAsia="Cambria" w:hAnsi="Cambria" w:cs="Cambria"/>
          <w:b/>
          <w:sz w:val="24"/>
          <w:szCs w:val="24"/>
        </w:rPr>
        <w:t>Results of sensitivity analyses assessing robustness of models to data certainty.</w:t>
      </w:r>
      <w:r>
        <w:rPr>
          <w:rFonts w:ascii="Cambria" w:eastAsia="Cambria" w:hAnsi="Cambria" w:cs="Cambria"/>
          <w:sz w:val="24"/>
          <w:szCs w:val="24"/>
        </w:rPr>
        <w:t xml:space="preserve"> Results shown are </w:t>
      </w:r>
      <w:r>
        <w:t>β</w:t>
      </w:r>
      <w:r>
        <w:rPr>
          <w:rFonts w:ascii="Cambria" w:eastAsia="Cambria" w:hAnsi="Cambria" w:cs="Cambria"/>
          <w:sz w:val="24"/>
          <w:szCs w:val="24"/>
        </w:rPr>
        <w:t xml:space="preserve"> estimates and 95% credible intervals from univariate and multivariate phylogenetic Bayesian ordinal mixed-effect models assessing potential drivers of sexual selection in birds, restricted to species with highest data quality (scored 3 or 4; </w:t>
      </w:r>
      <w:r>
        <w:rPr>
          <w:rFonts w:ascii="Cambria" w:eastAsia="Cambria" w:hAnsi="Cambria" w:cs="Cambria"/>
          <w:i/>
          <w:sz w:val="24"/>
          <w:szCs w:val="24"/>
        </w:rPr>
        <w:t>n</w:t>
      </w:r>
      <w:r>
        <w:rPr>
          <w:rFonts w:ascii="Cambria" w:eastAsia="Cambria" w:hAnsi="Cambria" w:cs="Cambria"/>
          <w:sz w:val="24"/>
          <w:szCs w:val="24"/>
        </w:rPr>
        <w:t xml:space="preserve"> = 7592 species). </w:t>
      </w:r>
      <w:r w:rsidR="0005547B">
        <w:rPr>
          <w:rFonts w:ascii="Cambria" w:eastAsia="Cambria" w:hAnsi="Cambria" w:cs="Cambria"/>
          <w:sz w:val="24"/>
          <w:szCs w:val="24"/>
        </w:rPr>
        <w:t xml:space="preserve">Models were run on a sample of 50 phylogenetic trees extracted from www.birdtree.org (Jetz </w:t>
      </w:r>
      <w:r w:rsidR="0005547B" w:rsidRPr="0005547B">
        <w:rPr>
          <w:rFonts w:ascii="Cambria" w:eastAsia="Cambria" w:hAnsi="Cambria" w:cs="Cambria"/>
          <w:i/>
          <w:iCs/>
          <w:sz w:val="24"/>
          <w:szCs w:val="24"/>
        </w:rPr>
        <w:t>et al.</w:t>
      </w:r>
      <w:r w:rsidR="0005547B">
        <w:rPr>
          <w:rFonts w:ascii="Cambria" w:eastAsia="Cambria" w:hAnsi="Cambria" w:cs="Cambria"/>
          <w:sz w:val="24"/>
          <w:szCs w:val="24"/>
        </w:rPr>
        <w:t xml:space="preserve"> 2012), grafted to the Prum </w:t>
      </w:r>
      <w:r w:rsidR="0005547B" w:rsidRPr="0005547B">
        <w:rPr>
          <w:rFonts w:ascii="Cambria" w:eastAsia="Cambria" w:hAnsi="Cambria" w:cs="Cambria"/>
          <w:i/>
          <w:iCs/>
          <w:sz w:val="24"/>
          <w:szCs w:val="24"/>
        </w:rPr>
        <w:t xml:space="preserve">et al. </w:t>
      </w:r>
      <w:r w:rsidR="0005547B">
        <w:rPr>
          <w:rFonts w:ascii="Cambria" w:eastAsia="Cambria" w:hAnsi="Cambria" w:cs="Cambria"/>
          <w:sz w:val="24"/>
          <w:szCs w:val="24"/>
        </w:rPr>
        <w:t xml:space="preserve">(2015) genomic backbone. </w:t>
      </w:r>
      <w:r>
        <w:rPr>
          <w:rFonts w:ascii="Cambria" w:eastAsia="Cambria" w:hAnsi="Cambria" w:cs="Cambria"/>
          <w:sz w:val="24"/>
          <w:szCs w:val="24"/>
        </w:rPr>
        <w:t xml:space="preserve">See Supplementary methods for detailed model descriptions. </w:t>
      </w:r>
    </w:p>
    <w:p w14:paraId="43DF3D7C" w14:textId="77777777" w:rsidR="00D4124E" w:rsidRDefault="00D4124E" w:rsidP="0005547B">
      <w:pPr>
        <w:suppressLineNumbers/>
      </w:pPr>
    </w:p>
    <w:tbl>
      <w:tblPr>
        <w:tblStyle w:val="a3"/>
        <w:tblW w:w="8788" w:type="dxa"/>
        <w:jc w:val="center"/>
        <w:tblLayout w:type="fixed"/>
        <w:tblLook w:val="04A0" w:firstRow="1" w:lastRow="0" w:firstColumn="1" w:lastColumn="0" w:noHBand="0" w:noVBand="1"/>
      </w:tblPr>
      <w:tblGrid>
        <w:gridCol w:w="2816"/>
        <w:gridCol w:w="1493"/>
        <w:gridCol w:w="1493"/>
        <w:gridCol w:w="1493"/>
        <w:gridCol w:w="1493"/>
      </w:tblGrid>
      <w:tr w:rsidR="00D4124E" w14:paraId="127207C1" w14:textId="77777777" w:rsidTr="00254054">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2817" w:type="dxa"/>
            <w:tcBorders>
              <w:bottom w:val="single" w:sz="4" w:space="0" w:color="auto"/>
              <w:right w:val="none" w:sz="0" w:space="0" w:color="auto"/>
            </w:tcBorders>
            <w:shd w:val="clear" w:color="auto" w:fill="auto"/>
            <w:vAlign w:val="bottom"/>
          </w:tcPr>
          <w:p w14:paraId="66468AD9" w14:textId="77777777" w:rsidR="00D4124E" w:rsidRDefault="00000000">
            <w:pPr>
              <w:spacing w:after="0" w:line="240" w:lineRule="auto"/>
              <w:rPr>
                <w:rFonts w:ascii="Cambria" w:eastAsia="Cambria" w:hAnsi="Cambria" w:cs="Cambria"/>
                <w:sz w:val="24"/>
                <w:szCs w:val="24"/>
              </w:rPr>
            </w:pPr>
            <w:r>
              <w:rPr>
                <w:rFonts w:ascii="Cambria" w:eastAsia="Cambria" w:hAnsi="Cambria" w:cs="Cambria"/>
                <w:color w:val="000000"/>
                <w:sz w:val="24"/>
                <w:szCs w:val="24"/>
              </w:rPr>
              <w:t>Predictor</w:t>
            </w:r>
          </w:p>
        </w:tc>
        <w:tc>
          <w:tcPr>
            <w:tcW w:w="2986" w:type="dxa"/>
            <w:gridSpan w:val="2"/>
            <w:tcBorders>
              <w:bottom w:val="single" w:sz="4" w:space="0" w:color="auto"/>
            </w:tcBorders>
            <w:shd w:val="clear" w:color="auto" w:fill="auto"/>
            <w:vAlign w:val="bottom"/>
          </w:tcPr>
          <w:p w14:paraId="3B4987A4"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Univariate</w:t>
            </w:r>
          </w:p>
        </w:tc>
        <w:tc>
          <w:tcPr>
            <w:tcW w:w="2986" w:type="dxa"/>
            <w:gridSpan w:val="2"/>
            <w:tcBorders>
              <w:bottom w:val="single" w:sz="4" w:space="0" w:color="auto"/>
            </w:tcBorders>
            <w:shd w:val="clear" w:color="auto" w:fill="auto"/>
            <w:vAlign w:val="bottom"/>
          </w:tcPr>
          <w:p w14:paraId="0EE56C22" w14:textId="77777777" w:rsidR="00D4124E" w:rsidRDefault="0000000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vertAlign w:val="superscript"/>
              </w:rPr>
            </w:pPr>
            <w:r>
              <w:rPr>
                <w:rFonts w:ascii="Cambria" w:eastAsia="Cambria" w:hAnsi="Cambria" w:cs="Cambria"/>
                <w:color w:val="000000"/>
                <w:sz w:val="24"/>
                <w:szCs w:val="24"/>
              </w:rPr>
              <w:t>Multivariate</w:t>
            </w:r>
          </w:p>
        </w:tc>
      </w:tr>
      <w:tr w:rsidR="00D4124E" w14:paraId="25614BCC"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17" w:type="dxa"/>
            <w:tcBorders>
              <w:top w:val="single" w:sz="4" w:space="0" w:color="auto"/>
              <w:bottom w:val="none" w:sz="0" w:space="0" w:color="auto"/>
              <w:right w:val="none" w:sz="0" w:space="0" w:color="auto"/>
            </w:tcBorders>
            <w:vAlign w:val="center"/>
          </w:tcPr>
          <w:p w14:paraId="3BA041D1" w14:textId="77777777" w:rsidR="00D4124E" w:rsidRDefault="00D4124E">
            <w:pPr>
              <w:spacing w:after="0" w:line="240" w:lineRule="auto"/>
              <w:rPr>
                <w:rFonts w:ascii="Cambria" w:eastAsia="Cambria" w:hAnsi="Cambria" w:cs="Cambria"/>
                <w:sz w:val="24"/>
                <w:szCs w:val="24"/>
              </w:rPr>
            </w:pPr>
          </w:p>
        </w:tc>
        <w:tc>
          <w:tcPr>
            <w:tcW w:w="1493" w:type="dxa"/>
            <w:tcBorders>
              <w:top w:val="single" w:sz="4" w:space="0" w:color="auto"/>
              <w:bottom w:val="single" w:sz="4" w:space="0" w:color="auto"/>
            </w:tcBorders>
            <w:vAlign w:val="center"/>
          </w:tcPr>
          <w:p w14:paraId="0E09CC71"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Estimate</w:t>
            </w:r>
          </w:p>
        </w:tc>
        <w:tc>
          <w:tcPr>
            <w:tcW w:w="1493" w:type="dxa"/>
            <w:tcBorders>
              <w:top w:val="single" w:sz="4" w:space="0" w:color="auto"/>
              <w:bottom w:val="single" w:sz="4" w:space="0" w:color="auto"/>
            </w:tcBorders>
            <w:vAlign w:val="center"/>
          </w:tcPr>
          <w:p w14:paraId="28F4B28A"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95% CI</w:t>
            </w:r>
          </w:p>
        </w:tc>
        <w:tc>
          <w:tcPr>
            <w:tcW w:w="1493" w:type="dxa"/>
            <w:tcBorders>
              <w:top w:val="single" w:sz="4" w:space="0" w:color="auto"/>
              <w:bottom w:val="single" w:sz="4" w:space="0" w:color="auto"/>
            </w:tcBorders>
            <w:vAlign w:val="center"/>
          </w:tcPr>
          <w:p w14:paraId="4E722768"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Estimate</w:t>
            </w:r>
          </w:p>
        </w:tc>
        <w:tc>
          <w:tcPr>
            <w:tcW w:w="1493" w:type="dxa"/>
            <w:tcBorders>
              <w:top w:val="single" w:sz="4" w:space="0" w:color="auto"/>
              <w:bottom w:val="single" w:sz="4" w:space="0" w:color="auto"/>
            </w:tcBorders>
            <w:vAlign w:val="center"/>
          </w:tcPr>
          <w:p w14:paraId="0C5EA15E"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95% CI</w:t>
            </w:r>
          </w:p>
        </w:tc>
      </w:tr>
      <w:tr w:rsidR="00D4124E" w14:paraId="396CB887"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817" w:type="dxa"/>
            <w:tcBorders>
              <w:right w:val="none" w:sz="0" w:space="0" w:color="auto"/>
            </w:tcBorders>
            <w:vAlign w:val="center"/>
          </w:tcPr>
          <w:p w14:paraId="20A590E0"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w:t>
            </w:r>
          </w:p>
        </w:tc>
        <w:tc>
          <w:tcPr>
            <w:tcW w:w="1493" w:type="dxa"/>
            <w:tcBorders>
              <w:top w:val="single" w:sz="4" w:space="0" w:color="auto"/>
            </w:tcBorders>
            <w:vAlign w:val="center"/>
          </w:tcPr>
          <w:p w14:paraId="0AB3AAF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0.48</w:t>
            </w:r>
          </w:p>
        </w:tc>
        <w:tc>
          <w:tcPr>
            <w:tcW w:w="1493" w:type="dxa"/>
            <w:tcBorders>
              <w:top w:val="single" w:sz="4" w:space="0" w:color="auto"/>
            </w:tcBorders>
            <w:vAlign w:val="center"/>
          </w:tcPr>
          <w:p w14:paraId="29B23AB8"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-0.01, 0.98</w:t>
            </w:r>
          </w:p>
        </w:tc>
        <w:tc>
          <w:tcPr>
            <w:tcW w:w="1493" w:type="dxa"/>
            <w:tcBorders>
              <w:top w:val="single" w:sz="4" w:space="0" w:color="auto"/>
            </w:tcBorders>
            <w:vAlign w:val="center"/>
          </w:tcPr>
          <w:p w14:paraId="358363C9"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0.62</w:t>
            </w:r>
          </w:p>
        </w:tc>
        <w:tc>
          <w:tcPr>
            <w:tcW w:w="1493" w:type="dxa"/>
            <w:tcBorders>
              <w:top w:val="single" w:sz="4" w:space="0" w:color="auto"/>
            </w:tcBorders>
            <w:vAlign w:val="center"/>
          </w:tcPr>
          <w:p w14:paraId="0C97DFAD"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0.10, 1.16</w:t>
            </w:r>
          </w:p>
        </w:tc>
      </w:tr>
      <w:tr w:rsidR="00D4124E" w14:paraId="1DA72F3C"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17" w:type="dxa"/>
            <w:tcBorders>
              <w:top w:val="none" w:sz="0" w:space="0" w:color="auto"/>
              <w:bottom w:val="none" w:sz="0" w:space="0" w:color="auto"/>
              <w:right w:val="none" w:sz="0" w:space="0" w:color="auto"/>
            </w:tcBorders>
            <w:vAlign w:val="center"/>
          </w:tcPr>
          <w:p w14:paraId="1AEFF43A"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Migration</w:t>
            </w:r>
          </w:p>
        </w:tc>
        <w:tc>
          <w:tcPr>
            <w:tcW w:w="1493" w:type="dxa"/>
            <w:tcBorders>
              <w:top w:val="none" w:sz="0" w:space="0" w:color="auto"/>
              <w:bottom w:val="none" w:sz="0" w:space="0" w:color="auto"/>
            </w:tcBorders>
            <w:vAlign w:val="center"/>
          </w:tcPr>
          <w:p w14:paraId="02791F1B"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1.87</w:t>
            </w:r>
          </w:p>
        </w:tc>
        <w:tc>
          <w:tcPr>
            <w:tcW w:w="1493" w:type="dxa"/>
            <w:tcBorders>
              <w:top w:val="none" w:sz="0" w:space="0" w:color="auto"/>
              <w:bottom w:val="none" w:sz="0" w:space="0" w:color="auto"/>
            </w:tcBorders>
            <w:vAlign w:val="center"/>
          </w:tcPr>
          <w:p w14:paraId="7BAAED9A"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1.46, 2.31</w:t>
            </w:r>
          </w:p>
        </w:tc>
        <w:tc>
          <w:tcPr>
            <w:tcW w:w="1493" w:type="dxa"/>
            <w:tcBorders>
              <w:top w:val="none" w:sz="0" w:space="0" w:color="auto"/>
              <w:bottom w:val="none" w:sz="0" w:space="0" w:color="auto"/>
            </w:tcBorders>
            <w:vAlign w:val="center"/>
          </w:tcPr>
          <w:p w14:paraId="676A1FE3"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0.50</w:t>
            </w:r>
          </w:p>
        </w:tc>
        <w:tc>
          <w:tcPr>
            <w:tcW w:w="1493" w:type="dxa"/>
            <w:tcBorders>
              <w:top w:val="none" w:sz="0" w:space="0" w:color="auto"/>
              <w:bottom w:val="none" w:sz="0" w:space="0" w:color="auto"/>
            </w:tcBorders>
            <w:vAlign w:val="center"/>
          </w:tcPr>
          <w:p w14:paraId="6D562A71"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0.03, 0.96</w:t>
            </w:r>
          </w:p>
        </w:tc>
      </w:tr>
      <w:tr w:rsidR="00D4124E" w14:paraId="3F06CD50"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817" w:type="dxa"/>
            <w:tcBorders>
              <w:right w:val="none" w:sz="0" w:space="0" w:color="auto"/>
            </w:tcBorders>
            <w:vAlign w:val="center"/>
          </w:tcPr>
          <w:p w14:paraId="31CBBFC7"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Territoriality</w:t>
            </w:r>
          </w:p>
        </w:tc>
        <w:tc>
          <w:tcPr>
            <w:tcW w:w="1493" w:type="dxa"/>
            <w:vAlign w:val="center"/>
          </w:tcPr>
          <w:p w14:paraId="70890ADC"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-3.03</w:t>
            </w:r>
          </w:p>
        </w:tc>
        <w:tc>
          <w:tcPr>
            <w:tcW w:w="1493" w:type="dxa"/>
            <w:vAlign w:val="center"/>
          </w:tcPr>
          <w:p w14:paraId="54728465"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-3.66, -2.43</w:t>
            </w:r>
          </w:p>
        </w:tc>
        <w:tc>
          <w:tcPr>
            <w:tcW w:w="1493" w:type="dxa"/>
            <w:vAlign w:val="center"/>
          </w:tcPr>
          <w:p w14:paraId="484DF4E0"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-3.17</w:t>
            </w:r>
          </w:p>
        </w:tc>
        <w:tc>
          <w:tcPr>
            <w:tcW w:w="1493" w:type="dxa"/>
            <w:vAlign w:val="center"/>
          </w:tcPr>
          <w:p w14:paraId="71B81B93"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-3.83, -2.55</w:t>
            </w:r>
          </w:p>
        </w:tc>
      </w:tr>
      <w:tr w:rsidR="00D4124E" w14:paraId="4D2D1992"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17" w:type="dxa"/>
            <w:tcBorders>
              <w:top w:val="none" w:sz="0" w:space="0" w:color="auto"/>
              <w:bottom w:val="none" w:sz="0" w:space="0" w:color="auto"/>
              <w:right w:val="none" w:sz="0" w:space="0" w:color="auto"/>
            </w:tcBorders>
            <w:shd w:val="clear" w:color="auto" w:fill="auto"/>
            <w:vAlign w:val="center"/>
          </w:tcPr>
          <w:p w14:paraId="02FF5A19"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Seasonality</w:t>
            </w:r>
          </w:p>
        </w:tc>
        <w:tc>
          <w:tcPr>
            <w:tcW w:w="1493" w:type="dxa"/>
            <w:tcBorders>
              <w:top w:val="none" w:sz="0" w:space="0" w:color="auto"/>
              <w:bottom w:val="none" w:sz="0" w:space="0" w:color="auto"/>
            </w:tcBorders>
            <w:vAlign w:val="center"/>
          </w:tcPr>
          <w:p w14:paraId="19301101"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2.45</w:t>
            </w:r>
          </w:p>
        </w:tc>
        <w:tc>
          <w:tcPr>
            <w:tcW w:w="1493" w:type="dxa"/>
            <w:tcBorders>
              <w:top w:val="none" w:sz="0" w:space="0" w:color="auto"/>
              <w:bottom w:val="none" w:sz="0" w:space="0" w:color="auto"/>
            </w:tcBorders>
            <w:vAlign w:val="center"/>
          </w:tcPr>
          <w:p w14:paraId="64091560"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2.04, 2.90</w:t>
            </w:r>
          </w:p>
        </w:tc>
        <w:tc>
          <w:tcPr>
            <w:tcW w:w="1493" w:type="dxa"/>
            <w:tcBorders>
              <w:top w:val="none" w:sz="0" w:space="0" w:color="auto"/>
              <w:bottom w:val="none" w:sz="0" w:space="0" w:color="auto"/>
            </w:tcBorders>
            <w:vAlign w:val="center"/>
          </w:tcPr>
          <w:p w14:paraId="4B85F5B1"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2.11</w:t>
            </w:r>
          </w:p>
        </w:tc>
        <w:tc>
          <w:tcPr>
            <w:tcW w:w="1493" w:type="dxa"/>
            <w:tcBorders>
              <w:top w:val="none" w:sz="0" w:space="0" w:color="auto"/>
              <w:bottom w:val="none" w:sz="0" w:space="0" w:color="auto"/>
            </w:tcBorders>
            <w:vAlign w:val="center"/>
          </w:tcPr>
          <w:p w14:paraId="6D2F5DC4"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1.68, 2.58</w:t>
            </w:r>
          </w:p>
        </w:tc>
      </w:tr>
      <w:tr w:rsidR="00D4124E" w14:paraId="5A721EB9" w14:textId="77777777" w:rsidTr="00254054">
        <w:trPr>
          <w:trHeight w:val="283"/>
          <w:jc w:val="center"/>
        </w:trPr>
        <w:tc>
          <w:tcPr>
            <w:cnfStyle w:val="001000000000" w:firstRow="0" w:lastRow="0" w:firstColumn="1" w:lastColumn="0" w:oddVBand="0" w:evenVBand="0" w:oddHBand="0" w:evenHBand="0" w:firstRowFirstColumn="0" w:firstRowLastColumn="0" w:lastRowFirstColumn="0" w:lastRowLastColumn="0"/>
            <w:tcW w:w="2817" w:type="dxa"/>
            <w:tcBorders>
              <w:right w:val="none" w:sz="0" w:space="0" w:color="auto"/>
            </w:tcBorders>
            <w:shd w:val="clear" w:color="auto" w:fill="auto"/>
            <w:vAlign w:val="center"/>
          </w:tcPr>
          <w:p w14:paraId="563AC922"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 × territoriality</w:t>
            </w:r>
          </w:p>
        </w:tc>
        <w:tc>
          <w:tcPr>
            <w:tcW w:w="1493" w:type="dxa"/>
            <w:vAlign w:val="center"/>
          </w:tcPr>
          <w:p w14:paraId="2843080D"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93" w:type="dxa"/>
            <w:vAlign w:val="center"/>
          </w:tcPr>
          <w:p w14:paraId="2E98A760"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93" w:type="dxa"/>
            <w:vAlign w:val="center"/>
          </w:tcPr>
          <w:p w14:paraId="3159E0BF"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0.74</w:t>
            </w:r>
          </w:p>
        </w:tc>
        <w:tc>
          <w:tcPr>
            <w:tcW w:w="1493" w:type="dxa"/>
            <w:vAlign w:val="center"/>
          </w:tcPr>
          <w:p w14:paraId="600FD52E" w14:textId="77777777" w:rsidR="00D4124E" w:rsidRDefault="0000000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-0.12, 1.59</w:t>
            </w:r>
          </w:p>
        </w:tc>
      </w:tr>
      <w:tr w:rsidR="00D4124E" w14:paraId="30F76B51" w14:textId="77777777" w:rsidTr="0025405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17" w:type="dxa"/>
            <w:tcBorders>
              <w:top w:val="none" w:sz="0" w:space="0" w:color="auto"/>
              <w:bottom w:val="single" w:sz="4" w:space="0" w:color="auto"/>
              <w:right w:val="none" w:sz="0" w:space="0" w:color="auto"/>
            </w:tcBorders>
            <w:shd w:val="clear" w:color="auto" w:fill="auto"/>
            <w:vAlign w:val="center"/>
          </w:tcPr>
          <w:p w14:paraId="67119751" w14:textId="77777777" w:rsidR="00D4124E" w:rsidRDefault="00000000">
            <w:pPr>
              <w:spacing w:after="0" w:line="240"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 × seasonality</w:t>
            </w:r>
          </w:p>
        </w:tc>
        <w:tc>
          <w:tcPr>
            <w:tcW w:w="1493" w:type="dxa"/>
            <w:tcBorders>
              <w:top w:val="none" w:sz="0" w:space="0" w:color="auto"/>
              <w:bottom w:val="single" w:sz="4" w:space="0" w:color="auto"/>
            </w:tcBorders>
            <w:vAlign w:val="center"/>
          </w:tcPr>
          <w:p w14:paraId="28E6DEC9"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93" w:type="dxa"/>
            <w:tcBorders>
              <w:top w:val="none" w:sz="0" w:space="0" w:color="auto"/>
              <w:bottom w:val="single" w:sz="4" w:space="0" w:color="auto"/>
            </w:tcBorders>
            <w:vAlign w:val="center"/>
          </w:tcPr>
          <w:p w14:paraId="3BFD8F20"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w:t>
            </w:r>
          </w:p>
        </w:tc>
        <w:tc>
          <w:tcPr>
            <w:tcW w:w="1493" w:type="dxa"/>
            <w:tcBorders>
              <w:top w:val="none" w:sz="0" w:space="0" w:color="auto"/>
              <w:bottom w:val="single" w:sz="4" w:space="0" w:color="auto"/>
            </w:tcBorders>
            <w:vAlign w:val="center"/>
          </w:tcPr>
          <w:p w14:paraId="09688AC1"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-1.14</w:t>
            </w:r>
          </w:p>
        </w:tc>
        <w:tc>
          <w:tcPr>
            <w:tcW w:w="1493" w:type="dxa"/>
            <w:tcBorders>
              <w:top w:val="none" w:sz="0" w:space="0" w:color="auto"/>
              <w:bottom w:val="single" w:sz="4" w:space="0" w:color="auto"/>
            </w:tcBorders>
            <w:vAlign w:val="center"/>
          </w:tcPr>
          <w:p w14:paraId="0A9FD693" w14:textId="77777777" w:rsidR="00D4124E" w:rsidRDefault="0000000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-1.85, -0.44</w:t>
            </w:r>
          </w:p>
        </w:tc>
      </w:tr>
    </w:tbl>
    <w:p w14:paraId="1EDCD8D2" w14:textId="77777777" w:rsidR="00D4124E" w:rsidRDefault="00D4124E" w:rsidP="0005547B">
      <w:pPr>
        <w:suppressLineNumbers/>
      </w:pPr>
    </w:p>
    <w:p w14:paraId="1976B454" w14:textId="77777777" w:rsidR="00D4124E" w:rsidRDefault="00D4124E" w:rsidP="0005547B">
      <w:pPr>
        <w:suppressLineNumbers/>
      </w:pPr>
    </w:p>
    <w:p w14:paraId="79F0AB4A" w14:textId="77777777" w:rsidR="00D4124E" w:rsidRDefault="00D4124E" w:rsidP="0005547B">
      <w:pPr>
        <w:suppressLineNumbers/>
      </w:pPr>
    </w:p>
    <w:p w14:paraId="20E83F9A" w14:textId="77777777" w:rsidR="00D4124E" w:rsidRDefault="00D4124E" w:rsidP="0005547B">
      <w:pPr>
        <w:suppressLineNumbers/>
      </w:pPr>
    </w:p>
    <w:p w14:paraId="08DCCB65" w14:textId="77777777" w:rsidR="00D4124E" w:rsidRDefault="00D4124E" w:rsidP="0005547B">
      <w:pPr>
        <w:suppressLineNumbers/>
      </w:pPr>
    </w:p>
    <w:p w14:paraId="19738A01" w14:textId="77777777" w:rsidR="00D4124E" w:rsidRDefault="00D4124E" w:rsidP="0005547B">
      <w:pPr>
        <w:suppressLineNumbers/>
      </w:pPr>
    </w:p>
    <w:p w14:paraId="00821791" w14:textId="77777777" w:rsidR="00D4124E" w:rsidRDefault="00D4124E" w:rsidP="0005547B">
      <w:pPr>
        <w:suppressLineNumbers/>
      </w:pPr>
    </w:p>
    <w:p w14:paraId="19CEC8EE" w14:textId="77777777" w:rsidR="00D4124E" w:rsidRDefault="00D4124E" w:rsidP="0005547B">
      <w:pPr>
        <w:suppressLineNumbers/>
      </w:pPr>
    </w:p>
    <w:p w14:paraId="2CFF0F3B" w14:textId="77777777" w:rsidR="00D4124E" w:rsidRDefault="00D4124E" w:rsidP="0005547B">
      <w:pPr>
        <w:suppressLineNumbers/>
      </w:pPr>
    </w:p>
    <w:p w14:paraId="4FF81553" w14:textId="77777777" w:rsidR="00D4124E" w:rsidRDefault="00D4124E" w:rsidP="0005547B">
      <w:pPr>
        <w:suppressLineNumbers/>
      </w:pPr>
    </w:p>
    <w:p w14:paraId="7B56ECE6" w14:textId="77777777" w:rsidR="00D4124E" w:rsidRDefault="00D4124E" w:rsidP="0005547B">
      <w:pPr>
        <w:suppressLineNumbers/>
      </w:pPr>
    </w:p>
    <w:p w14:paraId="50CB30AF" w14:textId="77777777" w:rsidR="00D4124E" w:rsidRDefault="00D4124E" w:rsidP="0005547B">
      <w:pPr>
        <w:suppressLineNumbers/>
      </w:pPr>
    </w:p>
    <w:p w14:paraId="1E17909A" w14:textId="77777777" w:rsidR="00D4124E" w:rsidRDefault="00D4124E" w:rsidP="0005547B">
      <w:pPr>
        <w:suppressLineNumbers/>
      </w:pPr>
    </w:p>
    <w:p w14:paraId="0913346C" w14:textId="77777777" w:rsidR="00D4124E" w:rsidRDefault="00D4124E" w:rsidP="0005547B">
      <w:pPr>
        <w:suppressLineNumbers/>
      </w:pPr>
    </w:p>
    <w:p w14:paraId="40CEC9DB" w14:textId="77777777" w:rsidR="00D4124E" w:rsidRDefault="00D4124E" w:rsidP="0005547B">
      <w:pPr>
        <w:suppressLineNumbers/>
      </w:pPr>
    </w:p>
    <w:p w14:paraId="67E2797C" w14:textId="77777777" w:rsidR="003C1410" w:rsidRDefault="003C1410" w:rsidP="0005547B">
      <w:pPr>
        <w:suppressLineNumbers/>
      </w:pPr>
    </w:p>
    <w:p w14:paraId="75D6E40D" w14:textId="77777777" w:rsidR="003C1410" w:rsidRDefault="003C1410" w:rsidP="0005547B">
      <w:pPr>
        <w:suppressLineNumbers/>
      </w:pPr>
    </w:p>
    <w:p w14:paraId="5822C05B" w14:textId="77777777" w:rsidR="00D4124E" w:rsidRDefault="00000000">
      <w:pPr>
        <w:spacing w:after="0" w:line="360" w:lineRule="auto"/>
        <w:rPr>
          <w:rFonts w:ascii="Cambria" w:eastAsia="Cambria" w:hAnsi="Cambria" w:cs="Cambria"/>
          <w:sz w:val="24"/>
          <w:szCs w:val="24"/>
        </w:rPr>
      </w:pPr>
      <w:r>
        <w:rPr>
          <w:rFonts w:ascii="Cambria" w:eastAsia="Cambria" w:hAnsi="Cambria" w:cs="Cambria"/>
          <w:b/>
          <w:sz w:val="24"/>
          <w:szCs w:val="24"/>
        </w:rPr>
        <w:lastRenderedPageBreak/>
        <w:t>Table S6</w:t>
      </w:r>
      <w:r>
        <w:rPr>
          <w:rFonts w:ascii="Cambria" w:eastAsia="Cambria" w:hAnsi="Cambria" w:cs="Cambria"/>
          <w:sz w:val="24"/>
          <w:szCs w:val="24"/>
        </w:rPr>
        <w:t xml:space="preserve"> </w:t>
      </w:r>
      <w:r>
        <w:rPr>
          <w:rFonts w:ascii="Cambria" w:eastAsia="Cambria" w:hAnsi="Cambria" w:cs="Cambria"/>
          <w:b/>
          <w:sz w:val="24"/>
          <w:szCs w:val="24"/>
        </w:rPr>
        <w:t>| Collinearity between multivariate model predictors.</w:t>
      </w:r>
      <w:r>
        <w:rPr>
          <w:rFonts w:ascii="Cambria" w:eastAsia="Cambria" w:hAnsi="Cambria" w:cs="Cambria"/>
          <w:sz w:val="24"/>
          <w:szCs w:val="24"/>
        </w:rPr>
        <w:t xml:space="preserve"> Results shown are Variance Inflation Factors (VIF) calculated for multivariate models predicting sexual selection in birds. The two columns show results for all birds  (</w:t>
      </w:r>
      <w:r>
        <w:rPr>
          <w:rFonts w:ascii="Cambria" w:eastAsia="Cambria" w:hAnsi="Cambria" w:cs="Cambria"/>
          <w:i/>
          <w:sz w:val="24"/>
          <w:szCs w:val="24"/>
        </w:rPr>
        <w:t>n</w:t>
      </w:r>
      <w:r>
        <w:rPr>
          <w:rFonts w:ascii="Cambria" w:eastAsia="Cambria" w:hAnsi="Cambria" w:cs="Cambria"/>
          <w:sz w:val="24"/>
          <w:szCs w:val="24"/>
        </w:rPr>
        <w:t xml:space="preserve"> = 9836 species) and a subset of species with high certainty data (</w:t>
      </w:r>
      <w:r>
        <w:rPr>
          <w:rFonts w:ascii="Cambria" w:eastAsia="Cambria" w:hAnsi="Cambria" w:cs="Cambria"/>
          <w:i/>
          <w:sz w:val="24"/>
          <w:szCs w:val="24"/>
        </w:rPr>
        <w:t>n</w:t>
      </w:r>
      <w:r>
        <w:rPr>
          <w:rFonts w:ascii="Cambria" w:eastAsia="Cambria" w:hAnsi="Cambria" w:cs="Cambria"/>
          <w:sz w:val="24"/>
          <w:szCs w:val="24"/>
        </w:rPr>
        <w:t xml:space="preserve"> = 7592 species). High certainty data was defined as species scored 3 or 4 for data certainty (see Extended Data Table 2). All VIF were below 3, suggesting that collinearity should not impact model interpretation.</w:t>
      </w:r>
    </w:p>
    <w:p w14:paraId="483A4F2E" w14:textId="77777777" w:rsidR="00D4124E" w:rsidRDefault="00D4124E" w:rsidP="0005547B">
      <w:pPr>
        <w:suppressLineNumbers/>
        <w:spacing w:line="360" w:lineRule="auto"/>
        <w:rPr>
          <w:rFonts w:ascii="Cambria" w:eastAsia="Cambria" w:hAnsi="Cambria" w:cs="Cambria"/>
          <w:b/>
          <w:sz w:val="24"/>
          <w:szCs w:val="24"/>
        </w:rPr>
      </w:pPr>
    </w:p>
    <w:tbl>
      <w:tblPr>
        <w:tblStyle w:val="a4"/>
        <w:tblW w:w="7797" w:type="dxa"/>
        <w:jc w:val="center"/>
        <w:tblBorders>
          <w:top w:val="nil"/>
          <w:left w:val="nil"/>
          <w:bottom w:val="nil"/>
          <w:right w:val="nil"/>
          <w:insideH w:val="single" w:sz="4" w:space="0" w:color="BFBFBF"/>
          <w:insideV w:val="single" w:sz="4" w:space="0" w:color="BFBFBF"/>
        </w:tblBorders>
        <w:tblLayout w:type="fixed"/>
        <w:tblLook w:val="04A0" w:firstRow="1" w:lastRow="0" w:firstColumn="1" w:lastColumn="0" w:noHBand="0" w:noVBand="1"/>
      </w:tblPr>
      <w:tblGrid>
        <w:gridCol w:w="3522"/>
        <w:gridCol w:w="1740"/>
        <w:gridCol w:w="2535"/>
      </w:tblGrid>
      <w:tr w:rsidR="00D4124E" w14:paraId="7770B660" w14:textId="77777777" w:rsidTr="0005547B">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100" w:firstRow="0" w:lastRow="0" w:firstColumn="1" w:lastColumn="0" w:oddVBand="0" w:evenVBand="0" w:oddHBand="0" w:evenHBand="0" w:firstRowFirstColumn="1" w:firstRowLastColumn="0" w:lastRowFirstColumn="0" w:lastRowLastColumn="0"/>
            <w:tcW w:w="3522" w:type="dxa"/>
            <w:tcBorders>
              <w:top w:val="nil"/>
              <w:left w:val="nil"/>
              <w:bottom w:val="single" w:sz="4" w:space="0" w:color="auto"/>
            </w:tcBorders>
            <w:shd w:val="clear" w:color="auto" w:fill="auto"/>
            <w:vAlign w:val="bottom"/>
          </w:tcPr>
          <w:p w14:paraId="7FFC75AB" w14:textId="77777777" w:rsidR="00D4124E" w:rsidRDefault="00000000">
            <w:pPr>
              <w:spacing w:after="0" w:line="276" w:lineRule="auto"/>
              <w:rPr>
                <w:rFonts w:ascii="Cambria" w:eastAsia="Cambria" w:hAnsi="Cambria" w:cs="Cambria"/>
                <w:color w:val="000000"/>
                <w:sz w:val="24"/>
                <w:szCs w:val="24"/>
              </w:rPr>
            </w:pPr>
            <w:r>
              <w:rPr>
                <w:rFonts w:ascii="Cambria" w:eastAsia="Cambria" w:hAnsi="Cambria" w:cs="Cambria"/>
                <w:color w:val="000000"/>
                <w:sz w:val="24"/>
                <w:szCs w:val="24"/>
              </w:rPr>
              <w:t>Predictor</w:t>
            </w:r>
          </w:p>
        </w:tc>
        <w:tc>
          <w:tcPr>
            <w:tcW w:w="1740" w:type="dxa"/>
            <w:tcBorders>
              <w:top w:val="nil"/>
              <w:left w:val="nil"/>
              <w:bottom w:val="single" w:sz="4" w:space="0" w:color="auto"/>
              <w:right w:val="nil"/>
            </w:tcBorders>
            <w:shd w:val="clear" w:color="auto" w:fill="auto"/>
            <w:vAlign w:val="bottom"/>
          </w:tcPr>
          <w:p w14:paraId="133B18C9" w14:textId="77777777" w:rsidR="00D4124E" w:rsidRDefault="0000000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Certainty 1-4</w:t>
            </w:r>
          </w:p>
        </w:tc>
        <w:tc>
          <w:tcPr>
            <w:tcW w:w="2535" w:type="dxa"/>
            <w:tcBorders>
              <w:top w:val="nil"/>
              <w:left w:val="nil"/>
              <w:bottom w:val="single" w:sz="4" w:space="0" w:color="auto"/>
              <w:right w:val="nil"/>
            </w:tcBorders>
            <w:shd w:val="clear" w:color="auto" w:fill="auto"/>
            <w:vAlign w:val="bottom"/>
          </w:tcPr>
          <w:p w14:paraId="5D328DA4" w14:textId="77777777" w:rsidR="00D4124E" w:rsidRDefault="00000000">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Certainty 3-4</w:t>
            </w:r>
          </w:p>
        </w:tc>
      </w:tr>
      <w:tr w:rsidR="00D4124E" w14:paraId="733AD48A" w14:textId="77777777" w:rsidTr="0005547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522" w:type="dxa"/>
            <w:tcBorders>
              <w:top w:val="single" w:sz="4" w:space="0" w:color="auto"/>
              <w:left w:val="nil"/>
              <w:bottom w:val="nil"/>
            </w:tcBorders>
            <w:vAlign w:val="center"/>
          </w:tcPr>
          <w:p w14:paraId="3A116CFF"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w:t>
            </w:r>
          </w:p>
        </w:tc>
        <w:tc>
          <w:tcPr>
            <w:tcW w:w="1740" w:type="dxa"/>
            <w:tcBorders>
              <w:top w:val="single" w:sz="4" w:space="0" w:color="auto"/>
              <w:left w:val="nil"/>
              <w:bottom w:val="nil"/>
              <w:right w:val="nil"/>
            </w:tcBorders>
            <w:vAlign w:val="center"/>
          </w:tcPr>
          <w:p w14:paraId="498F50AC"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1.21</w:t>
            </w:r>
          </w:p>
        </w:tc>
        <w:tc>
          <w:tcPr>
            <w:tcW w:w="2535" w:type="dxa"/>
            <w:tcBorders>
              <w:top w:val="single" w:sz="4" w:space="0" w:color="auto"/>
              <w:left w:val="nil"/>
              <w:bottom w:val="nil"/>
              <w:right w:val="nil"/>
            </w:tcBorders>
            <w:vAlign w:val="center"/>
          </w:tcPr>
          <w:p w14:paraId="1A16AEC1"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1.23</w:t>
            </w:r>
          </w:p>
        </w:tc>
      </w:tr>
      <w:tr w:rsidR="00D4124E" w14:paraId="28E0A8D0" w14:textId="77777777" w:rsidTr="0005547B">
        <w:trPr>
          <w:trHeight w:val="283"/>
          <w:jc w:val="center"/>
        </w:trPr>
        <w:tc>
          <w:tcPr>
            <w:cnfStyle w:val="001000000000" w:firstRow="0" w:lastRow="0" w:firstColumn="1" w:lastColumn="0" w:oddVBand="0" w:evenVBand="0" w:oddHBand="0" w:evenHBand="0" w:firstRowFirstColumn="0" w:firstRowLastColumn="0" w:lastRowFirstColumn="0" w:lastRowLastColumn="0"/>
            <w:tcW w:w="3522" w:type="dxa"/>
            <w:tcBorders>
              <w:top w:val="nil"/>
              <w:left w:val="nil"/>
              <w:bottom w:val="nil"/>
            </w:tcBorders>
            <w:vAlign w:val="center"/>
          </w:tcPr>
          <w:p w14:paraId="32F89557"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Migration</w:t>
            </w:r>
          </w:p>
        </w:tc>
        <w:tc>
          <w:tcPr>
            <w:tcW w:w="1740" w:type="dxa"/>
            <w:tcBorders>
              <w:top w:val="nil"/>
              <w:left w:val="nil"/>
              <w:bottom w:val="nil"/>
              <w:right w:val="nil"/>
            </w:tcBorders>
            <w:vAlign w:val="center"/>
          </w:tcPr>
          <w:p w14:paraId="0585F0F8"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1.32</w:t>
            </w:r>
          </w:p>
        </w:tc>
        <w:tc>
          <w:tcPr>
            <w:tcW w:w="2535" w:type="dxa"/>
            <w:tcBorders>
              <w:top w:val="nil"/>
              <w:left w:val="nil"/>
              <w:bottom w:val="nil"/>
              <w:right w:val="nil"/>
            </w:tcBorders>
            <w:vAlign w:val="center"/>
          </w:tcPr>
          <w:p w14:paraId="7E79FCB5"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1.35</w:t>
            </w:r>
          </w:p>
        </w:tc>
      </w:tr>
      <w:tr w:rsidR="00D4124E" w14:paraId="42F93F6C" w14:textId="77777777" w:rsidTr="0005547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522" w:type="dxa"/>
            <w:tcBorders>
              <w:top w:val="nil"/>
              <w:left w:val="nil"/>
              <w:bottom w:val="nil"/>
            </w:tcBorders>
            <w:vAlign w:val="center"/>
          </w:tcPr>
          <w:p w14:paraId="4DB8ED2F"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Territoriality</w:t>
            </w:r>
          </w:p>
        </w:tc>
        <w:tc>
          <w:tcPr>
            <w:tcW w:w="1740" w:type="dxa"/>
            <w:tcBorders>
              <w:top w:val="nil"/>
              <w:left w:val="nil"/>
              <w:bottom w:val="nil"/>
              <w:right w:val="nil"/>
            </w:tcBorders>
            <w:vAlign w:val="center"/>
          </w:tcPr>
          <w:p w14:paraId="4A6FF1B3"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1.24</w:t>
            </w:r>
          </w:p>
        </w:tc>
        <w:tc>
          <w:tcPr>
            <w:tcW w:w="2535" w:type="dxa"/>
            <w:tcBorders>
              <w:top w:val="nil"/>
              <w:left w:val="nil"/>
              <w:bottom w:val="nil"/>
              <w:right w:val="nil"/>
            </w:tcBorders>
            <w:vAlign w:val="center"/>
          </w:tcPr>
          <w:p w14:paraId="439840C3"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1.24</w:t>
            </w:r>
          </w:p>
        </w:tc>
      </w:tr>
      <w:tr w:rsidR="00D4124E" w14:paraId="736C9AEB" w14:textId="77777777" w:rsidTr="0005547B">
        <w:trPr>
          <w:trHeight w:val="283"/>
          <w:jc w:val="center"/>
        </w:trPr>
        <w:tc>
          <w:tcPr>
            <w:cnfStyle w:val="001000000000" w:firstRow="0" w:lastRow="0" w:firstColumn="1" w:lastColumn="0" w:oddVBand="0" w:evenVBand="0" w:oddHBand="0" w:evenHBand="0" w:firstRowFirstColumn="0" w:firstRowLastColumn="0" w:lastRowFirstColumn="0" w:lastRowLastColumn="0"/>
            <w:tcW w:w="3522" w:type="dxa"/>
            <w:tcBorders>
              <w:top w:val="nil"/>
              <w:left w:val="nil"/>
              <w:bottom w:val="nil"/>
            </w:tcBorders>
            <w:vAlign w:val="center"/>
          </w:tcPr>
          <w:p w14:paraId="6F02F01E"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Seasonality</w:t>
            </w:r>
          </w:p>
        </w:tc>
        <w:tc>
          <w:tcPr>
            <w:tcW w:w="1740" w:type="dxa"/>
            <w:tcBorders>
              <w:top w:val="nil"/>
              <w:left w:val="nil"/>
              <w:bottom w:val="nil"/>
              <w:right w:val="nil"/>
            </w:tcBorders>
            <w:vAlign w:val="center"/>
          </w:tcPr>
          <w:p w14:paraId="5EC29F97"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1.27</w:t>
            </w:r>
          </w:p>
        </w:tc>
        <w:tc>
          <w:tcPr>
            <w:tcW w:w="2535" w:type="dxa"/>
            <w:tcBorders>
              <w:top w:val="nil"/>
              <w:left w:val="nil"/>
              <w:bottom w:val="nil"/>
              <w:right w:val="nil"/>
            </w:tcBorders>
            <w:vAlign w:val="center"/>
          </w:tcPr>
          <w:p w14:paraId="6B7144E3"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1.30</w:t>
            </w:r>
          </w:p>
        </w:tc>
      </w:tr>
      <w:tr w:rsidR="00D4124E" w14:paraId="3AB4EC1C" w14:textId="77777777" w:rsidTr="0005547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522" w:type="dxa"/>
            <w:tcBorders>
              <w:top w:val="nil"/>
              <w:left w:val="nil"/>
              <w:bottom w:val="nil"/>
            </w:tcBorders>
            <w:shd w:val="clear" w:color="auto" w:fill="auto"/>
            <w:vAlign w:val="center"/>
          </w:tcPr>
          <w:p w14:paraId="28801D49"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 × territoriality</w:t>
            </w:r>
          </w:p>
        </w:tc>
        <w:tc>
          <w:tcPr>
            <w:tcW w:w="1740" w:type="dxa"/>
            <w:tcBorders>
              <w:top w:val="nil"/>
              <w:left w:val="nil"/>
              <w:bottom w:val="nil"/>
              <w:right w:val="nil"/>
            </w:tcBorders>
            <w:vAlign w:val="center"/>
          </w:tcPr>
          <w:p w14:paraId="55F0535C"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1.20</w:t>
            </w:r>
          </w:p>
        </w:tc>
        <w:tc>
          <w:tcPr>
            <w:tcW w:w="2535" w:type="dxa"/>
            <w:tcBorders>
              <w:top w:val="nil"/>
              <w:left w:val="nil"/>
              <w:bottom w:val="nil"/>
              <w:right w:val="nil"/>
            </w:tcBorders>
            <w:vAlign w:val="center"/>
          </w:tcPr>
          <w:p w14:paraId="7FBAC217" w14:textId="77777777" w:rsidR="00D4124E" w:rsidRDefault="00000000">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1.17</w:t>
            </w:r>
          </w:p>
        </w:tc>
      </w:tr>
      <w:tr w:rsidR="00D4124E" w14:paraId="761E3C6E" w14:textId="77777777" w:rsidTr="0005547B">
        <w:trPr>
          <w:trHeight w:val="283"/>
          <w:jc w:val="center"/>
        </w:trPr>
        <w:tc>
          <w:tcPr>
            <w:cnfStyle w:val="001000000000" w:firstRow="0" w:lastRow="0" w:firstColumn="1" w:lastColumn="0" w:oddVBand="0" w:evenVBand="0" w:oddHBand="0" w:evenHBand="0" w:firstRowFirstColumn="0" w:firstRowLastColumn="0" w:lastRowFirstColumn="0" w:lastRowLastColumn="0"/>
            <w:tcW w:w="3522" w:type="dxa"/>
            <w:tcBorders>
              <w:top w:val="nil"/>
              <w:left w:val="nil"/>
              <w:bottom w:val="single" w:sz="4" w:space="0" w:color="auto"/>
            </w:tcBorders>
            <w:shd w:val="clear" w:color="auto" w:fill="auto"/>
            <w:vAlign w:val="center"/>
          </w:tcPr>
          <w:p w14:paraId="49D2BC79" w14:textId="77777777" w:rsidR="00D4124E" w:rsidRDefault="00000000">
            <w:pPr>
              <w:spacing w:after="0" w:line="276" w:lineRule="auto"/>
              <w:rPr>
                <w:rFonts w:ascii="Cambria" w:eastAsia="Cambria" w:hAnsi="Cambria" w:cs="Cambria"/>
                <w:sz w:val="24"/>
                <w:szCs w:val="24"/>
              </w:rPr>
            </w:pPr>
            <w:r>
              <w:rPr>
                <w:rFonts w:ascii="Cambria" w:eastAsia="Cambria" w:hAnsi="Cambria" w:cs="Cambria"/>
                <w:sz w:val="24"/>
                <w:szCs w:val="24"/>
              </w:rPr>
              <w:t>1</w:t>
            </w:r>
            <w:r>
              <w:rPr>
                <w:rFonts w:ascii="Cambria" w:eastAsia="Cambria" w:hAnsi="Cambria" w:cs="Cambria"/>
                <w:sz w:val="24"/>
                <w:szCs w:val="24"/>
                <w:vertAlign w:val="superscript"/>
              </w:rPr>
              <w:t>ry</w:t>
            </w:r>
            <w:r>
              <w:rPr>
                <w:rFonts w:ascii="Cambria" w:eastAsia="Cambria" w:hAnsi="Cambria" w:cs="Cambria"/>
                <w:sz w:val="24"/>
                <w:szCs w:val="24"/>
              </w:rPr>
              <w:t xml:space="preserve"> consumer × seasonality</w:t>
            </w:r>
          </w:p>
        </w:tc>
        <w:tc>
          <w:tcPr>
            <w:tcW w:w="1740" w:type="dxa"/>
            <w:tcBorders>
              <w:top w:val="nil"/>
              <w:left w:val="nil"/>
              <w:bottom w:val="single" w:sz="4" w:space="0" w:color="auto"/>
              <w:right w:val="nil"/>
            </w:tcBorders>
            <w:vAlign w:val="center"/>
          </w:tcPr>
          <w:p w14:paraId="349540AE"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1.05</w:t>
            </w:r>
          </w:p>
        </w:tc>
        <w:tc>
          <w:tcPr>
            <w:tcW w:w="2535" w:type="dxa"/>
            <w:tcBorders>
              <w:top w:val="nil"/>
              <w:left w:val="nil"/>
              <w:bottom w:val="single" w:sz="4" w:space="0" w:color="auto"/>
              <w:right w:val="nil"/>
            </w:tcBorders>
            <w:vAlign w:val="center"/>
          </w:tcPr>
          <w:p w14:paraId="5CDF1B11" w14:textId="77777777" w:rsidR="00D4124E" w:rsidRDefault="00000000">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4"/>
                <w:szCs w:val="24"/>
              </w:rPr>
            </w:pPr>
            <w:r>
              <w:rPr>
                <w:rFonts w:ascii="Cambria" w:eastAsia="Cambria" w:hAnsi="Cambria" w:cs="Cambria"/>
                <w:color w:val="000000"/>
                <w:sz w:val="24"/>
                <w:szCs w:val="24"/>
              </w:rPr>
              <w:t>1.06</w:t>
            </w:r>
          </w:p>
        </w:tc>
      </w:tr>
    </w:tbl>
    <w:p w14:paraId="01013F53" w14:textId="77777777" w:rsidR="00D4124E" w:rsidRDefault="00D4124E" w:rsidP="0005547B">
      <w:pPr>
        <w:suppressLineNumbers/>
        <w:spacing w:after="0" w:line="240" w:lineRule="auto"/>
        <w:rPr>
          <w:rFonts w:ascii="Cambria" w:eastAsia="Cambria" w:hAnsi="Cambria" w:cs="Cambria"/>
          <w:b/>
          <w:sz w:val="24"/>
          <w:szCs w:val="24"/>
        </w:rPr>
      </w:pPr>
    </w:p>
    <w:p w14:paraId="27E71444" w14:textId="77777777" w:rsidR="00D4124E" w:rsidRDefault="00D4124E" w:rsidP="0005547B">
      <w:pPr>
        <w:suppressLineNumbers/>
        <w:spacing w:after="0" w:line="240" w:lineRule="auto"/>
        <w:rPr>
          <w:rFonts w:ascii="Cambria" w:eastAsia="Cambria" w:hAnsi="Cambria" w:cs="Cambria"/>
          <w:b/>
          <w:sz w:val="24"/>
          <w:szCs w:val="24"/>
        </w:rPr>
      </w:pPr>
    </w:p>
    <w:p w14:paraId="6701489F" w14:textId="77777777" w:rsidR="00D4124E" w:rsidRDefault="00D4124E" w:rsidP="0005547B">
      <w:pPr>
        <w:suppressLineNumbers/>
        <w:spacing w:after="0" w:line="240" w:lineRule="auto"/>
        <w:rPr>
          <w:rFonts w:ascii="Cambria" w:eastAsia="Cambria" w:hAnsi="Cambria" w:cs="Cambria"/>
          <w:b/>
          <w:sz w:val="24"/>
          <w:szCs w:val="24"/>
        </w:rPr>
      </w:pPr>
    </w:p>
    <w:p w14:paraId="778890E4" w14:textId="77777777" w:rsidR="00802C35" w:rsidRDefault="00802C35" w:rsidP="0005547B">
      <w:pPr>
        <w:suppressLineNumbers/>
        <w:rPr>
          <w:rFonts w:ascii="Cambria" w:eastAsia="Cambria" w:hAnsi="Cambria" w:cs="Cambria"/>
          <w:b/>
          <w:sz w:val="24"/>
          <w:szCs w:val="24"/>
        </w:rPr>
      </w:pPr>
      <w:r>
        <w:rPr>
          <w:rFonts w:ascii="Cambria" w:eastAsia="Cambria" w:hAnsi="Cambria" w:cs="Cambria"/>
          <w:b/>
          <w:sz w:val="24"/>
          <w:szCs w:val="24"/>
        </w:rPr>
        <w:br w:type="page"/>
      </w:r>
    </w:p>
    <w:p w14:paraId="69957AAD" w14:textId="5D46932A" w:rsidR="00D4124E" w:rsidRDefault="00000000">
      <w:pPr>
        <w:spacing w:line="360" w:lineRule="auto"/>
        <w:rPr>
          <w:rFonts w:ascii="Cambria" w:eastAsia="Cambria" w:hAnsi="Cambria" w:cs="Cambria"/>
          <w:b/>
          <w:sz w:val="24"/>
          <w:szCs w:val="24"/>
        </w:rPr>
      </w:pPr>
      <w:r>
        <w:rPr>
          <w:rFonts w:ascii="Cambria" w:eastAsia="Cambria" w:hAnsi="Cambria" w:cs="Cambria"/>
          <w:b/>
          <w:sz w:val="24"/>
          <w:szCs w:val="24"/>
        </w:rPr>
        <w:lastRenderedPageBreak/>
        <w:t>Supplementary figures</w:t>
      </w:r>
      <w:r>
        <w:t xml:space="preserve"> </w:t>
      </w:r>
    </w:p>
    <w:p w14:paraId="2690378F" w14:textId="77777777" w:rsidR="00D4124E" w:rsidRDefault="00000000" w:rsidP="0005547B">
      <w:pPr>
        <w:suppressLineNumbers/>
        <w:spacing w:line="360" w:lineRule="auto"/>
        <w:jc w:val="center"/>
        <w:rPr>
          <w:rFonts w:ascii="Cambria" w:eastAsia="Cambria" w:hAnsi="Cambria" w:cs="Cambria"/>
          <w:b/>
          <w:sz w:val="24"/>
          <w:szCs w:val="24"/>
        </w:rPr>
      </w:pPr>
      <w:r>
        <w:rPr>
          <w:rFonts w:ascii="Cambria" w:eastAsia="Cambria" w:hAnsi="Cambria" w:cs="Cambria"/>
          <w:b/>
          <w:noProof/>
          <w:sz w:val="24"/>
          <w:szCs w:val="24"/>
        </w:rPr>
        <w:drawing>
          <wp:inline distT="114300" distB="114300" distL="114300" distR="114300" wp14:anchorId="599C9BE9" wp14:editId="681615F4">
            <wp:extent cx="5110163" cy="235135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110163" cy="2351354"/>
                    </a:xfrm>
                    <a:prstGeom prst="rect">
                      <a:avLst/>
                    </a:prstGeom>
                    <a:ln/>
                  </pic:spPr>
                </pic:pic>
              </a:graphicData>
            </a:graphic>
          </wp:inline>
        </w:drawing>
      </w:r>
    </w:p>
    <w:p w14:paraId="05B03455" w14:textId="77777777" w:rsidR="00D4124E" w:rsidRDefault="00D4124E" w:rsidP="0005547B">
      <w:pPr>
        <w:suppressLineNumbers/>
        <w:spacing w:line="360" w:lineRule="auto"/>
        <w:rPr>
          <w:rFonts w:ascii="Cambria" w:eastAsia="Cambria" w:hAnsi="Cambria" w:cs="Cambria"/>
          <w:b/>
          <w:sz w:val="24"/>
          <w:szCs w:val="24"/>
        </w:rPr>
      </w:pPr>
    </w:p>
    <w:p w14:paraId="53D44A03" w14:textId="77777777" w:rsidR="00D4124E" w:rsidRDefault="00000000">
      <w:pPr>
        <w:spacing w:line="360" w:lineRule="auto"/>
        <w:rPr>
          <w:rFonts w:ascii="Cambria" w:eastAsia="Cambria" w:hAnsi="Cambria" w:cs="Cambria"/>
          <w:sz w:val="24"/>
          <w:szCs w:val="24"/>
        </w:rPr>
      </w:pPr>
      <w:r>
        <w:rPr>
          <w:rFonts w:ascii="Cambria" w:eastAsia="Cambria" w:hAnsi="Cambria" w:cs="Cambria"/>
          <w:b/>
          <w:sz w:val="24"/>
          <w:szCs w:val="24"/>
        </w:rPr>
        <w:t xml:space="preserve">Figure S1 | Sexual selection strength across data certainty partitions. </w:t>
      </w:r>
      <w:r>
        <w:rPr>
          <w:rFonts w:ascii="Cambria" w:eastAsia="Cambria" w:hAnsi="Cambria" w:cs="Cambria"/>
          <w:sz w:val="24"/>
          <w:szCs w:val="24"/>
        </w:rPr>
        <w:t>Plots show how the certainty in data for each species affects (</w:t>
      </w:r>
      <w:r>
        <w:rPr>
          <w:rFonts w:ascii="Cambria" w:eastAsia="Cambria" w:hAnsi="Cambria" w:cs="Cambria"/>
          <w:b/>
          <w:sz w:val="24"/>
          <w:szCs w:val="24"/>
        </w:rPr>
        <w:t>a</w:t>
      </w:r>
      <w:r>
        <w:rPr>
          <w:rFonts w:ascii="Cambria" w:eastAsia="Cambria" w:hAnsi="Cambria" w:cs="Cambria"/>
          <w:sz w:val="24"/>
          <w:szCs w:val="24"/>
        </w:rPr>
        <w:t>) average sexual selection and (</w:t>
      </w:r>
      <w:r>
        <w:rPr>
          <w:rFonts w:ascii="Cambria" w:eastAsia="Cambria" w:hAnsi="Cambria" w:cs="Cambria"/>
          <w:b/>
          <w:sz w:val="24"/>
          <w:szCs w:val="24"/>
        </w:rPr>
        <w:t>b</w:t>
      </w:r>
      <w:r>
        <w:rPr>
          <w:rFonts w:ascii="Cambria" w:eastAsia="Cambria" w:hAnsi="Cambria" w:cs="Cambria"/>
          <w:sz w:val="24"/>
          <w:szCs w:val="24"/>
        </w:rPr>
        <w:t>) variation in sexual selection score. In (</w:t>
      </w:r>
      <w:r>
        <w:rPr>
          <w:rFonts w:ascii="Cambria" w:eastAsia="Cambria" w:hAnsi="Cambria" w:cs="Cambria"/>
          <w:b/>
          <w:sz w:val="24"/>
          <w:szCs w:val="24"/>
        </w:rPr>
        <w:t>a</w:t>
      </w:r>
      <w:r>
        <w:rPr>
          <w:rFonts w:ascii="Cambria" w:eastAsia="Cambria" w:hAnsi="Cambria" w:cs="Cambria"/>
          <w:sz w:val="24"/>
          <w:szCs w:val="24"/>
        </w:rPr>
        <w:t>) and (</w:t>
      </w:r>
      <w:r>
        <w:rPr>
          <w:rFonts w:ascii="Cambria" w:eastAsia="Cambria" w:hAnsi="Cambria" w:cs="Cambria"/>
          <w:b/>
          <w:sz w:val="24"/>
          <w:szCs w:val="24"/>
        </w:rPr>
        <w:t>b</w:t>
      </w:r>
      <w:r>
        <w:rPr>
          <w:rFonts w:ascii="Cambria" w:eastAsia="Cambria" w:hAnsi="Cambria" w:cs="Cambria"/>
          <w:sz w:val="24"/>
          <w:szCs w:val="24"/>
        </w:rPr>
        <w:t>), sexual selection is scored from 0 (strict monogamy) to 4 (extreme polygamy; see Extended Data Table 1) and data certainty is scored from 1 (no direct or indirect evidence) to 4 (direct evidence published in primary and secondary literature; see Extended Data Table 2). In (</w:t>
      </w:r>
      <w:r>
        <w:rPr>
          <w:rFonts w:ascii="Cambria" w:eastAsia="Cambria" w:hAnsi="Cambria" w:cs="Cambria"/>
          <w:b/>
          <w:sz w:val="24"/>
          <w:szCs w:val="24"/>
        </w:rPr>
        <w:t>a</w:t>
      </w:r>
      <w:r>
        <w:rPr>
          <w:rFonts w:ascii="Cambria" w:eastAsia="Cambria" w:hAnsi="Cambria" w:cs="Cambria"/>
          <w:sz w:val="24"/>
          <w:szCs w:val="24"/>
        </w:rPr>
        <w:t>), points show average sexual selection for each category of data certainty; whiskers denote one standard error; sample sizes are the total number of species in each data certainty partition. In (</w:t>
      </w:r>
      <w:r>
        <w:rPr>
          <w:rFonts w:ascii="Cambria" w:eastAsia="Cambria" w:hAnsi="Cambria" w:cs="Cambria"/>
          <w:b/>
          <w:sz w:val="24"/>
          <w:szCs w:val="24"/>
        </w:rPr>
        <w:t>b</w:t>
      </w:r>
      <w:r>
        <w:rPr>
          <w:rFonts w:ascii="Cambria" w:eastAsia="Cambria" w:hAnsi="Cambria" w:cs="Cambria"/>
          <w:sz w:val="24"/>
          <w:szCs w:val="24"/>
        </w:rPr>
        <w:t>), stacked bars show the relative proportion of sexual selection scores across each category of data certainty. Bars are coloured according to sexual selection score (SS) (blue = 0; red = 4).</w:t>
      </w:r>
    </w:p>
    <w:p w14:paraId="12284A95" w14:textId="77777777" w:rsidR="00D4124E" w:rsidRDefault="00D4124E" w:rsidP="0005547B">
      <w:pPr>
        <w:suppressLineNumbers/>
        <w:spacing w:after="0" w:line="240" w:lineRule="auto"/>
        <w:rPr>
          <w:rFonts w:ascii="Cambria" w:eastAsia="Cambria" w:hAnsi="Cambria" w:cs="Cambria"/>
          <w:b/>
          <w:sz w:val="24"/>
          <w:szCs w:val="24"/>
        </w:rPr>
      </w:pPr>
    </w:p>
    <w:p w14:paraId="2EC1E26A" w14:textId="77777777" w:rsidR="00D4124E" w:rsidRDefault="00D4124E" w:rsidP="0005547B">
      <w:pPr>
        <w:suppressLineNumbers/>
        <w:spacing w:after="0" w:line="360" w:lineRule="auto"/>
        <w:rPr>
          <w:rFonts w:ascii="Cambria" w:eastAsia="Cambria" w:hAnsi="Cambria" w:cs="Cambria"/>
          <w:b/>
          <w:sz w:val="24"/>
          <w:szCs w:val="24"/>
        </w:rPr>
      </w:pPr>
    </w:p>
    <w:p w14:paraId="5F17BD65" w14:textId="77777777" w:rsidR="00D4124E" w:rsidRDefault="00D4124E" w:rsidP="0005547B">
      <w:pPr>
        <w:suppressLineNumbers/>
        <w:spacing w:after="0" w:line="360" w:lineRule="auto"/>
        <w:rPr>
          <w:rFonts w:ascii="Cambria" w:eastAsia="Cambria" w:hAnsi="Cambria" w:cs="Cambria"/>
          <w:b/>
          <w:sz w:val="24"/>
          <w:szCs w:val="24"/>
        </w:rPr>
      </w:pPr>
    </w:p>
    <w:p w14:paraId="2CC9B112" w14:textId="77777777" w:rsidR="00D4124E" w:rsidRDefault="00D4124E" w:rsidP="0005547B">
      <w:pPr>
        <w:suppressLineNumbers/>
        <w:spacing w:after="0" w:line="360" w:lineRule="auto"/>
        <w:rPr>
          <w:rFonts w:ascii="Cambria" w:eastAsia="Cambria" w:hAnsi="Cambria" w:cs="Cambria"/>
          <w:b/>
          <w:sz w:val="24"/>
          <w:szCs w:val="24"/>
        </w:rPr>
      </w:pPr>
    </w:p>
    <w:p w14:paraId="509AD029" w14:textId="77777777" w:rsidR="00D4124E" w:rsidRDefault="00D4124E" w:rsidP="0005547B">
      <w:pPr>
        <w:suppressLineNumbers/>
        <w:spacing w:after="0" w:line="360" w:lineRule="auto"/>
        <w:rPr>
          <w:rFonts w:ascii="Cambria" w:eastAsia="Cambria" w:hAnsi="Cambria" w:cs="Cambria"/>
          <w:b/>
          <w:sz w:val="24"/>
          <w:szCs w:val="24"/>
        </w:rPr>
      </w:pPr>
    </w:p>
    <w:p w14:paraId="5E309FD1" w14:textId="77777777" w:rsidR="00D4124E" w:rsidRDefault="00D4124E" w:rsidP="0005547B">
      <w:pPr>
        <w:suppressLineNumbers/>
        <w:spacing w:after="0" w:line="360" w:lineRule="auto"/>
        <w:rPr>
          <w:rFonts w:ascii="Cambria" w:eastAsia="Cambria" w:hAnsi="Cambria" w:cs="Cambria"/>
          <w:b/>
          <w:sz w:val="24"/>
          <w:szCs w:val="24"/>
        </w:rPr>
      </w:pPr>
    </w:p>
    <w:p w14:paraId="0A6FF67C" w14:textId="77777777" w:rsidR="00D4124E" w:rsidRDefault="00D4124E" w:rsidP="0005547B">
      <w:pPr>
        <w:suppressLineNumbers/>
        <w:spacing w:after="0" w:line="360" w:lineRule="auto"/>
        <w:rPr>
          <w:rFonts w:ascii="Cambria" w:eastAsia="Cambria" w:hAnsi="Cambria" w:cs="Cambria"/>
          <w:b/>
          <w:sz w:val="24"/>
          <w:szCs w:val="24"/>
        </w:rPr>
      </w:pPr>
    </w:p>
    <w:p w14:paraId="044FB98F" w14:textId="77777777" w:rsidR="00D4124E" w:rsidRDefault="00D4124E" w:rsidP="0005547B">
      <w:pPr>
        <w:suppressLineNumbers/>
        <w:spacing w:after="0" w:line="240" w:lineRule="auto"/>
        <w:rPr>
          <w:rFonts w:ascii="Cambria" w:eastAsia="Cambria" w:hAnsi="Cambria" w:cs="Cambria"/>
          <w:b/>
          <w:sz w:val="24"/>
          <w:szCs w:val="24"/>
        </w:rPr>
      </w:pPr>
    </w:p>
    <w:p w14:paraId="018E5382" w14:textId="77777777" w:rsidR="00D4124E" w:rsidRDefault="00000000" w:rsidP="0005547B">
      <w:pPr>
        <w:suppressLineNumbers/>
        <w:spacing w:after="0" w:line="240" w:lineRule="auto"/>
        <w:jc w:val="center"/>
      </w:pPr>
      <w:r>
        <w:rPr>
          <w:noProof/>
        </w:rPr>
        <w:lastRenderedPageBreak/>
        <w:drawing>
          <wp:inline distT="0" distB="0" distL="0" distR="0" wp14:anchorId="32552974" wp14:editId="08240BA1">
            <wp:extent cx="5048252" cy="2504441"/>
            <wp:effectExtent l="0" t="0" r="0" b="0"/>
            <wp:docPr id="2" name="image2.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map of the world&#10;&#10;Description automatically generated"/>
                    <pic:cNvPicPr preferRelativeResize="0"/>
                  </pic:nvPicPr>
                  <pic:blipFill>
                    <a:blip r:embed="rId5"/>
                    <a:srcRect b="779"/>
                    <a:stretch>
                      <a:fillRect/>
                    </a:stretch>
                  </pic:blipFill>
                  <pic:spPr>
                    <a:xfrm>
                      <a:off x="0" y="0"/>
                      <a:ext cx="5048252" cy="2504441"/>
                    </a:xfrm>
                    <a:prstGeom prst="rect">
                      <a:avLst/>
                    </a:prstGeom>
                    <a:ln/>
                  </pic:spPr>
                </pic:pic>
              </a:graphicData>
            </a:graphic>
          </wp:inline>
        </w:drawing>
      </w:r>
    </w:p>
    <w:p w14:paraId="4C264A50" w14:textId="77777777" w:rsidR="00D4124E" w:rsidRDefault="00D4124E" w:rsidP="0005547B">
      <w:pPr>
        <w:suppressLineNumbers/>
        <w:spacing w:after="0" w:line="240" w:lineRule="auto"/>
        <w:jc w:val="center"/>
      </w:pPr>
    </w:p>
    <w:p w14:paraId="73FDBFB8" w14:textId="77777777" w:rsidR="00D4124E" w:rsidRDefault="00D4124E" w:rsidP="0005547B">
      <w:pPr>
        <w:suppressLineNumbers/>
        <w:spacing w:after="0" w:line="240" w:lineRule="auto"/>
        <w:rPr>
          <w:rFonts w:ascii="Cambria" w:eastAsia="Cambria" w:hAnsi="Cambria" w:cs="Cambria"/>
          <w:b/>
          <w:sz w:val="24"/>
          <w:szCs w:val="24"/>
        </w:rPr>
      </w:pPr>
    </w:p>
    <w:p w14:paraId="68B0E748" w14:textId="77777777" w:rsidR="00D4124E" w:rsidRDefault="00000000">
      <w:pPr>
        <w:spacing w:line="360" w:lineRule="auto"/>
        <w:rPr>
          <w:rFonts w:ascii="Cambria" w:eastAsia="Cambria" w:hAnsi="Cambria" w:cs="Cambria"/>
        </w:rPr>
      </w:pPr>
      <w:r>
        <w:rPr>
          <w:rFonts w:ascii="Cambria" w:eastAsia="Cambria" w:hAnsi="Cambria" w:cs="Cambria"/>
          <w:b/>
          <w:sz w:val="24"/>
          <w:szCs w:val="24"/>
        </w:rPr>
        <w:t>Figure S2 | The geographical distribution of species with high-certainty data.</w:t>
      </w:r>
      <w:r>
        <w:rPr>
          <w:rFonts w:ascii="Cambria" w:eastAsia="Cambria" w:hAnsi="Cambria" w:cs="Cambria"/>
          <w:b/>
        </w:rPr>
        <w:t xml:space="preserve"> </w:t>
      </w:r>
      <w:r>
        <w:rPr>
          <w:rFonts w:ascii="Cambria" w:eastAsia="Cambria" w:hAnsi="Cambria" w:cs="Cambria"/>
          <w:sz w:val="24"/>
          <w:szCs w:val="24"/>
        </w:rPr>
        <w:t xml:space="preserve">Worldwide species richness for 2851 bird species with high data certainty (score = 4) included in a global phylogeny (www.birdtree.org; Jetz </w:t>
      </w:r>
      <w:r>
        <w:rPr>
          <w:rFonts w:ascii="Cambria" w:eastAsia="Cambria" w:hAnsi="Cambria" w:cs="Cambria"/>
          <w:i/>
          <w:sz w:val="24"/>
          <w:szCs w:val="24"/>
        </w:rPr>
        <w:t>et al.</w:t>
      </w:r>
      <w:r>
        <w:rPr>
          <w:rFonts w:ascii="Cambria" w:eastAsia="Cambria" w:hAnsi="Cambria" w:cs="Cambria"/>
          <w:sz w:val="24"/>
          <w:szCs w:val="24"/>
        </w:rPr>
        <w:t xml:space="preserve"> 2012). Species were scored as 4 based on direct evidence published in primary and secondary literature (see Extended Data Table 2).</w:t>
      </w:r>
      <w:r>
        <w:rPr>
          <w:rFonts w:ascii="Cambria" w:eastAsia="Cambria" w:hAnsi="Cambria" w:cs="Cambria"/>
        </w:rPr>
        <w:t xml:space="preserve"> </w:t>
      </w:r>
      <w:r>
        <w:rPr>
          <w:rFonts w:ascii="Cambria" w:eastAsia="Cambria" w:hAnsi="Cambria" w:cs="Cambria"/>
          <w:sz w:val="24"/>
          <w:szCs w:val="24"/>
        </w:rPr>
        <w:t>Cell values represent the total number of high-certainty species, calculated by counting the number of geographical range maps overlapping more than 50% of each 5-km grid cell. Cell values were grouped into equal-sized bins to reduce the skew in the colour scale caused by outlier cells with high species richness. Cells with &lt;10 species were excluded.</w:t>
      </w:r>
    </w:p>
    <w:p w14:paraId="2752816C" w14:textId="77777777" w:rsidR="00802C35" w:rsidRDefault="00802C35" w:rsidP="0005547B">
      <w:pPr>
        <w:suppressLineNumbers/>
        <w:rPr>
          <w:rFonts w:ascii="Cambria" w:eastAsia="Cambria" w:hAnsi="Cambria" w:cs="Cambria"/>
          <w:b/>
          <w:sz w:val="24"/>
          <w:szCs w:val="24"/>
        </w:rPr>
      </w:pPr>
      <w:r>
        <w:rPr>
          <w:rFonts w:ascii="Cambria" w:eastAsia="Cambria" w:hAnsi="Cambria" w:cs="Cambria"/>
          <w:b/>
          <w:sz w:val="24"/>
          <w:szCs w:val="24"/>
        </w:rPr>
        <w:br w:type="page"/>
      </w:r>
    </w:p>
    <w:p w14:paraId="001FBC49" w14:textId="56376CB7" w:rsidR="00D4124E" w:rsidRDefault="00000000">
      <w:pPr>
        <w:spacing w:after="0" w:line="360" w:lineRule="auto"/>
        <w:rPr>
          <w:rFonts w:ascii="Cambria" w:eastAsia="Cambria" w:hAnsi="Cambria" w:cs="Cambria"/>
          <w:b/>
          <w:sz w:val="24"/>
          <w:szCs w:val="24"/>
        </w:rPr>
      </w:pPr>
      <w:r>
        <w:rPr>
          <w:rFonts w:ascii="Cambria" w:eastAsia="Cambria" w:hAnsi="Cambria" w:cs="Cambria"/>
          <w:b/>
          <w:sz w:val="24"/>
          <w:szCs w:val="24"/>
        </w:rPr>
        <w:lastRenderedPageBreak/>
        <w:t>Supplementary references</w:t>
      </w:r>
    </w:p>
    <w:p w14:paraId="5C86DB17" w14:textId="77777777" w:rsidR="00D4124E" w:rsidRDefault="00D4124E" w:rsidP="0005547B">
      <w:pPr>
        <w:widowControl w:val="0"/>
        <w:suppressLineNumbers/>
        <w:spacing w:after="0" w:line="360" w:lineRule="auto"/>
        <w:ind w:hanging="480"/>
        <w:jc w:val="center"/>
      </w:pPr>
    </w:p>
    <w:p w14:paraId="3C8FDF64" w14:textId="77777777" w:rsidR="00D4124E" w:rsidRDefault="00000000">
      <w:pPr>
        <w:widowControl w:val="0"/>
        <w:spacing w:after="0" w:line="360" w:lineRule="auto"/>
        <w:ind w:left="566" w:hanging="566"/>
        <w:rPr>
          <w:rFonts w:ascii="Cambria" w:eastAsia="Cambria" w:hAnsi="Cambria" w:cs="Cambria"/>
          <w:sz w:val="24"/>
          <w:szCs w:val="24"/>
          <w:highlight w:val="white"/>
        </w:rPr>
      </w:pPr>
      <w:r>
        <w:rPr>
          <w:rFonts w:ascii="Cambria" w:eastAsia="Cambria" w:hAnsi="Cambria" w:cs="Cambria"/>
          <w:sz w:val="24"/>
          <w:szCs w:val="24"/>
          <w:highlight w:val="white"/>
        </w:rPr>
        <w:t xml:space="preserve">Baker, J., Humphries, S., Ferguson-Gow, H., Meade, A. &amp; Venditti, C. Rapid decreases in relative testes mass among monogamous birds but not in other vertebrates. </w:t>
      </w:r>
      <w:r>
        <w:rPr>
          <w:rFonts w:ascii="Cambria" w:eastAsia="Cambria" w:hAnsi="Cambria" w:cs="Cambria"/>
          <w:i/>
          <w:sz w:val="24"/>
          <w:szCs w:val="24"/>
          <w:highlight w:val="white"/>
        </w:rPr>
        <w:t>Ecol. Lett.</w:t>
      </w:r>
      <w:r>
        <w:rPr>
          <w:rFonts w:ascii="Cambria" w:eastAsia="Cambria" w:hAnsi="Cambria" w:cs="Cambria"/>
          <w:sz w:val="24"/>
          <w:szCs w:val="24"/>
          <w:highlight w:val="white"/>
        </w:rPr>
        <w:t xml:space="preserve">, </w:t>
      </w:r>
      <w:r>
        <w:rPr>
          <w:rFonts w:ascii="Cambria" w:eastAsia="Cambria" w:hAnsi="Cambria" w:cs="Cambria"/>
          <w:b/>
          <w:sz w:val="24"/>
          <w:szCs w:val="24"/>
          <w:highlight w:val="white"/>
        </w:rPr>
        <w:t>23</w:t>
      </w:r>
      <w:r>
        <w:rPr>
          <w:rFonts w:ascii="Cambria" w:eastAsia="Cambria" w:hAnsi="Cambria" w:cs="Cambria"/>
          <w:sz w:val="24"/>
          <w:szCs w:val="24"/>
          <w:highlight w:val="white"/>
        </w:rPr>
        <w:t>, 283–292 (2020).</w:t>
      </w:r>
    </w:p>
    <w:p w14:paraId="7679E5FA" w14:textId="77777777" w:rsidR="00D4124E" w:rsidRDefault="00000000" w:rsidP="003C1410">
      <w:pPr>
        <w:widowControl w:val="0"/>
        <w:spacing w:after="0" w:line="360" w:lineRule="auto"/>
        <w:ind w:left="720" w:hanging="720"/>
        <w:rPr>
          <w:rFonts w:ascii="Cambria" w:eastAsia="Cambria" w:hAnsi="Cambria" w:cs="Cambria"/>
          <w:sz w:val="24"/>
          <w:szCs w:val="24"/>
          <w:highlight w:val="white"/>
        </w:rPr>
      </w:pPr>
      <w:r>
        <w:rPr>
          <w:rFonts w:ascii="Cambria" w:eastAsia="Cambria" w:hAnsi="Cambria" w:cs="Cambria"/>
          <w:sz w:val="24"/>
          <w:szCs w:val="24"/>
        </w:rPr>
        <w:t>BirdLife International. Data Zone. Accessed at http://datazone.birdlife.org/home (2021).</w:t>
      </w:r>
    </w:p>
    <w:p w14:paraId="3D78A22E"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proofErr w:type="spellStart"/>
      <w:r>
        <w:rPr>
          <w:rFonts w:ascii="Cambria" w:eastAsia="Cambria" w:hAnsi="Cambria" w:cs="Cambria"/>
          <w:color w:val="000000"/>
          <w:sz w:val="24"/>
          <w:szCs w:val="24"/>
        </w:rPr>
        <w:t>Bürkner</w:t>
      </w:r>
      <w:proofErr w:type="spellEnd"/>
      <w:r>
        <w:rPr>
          <w:rFonts w:ascii="Cambria" w:eastAsia="Cambria" w:hAnsi="Cambria" w:cs="Cambria"/>
          <w:color w:val="000000"/>
          <w:sz w:val="24"/>
          <w:szCs w:val="24"/>
        </w:rPr>
        <w:t xml:space="preserve">, P.C. brms: An R </w:t>
      </w:r>
      <w:r>
        <w:rPr>
          <w:rFonts w:ascii="Cambria" w:eastAsia="Cambria" w:hAnsi="Cambria" w:cs="Cambria"/>
          <w:sz w:val="24"/>
          <w:szCs w:val="24"/>
        </w:rPr>
        <w:t>p</w:t>
      </w:r>
      <w:r>
        <w:rPr>
          <w:rFonts w:ascii="Cambria" w:eastAsia="Cambria" w:hAnsi="Cambria" w:cs="Cambria"/>
          <w:color w:val="000000"/>
          <w:sz w:val="24"/>
          <w:szCs w:val="24"/>
        </w:rPr>
        <w:t xml:space="preserve">ackage for Bayesian </w:t>
      </w:r>
      <w:r>
        <w:rPr>
          <w:rFonts w:ascii="Cambria" w:eastAsia="Cambria" w:hAnsi="Cambria" w:cs="Cambria"/>
          <w:sz w:val="24"/>
          <w:szCs w:val="24"/>
        </w:rPr>
        <w:t>m</w:t>
      </w:r>
      <w:r>
        <w:rPr>
          <w:rFonts w:ascii="Cambria" w:eastAsia="Cambria" w:hAnsi="Cambria" w:cs="Cambria"/>
          <w:color w:val="000000"/>
          <w:sz w:val="24"/>
          <w:szCs w:val="24"/>
        </w:rPr>
        <w:t xml:space="preserve">ultilevel </w:t>
      </w:r>
      <w:r>
        <w:rPr>
          <w:rFonts w:ascii="Cambria" w:eastAsia="Cambria" w:hAnsi="Cambria" w:cs="Cambria"/>
          <w:sz w:val="24"/>
          <w:szCs w:val="24"/>
        </w:rPr>
        <w:t>m</w:t>
      </w:r>
      <w:r>
        <w:rPr>
          <w:rFonts w:ascii="Cambria" w:eastAsia="Cambria" w:hAnsi="Cambria" w:cs="Cambria"/>
          <w:color w:val="000000"/>
          <w:sz w:val="24"/>
          <w:szCs w:val="24"/>
        </w:rPr>
        <w:t xml:space="preserve">odels </w:t>
      </w:r>
      <w:r>
        <w:rPr>
          <w:rFonts w:ascii="Cambria" w:eastAsia="Cambria" w:hAnsi="Cambria" w:cs="Cambria"/>
          <w:sz w:val="24"/>
          <w:szCs w:val="24"/>
        </w:rPr>
        <w:t>using</w:t>
      </w:r>
      <w:r>
        <w:rPr>
          <w:rFonts w:ascii="Cambria" w:eastAsia="Cambria" w:hAnsi="Cambria" w:cs="Cambria"/>
          <w:color w:val="000000"/>
          <w:sz w:val="24"/>
          <w:szCs w:val="24"/>
        </w:rPr>
        <w:t xml:space="preserve"> </w:t>
      </w:r>
      <w:r>
        <w:rPr>
          <w:rFonts w:ascii="Cambria" w:eastAsia="Cambria" w:hAnsi="Cambria" w:cs="Cambria"/>
          <w:sz w:val="24"/>
          <w:szCs w:val="24"/>
        </w:rPr>
        <w:t>s</w:t>
      </w:r>
      <w:r>
        <w:rPr>
          <w:rFonts w:ascii="Cambria" w:eastAsia="Cambria" w:hAnsi="Cambria" w:cs="Cambria"/>
          <w:color w:val="000000"/>
          <w:sz w:val="24"/>
          <w:szCs w:val="24"/>
        </w:rPr>
        <w:t xml:space="preserve">tan. </w:t>
      </w:r>
      <w:r>
        <w:rPr>
          <w:rFonts w:ascii="Cambria" w:eastAsia="Cambria" w:hAnsi="Cambria" w:cs="Cambria"/>
          <w:i/>
          <w:color w:val="000000"/>
          <w:sz w:val="24"/>
          <w:szCs w:val="24"/>
        </w:rPr>
        <w:t xml:space="preserve">J. Stat. </w:t>
      </w:r>
      <w:proofErr w:type="spellStart"/>
      <w:r>
        <w:rPr>
          <w:rFonts w:ascii="Cambria" w:eastAsia="Cambria" w:hAnsi="Cambria" w:cs="Cambria"/>
          <w:i/>
          <w:color w:val="000000"/>
          <w:sz w:val="24"/>
          <w:szCs w:val="24"/>
        </w:rPr>
        <w:t>Softw</w:t>
      </w:r>
      <w:proofErr w:type="spellEnd"/>
      <w:r>
        <w:rPr>
          <w:rFonts w:ascii="Cambria" w:eastAsia="Cambria" w:hAnsi="Cambria" w:cs="Cambria"/>
          <w:i/>
          <w:color w:val="000000"/>
          <w:sz w:val="24"/>
          <w:szCs w:val="24"/>
        </w:rPr>
        <w:t>.</w:t>
      </w:r>
      <w:r>
        <w:rPr>
          <w:rFonts w:ascii="Cambria" w:eastAsia="Cambria" w:hAnsi="Cambria" w:cs="Cambria"/>
          <w:color w:val="000000"/>
          <w:sz w:val="24"/>
          <w:szCs w:val="24"/>
        </w:rPr>
        <w:t xml:space="preserve">, </w:t>
      </w:r>
      <w:r>
        <w:rPr>
          <w:rFonts w:ascii="Cambria" w:eastAsia="Cambria" w:hAnsi="Cambria" w:cs="Cambria"/>
          <w:b/>
          <w:color w:val="000000"/>
          <w:sz w:val="24"/>
          <w:szCs w:val="24"/>
        </w:rPr>
        <w:t>80</w:t>
      </w:r>
      <w:r>
        <w:rPr>
          <w:rFonts w:ascii="Cambria" w:eastAsia="Cambria" w:hAnsi="Cambria" w:cs="Cambria"/>
          <w:color w:val="000000"/>
          <w:sz w:val="24"/>
          <w:szCs w:val="24"/>
        </w:rPr>
        <w:t>, 1–28</w:t>
      </w:r>
      <w:r>
        <w:rPr>
          <w:rFonts w:ascii="Cambria" w:eastAsia="Cambria" w:hAnsi="Cambria" w:cs="Cambria"/>
          <w:sz w:val="24"/>
          <w:szCs w:val="24"/>
        </w:rPr>
        <w:t xml:space="preserve"> (2017).</w:t>
      </w:r>
    </w:p>
    <w:p w14:paraId="57F28A03"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sz w:val="24"/>
          <w:szCs w:val="24"/>
        </w:rPr>
      </w:pPr>
      <w:r>
        <w:rPr>
          <w:rFonts w:ascii="Cambria" w:eastAsia="Cambria" w:hAnsi="Cambria" w:cs="Cambria"/>
          <w:color w:val="000000"/>
          <w:sz w:val="24"/>
          <w:szCs w:val="24"/>
        </w:rPr>
        <w:t xml:space="preserve">Clements, J.F., Schulenberg, T.S., Iliff, M.J., Billerman, S.M., Fredericks, T.A., Gerbracht, J.A., </w:t>
      </w:r>
      <w:r>
        <w:rPr>
          <w:rFonts w:ascii="Cambria" w:eastAsia="Cambria" w:hAnsi="Cambria" w:cs="Cambria"/>
          <w:i/>
          <w:color w:val="000000"/>
          <w:sz w:val="24"/>
          <w:szCs w:val="24"/>
        </w:rPr>
        <w:t>et al.</w:t>
      </w:r>
      <w:r>
        <w:rPr>
          <w:rFonts w:ascii="Cambria" w:eastAsia="Cambria" w:hAnsi="Cambria" w:cs="Cambria"/>
          <w:color w:val="000000"/>
          <w:sz w:val="24"/>
          <w:szCs w:val="24"/>
        </w:rPr>
        <w:t xml:space="preserve"> The eBird/Clements checklist of birds of the world: v2021. </w:t>
      </w:r>
      <w:r>
        <w:rPr>
          <w:rFonts w:ascii="Cambria" w:eastAsia="Cambria" w:hAnsi="Cambria" w:cs="Cambria"/>
          <w:sz w:val="24"/>
          <w:szCs w:val="24"/>
        </w:rPr>
        <w:t>(2021).</w:t>
      </w:r>
    </w:p>
    <w:p w14:paraId="0EA583FD" w14:textId="77777777" w:rsidR="00D4124E" w:rsidRDefault="00000000" w:rsidP="00A55C35">
      <w:pPr>
        <w:spacing w:after="0" w:line="360" w:lineRule="auto"/>
        <w:ind w:left="720" w:hanging="720"/>
        <w:rPr>
          <w:rFonts w:ascii="Cambria" w:eastAsia="Cambria" w:hAnsi="Cambria" w:cs="Cambria"/>
          <w:sz w:val="24"/>
          <w:szCs w:val="24"/>
        </w:rPr>
      </w:pPr>
      <w:proofErr w:type="spellStart"/>
      <w:r>
        <w:rPr>
          <w:rFonts w:ascii="Cambria" w:eastAsia="Cambria" w:hAnsi="Cambria" w:cs="Cambria"/>
          <w:sz w:val="24"/>
          <w:szCs w:val="24"/>
        </w:rPr>
        <w:t>Fromonteil</w:t>
      </w:r>
      <w:proofErr w:type="spellEnd"/>
      <w:r>
        <w:rPr>
          <w:rFonts w:ascii="Cambria" w:eastAsia="Cambria" w:hAnsi="Cambria" w:cs="Cambria"/>
          <w:sz w:val="24"/>
          <w:szCs w:val="24"/>
        </w:rPr>
        <w:t>, S., Marie-</w:t>
      </w:r>
      <w:proofErr w:type="spellStart"/>
      <w:r>
        <w:rPr>
          <w:rFonts w:ascii="Cambria" w:eastAsia="Cambria" w:hAnsi="Cambria" w:cs="Cambria"/>
          <w:sz w:val="24"/>
          <w:szCs w:val="24"/>
        </w:rPr>
        <w:t>Orleach</w:t>
      </w:r>
      <w:proofErr w:type="spellEnd"/>
      <w:r>
        <w:rPr>
          <w:rFonts w:ascii="Cambria" w:eastAsia="Cambria" w:hAnsi="Cambria" w:cs="Cambria"/>
          <w:sz w:val="24"/>
          <w:szCs w:val="24"/>
        </w:rPr>
        <w:t xml:space="preserve">, L., Winkler, L. &amp; Janicke, T. Sexual selection in females and the evolution of polyandry. </w:t>
      </w:r>
      <w:r>
        <w:rPr>
          <w:rFonts w:ascii="Cambria" w:eastAsia="Cambria" w:hAnsi="Cambria" w:cs="Cambria"/>
          <w:i/>
          <w:sz w:val="24"/>
          <w:szCs w:val="24"/>
        </w:rPr>
        <w:t>PLOS Biol.</w:t>
      </w:r>
      <w:r>
        <w:rPr>
          <w:rFonts w:ascii="Cambria" w:eastAsia="Cambria" w:hAnsi="Cambria" w:cs="Cambria"/>
          <w:sz w:val="24"/>
          <w:szCs w:val="24"/>
        </w:rPr>
        <w:t xml:space="preserve">, </w:t>
      </w:r>
      <w:r>
        <w:rPr>
          <w:rFonts w:ascii="Cambria" w:eastAsia="Cambria" w:hAnsi="Cambria" w:cs="Cambria"/>
          <w:b/>
          <w:sz w:val="24"/>
          <w:szCs w:val="24"/>
        </w:rPr>
        <w:t>21</w:t>
      </w:r>
      <w:r>
        <w:rPr>
          <w:rFonts w:ascii="Cambria" w:eastAsia="Cambria" w:hAnsi="Cambria" w:cs="Cambria"/>
          <w:sz w:val="24"/>
          <w:szCs w:val="24"/>
        </w:rPr>
        <w:t>, e3001916 (2023).</w:t>
      </w:r>
    </w:p>
    <w:p w14:paraId="7EC52DCA"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r>
        <w:rPr>
          <w:rFonts w:ascii="Cambria" w:eastAsia="Cambria" w:hAnsi="Cambria" w:cs="Cambria"/>
          <w:color w:val="000000"/>
          <w:sz w:val="24"/>
          <w:szCs w:val="24"/>
        </w:rPr>
        <w:t xml:space="preserve">Gelman, A. Prior distributions for variance parameters in hierarchical models. </w:t>
      </w:r>
      <w:r>
        <w:rPr>
          <w:rFonts w:ascii="Cambria" w:eastAsia="Cambria" w:hAnsi="Cambria" w:cs="Cambria"/>
          <w:i/>
          <w:color w:val="000000"/>
          <w:sz w:val="24"/>
          <w:szCs w:val="24"/>
        </w:rPr>
        <w:t>Bayesian Anal.</w:t>
      </w:r>
      <w:r>
        <w:rPr>
          <w:rFonts w:ascii="Cambria" w:eastAsia="Cambria" w:hAnsi="Cambria" w:cs="Cambria"/>
          <w:color w:val="000000"/>
          <w:sz w:val="24"/>
          <w:szCs w:val="24"/>
        </w:rPr>
        <w:t xml:space="preserve">, </w:t>
      </w:r>
      <w:r>
        <w:rPr>
          <w:rFonts w:ascii="Cambria" w:eastAsia="Cambria" w:hAnsi="Cambria" w:cs="Cambria"/>
          <w:b/>
          <w:color w:val="000000"/>
          <w:sz w:val="24"/>
          <w:szCs w:val="24"/>
        </w:rPr>
        <w:t>1</w:t>
      </w:r>
      <w:r>
        <w:rPr>
          <w:rFonts w:ascii="Cambria" w:eastAsia="Cambria" w:hAnsi="Cambria" w:cs="Cambria"/>
          <w:color w:val="000000"/>
          <w:sz w:val="24"/>
          <w:szCs w:val="24"/>
        </w:rPr>
        <w:t>, 515–534</w:t>
      </w:r>
      <w:r>
        <w:rPr>
          <w:rFonts w:ascii="Cambria" w:eastAsia="Cambria" w:hAnsi="Cambria" w:cs="Cambria"/>
          <w:sz w:val="24"/>
          <w:szCs w:val="24"/>
        </w:rPr>
        <w:t xml:space="preserve"> (2006).</w:t>
      </w:r>
    </w:p>
    <w:p w14:paraId="6D7A9704"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sz w:val="24"/>
          <w:szCs w:val="24"/>
        </w:rPr>
      </w:pPr>
      <w:r>
        <w:rPr>
          <w:rFonts w:ascii="Cambria" w:eastAsia="Cambria" w:hAnsi="Cambria" w:cs="Cambria"/>
          <w:color w:val="000000"/>
          <w:sz w:val="24"/>
          <w:szCs w:val="24"/>
        </w:rPr>
        <w:t xml:space="preserve">Gelman, A. Scaling regression inputs by dividing by two standard deviations. </w:t>
      </w:r>
      <w:r>
        <w:rPr>
          <w:rFonts w:ascii="Cambria" w:eastAsia="Cambria" w:hAnsi="Cambria" w:cs="Cambria"/>
          <w:i/>
          <w:color w:val="000000"/>
          <w:sz w:val="24"/>
          <w:szCs w:val="24"/>
        </w:rPr>
        <w:t>Stat. Med.</w:t>
      </w:r>
      <w:r>
        <w:rPr>
          <w:rFonts w:ascii="Cambria" w:eastAsia="Cambria" w:hAnsi="Cambria" w:cs="Cambria"/>
          <w:color w:val="000000"/>
          <w:sz w:val="24"/>
          <w:szCs w:val="24"/>
        </w:rPr>
        <w:t xml:space="preserve">, </w:t>
      </w:r>
      <w:r>
        <w:rPr>
          <w:rFonts w:ascii="Cambria" w:eastAsia="Cambria" w:hAnsi="Cambria" w:cs="Cambria"/>
          <w:b/>
          <w:color w:val="000000"/>
          <w:sz w:val="24"/>
          <w:szCs w:val="24"/>
        </w:rPr>
        <w:t>27</w:t>
      </w:r>
      <w:r>
        <w:rPr>
          <w:rFonts w:ascii="Cambria" w:eastAsia="Cambria" w:hAnsi="Cambria" w:cs="Cambria"/>
          <w:color w:val="000000"/>
          <w:sz w:val="24"/>
          <w:szCs w:val="24"/>
        </w:rPr>
        <w:t>, 2865–2873</w:t>
      </w:r>
      <w:r>
        <w:rPr>
          <w:rFonts w:ascii="Cambria" w:eastAsia="Cambria" w:hAnsi="Cambria" w:cs="Cambria"/>
          <w:sz w:val="24"/>
          <w:szCs w:val="24"/>
        </w:rPr>
        <w:t xml:space="preserve"> (2008).</w:t>
      </w:r>
    </w:p>
    <w:p w14:paraId="13005F61"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sz w:val="24"/>
          <w:szCs w:val="24"/>
        </w:rPr>
      </w:pPr>
      <w:r>
        <w:rPr>
          <w:rFonts w:ascii="Cambria" w:eastAsia="Cambria" w:hAnsi="Cambria" w:cs="Cambria"/>
          <w:sz w:val="24"/>
          <w:szCs w:val="24"/>
        </w:rPr>
        <w:t xml:space="preserve">Janicke, T., </w:t>
      </w:r>
      <w:proofErr w:type="spellStart"/>
      <w:r>
        <w:rPr>
          <w:rFonts w:ascii="Cambria" w:eastAsia="Cambria" w:hAnsi="Cambria" w:cs="Cambria"/>
          <w:sz w:val="24"/>
          <w:szCs w:val="24"/>
        </w:rPr>
        <w:t>Häderer</w:t>
      </w:r>
      <w:proofErr w:type="spellEnd"/>
      <w:r>
        <w:rPr>
          <w:rFonts w:ascii="Cambria" w:eastAsia="Cambria" w:hAnsi="Cambria" w:cs="Cambria"/>
          <w:sz w:val="24"/>
          <w:szCs w:val="24"/>
        </w:rPr>
        <w:t xml:space="preserve">, I.K., Lajeunesse, M.J. &amp; Anthes, N. Darwinian sex roles confirmed across the animal kingdom. </w:t>
      </w:r>
      <w:r>
        <w:rPr>
          <w:rFonts w:ascii="Cambria" w:eastAsia="Cambria" w:hAnsi="Cambria" w:cs="Cambria"/>
          <w:i/>
          <w:sz w:val="24"/>
          <w:szCs w:val="24"/>
        </w:rPr>
        <w:t>Science Advances</w:t>
      </w:r>
      <w:r>
        <w:rPr>
          <w:rFonts w:ascii="Cambria" w:eastAsia="Cambria" w:hAnsi="Cambria" w:cs="Cambria"/>
          <w:sz w:val="24"/>
          <w:szCs w:val="24"/>
        </w:rPr>
        <w:t xml:space="preserve">, </w:t>
      </w:r>
      <w:r>
        <w:rPr>
          <w:rFonts w:ascii="Cambria" w:eastAsia="Cambria" w:hAnsi="Cambria" w:cs="Cambria"/>
          <w:b/>
          <w:sz w:val="24"/>
          <w:szCs w:val="24"/>
        </w:rPr>
        <w:t>2</w:t>
      </w:r>
      <w:r>
        <w:rPr>
          <w:rFonts w:ascii="Cambria" w:eastAsia="Cambria" w:hAnsi="Cambria" w:cs="Cambria"/>
          <w:sz w:val="24"/>
          <w:szCs w:val="24"/>
        </w:rPr>
        <w:t>, e1500983 (2016).</w:t>
      </w:r>
    </w:p>
    <w:p w14:paraId="1057C783" w14:textId="77777777" w:rsidR="00D4124E" w:rsidRDefault="00000000" w:rsidP="00A55C35">
      <w:pPr>
        <w:spacing w:after="0" w:line="360" w:lineRule="auto"/>
        <w:ind w:left="720" w:hanging="720"/>
        <w:rPr>
          <w:rFonts w:ascii="Roboto" w:eastAsia="Roboto" w:hAnsi="Roboto" w:cs="Roboto"/>
          <w:sz w:val="21"/>
          <w:szCs w:val="21"/>
        </w:rPr>
      </w:pPr>
      <w:r>
        <w:rPr>
          <w:rFonts w:ascii="Cambria" w:eastAsia="Cambria" w:hAnsi="Cambria" w:cs="Cambria"/>
          <w:sz w:val="24"/>
          <w:szCs w:val="24"/>
        </w:rPr>
        <w:t xml:space="preserve">Janicke, T. &amp; Morrow, E.H. Operational sex ratio predicts the opportunity and direction of sexual selection across animals. </w:t>
      </w:r>
      <w:r>
        <w:rPr>
          <w:rFonts w:ascii="Cambria" w:eastAsia="Cambria" w:hAnsi="Cambria" w:cs="Cambria"/>
          <w:i/>
          <w:sz w:val="24"/>
          <w:szCs w:val="24"/>
        </w:rPr>
        <w:t>Ecol. Lett.</w:t>
      </w:r>
      <w:r>
        <w:rPr>
          <w:rFonts w:ascii="Cambria" w:eastAsia="Cambria" w:hAnsi="Cambria" w:cs="Cambria"/>
          <w:sz w:val="24"/>
          <w:szCs w:val="24"/>
        </w:rPr>
        <w:t xml:space="preserve">, </w:t>
      </w:r>
      <w:r>
        <w:rPr>
          <w:rFonts w:ascii="Cambria" w:eastAsia="Cambria" w:hAnsi="Cambria" w:cs="Cambria"/>
          <w:b/>
          <w:sz w:val="24"/>
          <w:szCs w:val="24"/>
        </w:rPr>
        <w:t>21</w:t>
      </w:r>
      <w:r>
        <w:rPr>
          <w:rFonts w:ascii="Cambria" w:eastAsia="Cambria" w:hAnsi="Cambria" w:cs="Cambria"/>
          <w:sz w:val="24"/>
          <w:szCs w:val="24"/>
        </w:rPr>
        <w:t>, 384–391 (2018).</w:t>
      </w:r>
    </w:p>
    <w:p w14:paraId="128D93B5"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r>
        <w:rPr>
          <w:rFonts w:ascii="Cambria" w:eastAsia="Cambria" w:hAnsi="Cambria" w:cs="Cambria"/>
          <w:color w:val="000000"/>
          <w:sz w:val="24"/>
          <w:szCs w:val="24"/>
        </w:rPr>
        <w:t xml:space="preserve">Jetz, W., Thomas, G.H., Joy, J.B., Hartmann, K. &amp; Mooers, A.O. The global diversity of birds in space and time. </w:t>
      </w:r>
      <w:r>
        <w:rPr>
          <w:rFonts w:ascii="Cambria" w:eastAsia="Cambria" w:hAnsi="Cambria" w:cs="Cambria"/>
          <w:i/>
          <w:color w:val="000000"/>
          <w:sz w:val="24"/>
          <w:szCs w:val="24"/>
        </w:rPr>
        <w:t>Nature</w:t>
      </w:r>
      <w:r>
        <w:rPr>
          <w:rFonts w:ascii="Cambria" w:eastAsia="Cambria" w:hAnsi="Cambria" w:cs="Cambria"/>
          <w:color w:val="000000"/>
          <w:sz w:val="24"/>
          <w:szCs w:val="24"/>
        </w:rPr>
        <w:t xml:space="preserve">, </w:t>
      </w:r>
      <w:r>
        <w:rPr>
          <w:rFonts w:ascii="Cambria" w:eastAsia="Cambria" w:hAnsi="Cambria" w:cs="Cambria"/>
          <w:b/>
          <w:color w:val="000000"/>
          <w:sz w:val="24"/>
          <w:szCs w:val="24"/>
        </w:rPr>
        <w:t>491</w:t>
      </w:r>
      <w:r>
        <w:rPr>
          <w:rFonts w:ascii="Cambria" w:eastAsia="Cambria" w:hAnsi="Cambria" w:cs="Cambria"/>
          <w:color w:val="000000"/>
          <w:sz w:val="24"/>
          <w:szCs w:val="24"/>
        </w:rPr>
        <w:t>, 444–448</w:t>
      </w:r>
      <w:r>
        <w:rPr>
          <w:rFonts w:ascii="Cambria" w:eastAsia="Cambria" w:hAnsi="Cambria" w:cs="Cambria"/>
          <w:sz w:val="24"/>
          <w:szCs w:val="24"/>
        </w:rPr>
        <w:t xml:space="preserve"> (2012).</w:t>
      </w:r>
    </w:p>
    <w:p w14:paraId="5C68332F"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sz w:val="24"/>
          <w:szCs w:val="24"/>
        </w:rPr>
      </w:pPr>
      <w:r>
        <w:rPr>
          <w:rFonts w:ascii="Cambria" w:eastAsia="Cambria" w:hAnsi="Cambria" w:cs="Cambria"/>
          <w:sz w:val="24"/>
          <w:szCs w:val="24"/>
        </w:rPr>
        <w:t xml:space="preserve">Klug, H. Why monogamy? A review of potential ultimate drivers. </w:t>
      </w:r>
      <w:r>
        <w:rPr>
          <w:rFonts w:ascii="Cambria" w:eastAsia="Cambria" w:hAnsi="Cambria" w:cs="Cambria"/>
          <w:i/>
          <w:sz w:val="24"/>
          <w:szCs w:val="24"/>
        </w:rPr>
        <w:t xml:space="preserve">Front. Ecol. </w:t>
      </w:r>
      <w:proofErr w:type="spellStart"/>
      <w:r>
        <w:rPr>
          <w:rFonts w:ascii="Cambria" w:eastAsia="Cambria" w:hAnsi="Cambria" w:cs="Cambria"/>
          <w:i/>
          <w:sz w:val="24"/>
          <w:szCs w:val="24"/>
        </w:rPr>
        <w:t>Evol</w:t>
      </w:r>
      <w:proofErr w:type="spellEnd"/>
      <w:r>
        <w:rPr>
          <w:rFonts w:ascii="Cambria" w:eastAsia="Cambria" w:hAnsi="Cambria" w:cs="Cambria"/>
          <w:sz w:val="24"/>
          <w:szCs w:val="24"/>
        </w:rPr>
        <w:t xml:space="preserve">., </w:t>
      </w:r>
      <w:r>
        <w:rPr>
          <w:rFonts w:ascii="Cambria" w:eastAsia="Cambria" w:hAnsi="Cambria" w:cs="Cambria"/>
          <w:b/>
          <w:sz w:val="24"/>
          <w:szCs w:val="24"/>
        </w:rPr>
        <w:t>6</w:t>
      </w:r>
      <w:r>
        <w:rPr>
          <w:rFonts w:ascii="Cambria" w:eastAsia="Cambria" w:hAnsi="Cambria" w:cs="Cambria"/>
          <w:sz w:val="24"/>
          <w:szCs w:val="24"/>
        </w:rPr>
        <w:t>, 30 (2018).</w:t>
      </w:r>
    </w:p>
    <w:p w14:paraId="24808744" w14:textId="34FEA248" w:rsidR="00D4124E" w:rsidRDefault="00000000">
      <w:pPr>
        <w:pBdr>
          <w:top w:val="nil"/>
          <w:left w:val="nil"/>
          <w:bottom w:val="nil"/>
          <w:right w:val="nil"/>
          <w:between w:val="nil"/>
        </w:pBdr>
        <w:spacing w:after="0" w:line="360" w:lineRule="auto"/>
        <w:ind w:left="720" w:hanging="720"/>
        <w:rPr>
          <w:rFonts w:ascii="Cambria" w:eastAsia="Cambria" w:hAnsi="Cambria" w:cs="Cambria"/>
          <w:sz w:val="24"/>
          <w:szCs w:val="24"/>
        </w:rPr>
      </w:pPr>
      <w:proofErr w:type="spellStart"/>
      <w:r>
        <w:rPr>
          <w:rFonts w:ascii="Cambria" w:eastAsia="Cambria" w:hAnsi="Cambria" w:cs="Cambria"/>
          <w:sz w:val="24"/>
          <w:szCs w:val="24"/>
        </w:rPr>
        <w:t>Kvarnemo</w:t>
      </w:r>
      <w:proofErr w:type="spellEnd"/>
      <w:r>
        <w:rPr>
          <w:rFonts w:ascii="Cambria" w:eastAsia="Cambria" w:hAnsi="Cambria" w:cs="Cambria"/>
          <w:sz w:val="24"/>
          <w:szCs w:val="24"/>
        </w:rPr>
        <w:t xml:space="preserve">, C. Why do some animals mate with one partner rather than many? A review of causes and consequences of monogamy. </w:t>
      </w:r>
      <w:r>
        <w:rPr>
          <w:rFonts w:ascii="Cambria" w:eastAsia="Cambria" w:hAnsi="Cambria" w:cs="Cambria"/>
          <w:i/>
          <w:sz w:val="24"/>
          <w:szCs w:val="24"/>
        </w:rPr>
        <w:t>Biol. Rev</w:t>
      </w:r>
      <w:r>
        <w:rPr>
          <w:rFonts w:ascii="Cambria" w:eastAsia="Cambria" w:hAnsi="Cambria" w:cs="Cambria"/>
          <w:sz w:val="24"/>
          <w:szCs w:val="24"/>
        </w:rPr>
        <w:t xml:space="preserve">., </w:t>
      </w:r>
      <w:r>
        <w:rPr>
          <w:rFonts w:ascii="Cambria" w:eastAsia="Cambria" w:hAnsi="Cambria" w:cs="Cambria"/>
          <w:b/>
          <w:sz w:val="24"/>
          <w:szCs w:val="24"/>
        </w:rPr>
        <w:t>93</w:t>
      </w:r>
      <w:r>
        <w:rPr>
          <w:rFonts w:ascii="Cambria" w:eastAsia="Cambria" w:hAnsi="Cambria" w:cs="Cambria"/>
          <w:sz w:val="24"/>
          <w:szCs w:val="24"/>
        </w:rPr>
        <w:t>, 1795–1812 (2018)</w:t>
      </w:r>
      <w:r w:rsidR="00D43234">
        <w:rPr>
          <w:rFonts w:ascii="Cambria" w:eastAsia="Cambria" w:hAnsi="Cambria" w:cs="Cambria"/>
          <w:sz w:val="24"/>
          <w:szCs w:val="24"/>
        </w:rPr>
        <w:t>.</w:t>
      </w:r>
    </w:p>
    <w:p w14:paraId="71D1F279"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sz w:val="24"/>
          <w:szCs w:val="24"/>
        </w:rPr>
      </w:pPr>
      <w:proofErr w:type="spellStart"/>
      <w:r>
        <w:rPr>
          <w:rFonts w:ascii="Cambria" w:eastAsia="Cambria" w:hAnsi="Cambria" w:cs="Cambria"/>
          <w:sz w:val="24"/>
          <w:szCs w:val="24"/>
        </w:rPr>
        <w:t>Lüpold</w:t>
      </w:r>
      <w:proofErr w:type="spellEnd"/>
      <w:r>
        <w:rPr>
          <w:rFonts w:ascii="Cambria" w:eastAsia="Cambria" w:hAnsi="Cambria" w:cs="Cambria"/>
          <w:sz w:val="24"/>
          <w:szCs w:val="24"/>
        </w:rPr>
        <w:t xml:space="preserve">, S., de Boer, R.A., Evans, J.P., Tomkins, J.L. &amp; Fitzpatrick, J.L. How sperm competition shapes the evolution of testes and sperm: a meta-analysis. </w:t>
      </w:r>
      <w:r>
        <w:rPr>
          <w:rFonts w:ascii="Cambria" w:eastAsia="Cambria" w:hAnsi="Cambria" w:cs="Cambria"/>
          <w:i/>
          <w:sz w:val="24"/>
          <w:szCs w:val="24"/>
        </w:rPr>
        <w:t>Phil. Trans. R. Soc. B</w:t>
      </w:r>
      <w:r>
        <w:rPr>
          <w:rFonts w:ascii="Cambria" w:eastAsia="Cambria" w:hAnsi="Cambria" w:cs="Cambria"/>
          <w:sz w:val="24"/>
          <w:szCs w:val="24"/>
        </w:rPr>
        <w:t xml:space="preserve">, </w:t>
      </w:r>
      <w:r>
        <w:rPr>
          <w:rFonts w:ascii="Cambria" w:eastAsia="Cambria" w:hAnsi="Cambria" w:cs="Cambria"/>
          <w:b/>
          <w:sz w:val="24"/>
          <w:szCs w:val="24"/>
        </w:rPr>
        <w:t>375</w:t>
      </w:r>
      <w:r>
        <w:rPr>
          <w:rFonts w:ascii="Cambria" w:eastAsia="Cambria" w:hAnsi="Cambria" w:cs="Cambria"/>
          <w:sz w:val="24"/>
          <w:szCs w:val="24"/>
        </w:rPr>
        <w:t>, 20200064 (2020).</w:t>
      </w:r>
    </w:p>
    <w:p w14:paraId="0FB156A7" w14:textId="1407855A" w:rsidR="00D43234" w:rsidRDefault="00D43234" w:rsidP="00D43234">
      <w:pPr>
        <w:spacing w:line="360" w:lineRule="auto"/>
        <w:ind w:left="720" w:hanging="720"/>
        <w:rPr>
          <w:rFonts w:ascii="Cambria" w:eastAsia="Cambria" w:hAnsi="Cambria" w:cs="Cambria"/>
          <w:sz w:val="24"/>
          <w:szCs w:val="24"/>
        </w:rPr>
      </w:pPr>
      <w:r w:rsidRPr="00D43234">
        <w:rPr>
          <w:rFonts w:ascii="Cambria" w:eastAsia="Cambria" w:hAnsi="Cambria" w:cs="Cambria"/>
          <w:sz w:val="24"/>
          <w:szCs w:val="24"/>
        </w:rPr>
        <w:t xml:space="preserve">Makowski, D., Ben-Shachar, M.S., Chen, S.H.A. &amp; </w:t>
      </w:r>
      <w:proofErr w:type="spellStart"/>
      <w:r w:rsidRPr="00D43234">
        <w:rPr>
          <w:rFonts w:ascii="Cambria" w:eastAsia="Cambria" w:hAnsi="Cambria" w:cs="Cambria"/>
          <w:sz w:val="24"/>
          <w:szCs w:val="24"/>
        </w:rPr>
        <w:t>Lüdecke</w:t>
      </w:r>
      <w:proofErr w:type="spellEnd"/>
      <w:r w:rsidRPr="00D43234">
        <w:rPr>
          <w:rFonts w:ascii="Cambria" w:eastAsia="Cambria" w:hAnsi="Cambria" w:cs="Cambria"/>
          <w:sz w:val="24"/>
          <w:szCs w:val="24"/>
        </w:rPr>
        <w:t xml:space="preserve">, D. Indices of </w:t>
      </w:r>
      <w:r>
        <w:rPr>
          <w:rFonts w:ascii="Cambria" w:eastAsia="Cambria" w:hAnsi="Cambria" w:cs="Cambria"/>
          <w:sz w:val="24"/>
          <w:szCs w:val="24"/>
        </w:rPr>
        <w:t>e</w:t>
      </w:r>
      <w:r w:rsidRPr="00D43234">
        <w:rPr>
          <w:rFonts w:ascii="Cambria" w:eastAsia="Cambria" w:hAnsi="Cambria" w:cs="Cambria"/>
          <w:sz w:val="24"/>
          <w:szCs w:val="24"/>
        </w:rPr>
        <w:t xml:space="preserve">ffect </w:t>
      </w:r>
      <w:r>
        <w:rPr>
          <w:rFonts w:ascii="Cambria" w:eastAsia="Cambria" w:hAnsi="Cambria" w:cs="Cambria"/>
          <w:sz w:val="24"/>
          <w:szCs w:val="24"/>
        </w:rPr>
        <w:t>e</w:t>
      </w:r>
      <w:r w:rsidRPr="00D43234">
        <w:rPr>
          <w:rFonts w:ascii="Cambria" w:eastAsia="Cambria" w:hAnsi="Cambria" w:cs="Cambria"/>
          <w:sz w:val="24"/>
          <w:szCs w:val="24"/>
        </w:rPr>
        <w:t xml:space="preserve">xistence and </w:t>
      </w:r>
      <w:r>
        <w:rPr>
          <w:rFonts w:ascii="Cambria" w:eastAsia="Cambria" w:hAnsi="Cambria" w:cs="Cambria"/>
          <w:sz w:val="24"/>
          <w:szCs w:val="24"/>
        </w:rPr>
        <w:t>s</w:t>
      </w:r>
      <w:r w:rsidRPr="00D43234">
        <w:rPr>
          <w:rFonts w:ascii="Cambria" w:eastAsia="Cambria" w:hAnsi="Cambria" w:cs="Cambria"/>
          <w:sz w:val="24"/>
          <w:szCs w:val="24"/>
        </w:rPr>
        <w:t xml:space="preserve">ignificance in the Bayesian </w:t>
      </w:r>
      <w:r>
        <w:rPr>
          <w:rFonts w:ascii="Cambria" w:eastAsia="Cambria" w:hAnsi="Cambria" w:cs="Cambria"/>
          <w:sz w:val="24"/>
          <w:szCs w:val="24"/>
        </w:rPr>
        <w:t>f</w:t>
      </w:r>
      <w:r w:rsidRPr="00D43234">
        <w:rPr>
          <w:rFonts w:ascii="Cambria" w:eastAsia="Cambria" w:hAnsi="Cambria" w:cs="Cambria"/>
          <w:sz w:val="24"/>
          <w:szCs w:val="24"/>
        </w:rPr>
        <w:t xml:space="preserve">ramework. Front. Psychol., </w:t>
      </w:r>
      <w:r w:rsidRPr="00D43234">
        <w:rPr>
          <w:rFonts w:ascii="Cambria" w:eastAsia="Cambria" w:hAnsi="Cambria" w:cs="Cambria"/>
          <w:b/>
          <w:bCs/>
          <w:sz w:val="24"/>
          <w:szCs w:val="24"/>
        </w:rPr>
        <w:t>10</w:t>
      </w:r>
      <w:r>
        <w:rPr>
          <w:rFonts w:ascii="Cambria" w:eastAsia="Cambria" w:hAnsi="Cambria" w:cs="Cambria"/>
          <w:sz w:val="24"/>
          <w:szCs w:val="24"/>
        </w:rPr>
        <w:t xml:space="preserve">, </w:t>
      </w:r>
      <w:r w:rsidRPr="00D43234">
        <w:rPr>
          <w:rFonts w:ascii="Cambria" w:eastAsia="Cambria" w:hAnsi="Cambria" w:cs="Cambria"/>
          <w:sz w:val="24"/>
          <w:szCs w:val="24"/>
        </w:rPr>
        <w:t>2767</w:t>
      </w:r>
      <w:r>
        <w:rPr>
          <w:rFonts w:ascii="Cambria" w:eastAsia="Cambria" w:hAnsi="Cambria" w:cs="Cambria"/>
          <w:sz w:val="24"/>
          <w:szCs w:val="24"/>
        </w:rPr>
        <w:t xml:space="preserve"> </w:t>
      </w:r>
      <w:r w:rsidRPr="00D43234">
        <w:rPr>
          <w:rFonts w:ascii="Cambria" w:eastAsia="Cambria" w:hAnsi="Cambria" w:cs="Cambria"/>
          <w:sz w:val="24"/>
          <w:szCs w:val="24"/>
        </w:rPr>
        <w:t>(2019).</w:t>
      </w:r>
    </w:p>
    <w:p w14:paraId="1E5003B2"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r>
        <w:rPr>
          <w:rFonts w:ascii="Cambria" w:eastAsia="Cambria" w:hAnsi="Cambria" w:cs="Cambria"/>
          <w:color w:val="000000"/>
          <w:sz w:val="24"/>
          <w:szCs w:val="24"/>
        </w:rPr>
        <w:lastRenderedPageBreak/>
        <w:t xml:space="preserve">McKelvey, R.D. &amp; </w:t>
      </w:r>
      <w:proofErr w:type="spellStart"/>
      <w:r>
        <w:rPr>
          <w:rFonts w:ascii="Cambria" w:eastAsia="Cambria" w:hAnsi="Cambria" w:cs="Cambria"/>
          <w:color w:val="000000"/>
          <w:sz w:val="24"/>
          <w:szCs w:val="24"/>
        </w:rPr>
        <w:t>Zavoina</w:t>
      </w:r>
      <w:proofErr w:type="spellEnd"/>
      <w:r>
        <w:rPr>
          <w:rFonts w:ascii="Cambria" w:eastAsia="Cambria" w:hAnsi="Cambria" w:cs="Cambria"/>
          <w:color w:val="000000"/>
          <w:sz w:val="24"/>
          <w:szCs w:val="24"/>
        </w:rPr>
        <w:t>, W</w:t>
      </w:r>
      <w:r>
        <w:rPr>
          <w:rFonts w:ascii="Cambria" w:eastAsia="Cambria" w:hAnsi="Cambria" w:cs="Cambria"/>
          <w:sz w:val="24"/>
          <w:szCs w:val="24"/>
        </w:rPr>
        <w:t>.</w:t>
      </w:r>
      <w:r>
        <w:rPr>
          <w:rFonts w:ascii="Cambria" w:eastAsia="Cambria" w:hAnsi="Cambria" w:cs="Cambria"/>
          <w:color w:val="000000"/>
          <w:sz w:val="24"/>
          <w:szCs w:val="24"/>
        </w:rPr>
        <w:t xml:space="preserve">. A statistical model for the analysis of ordinal level dependent variables. </w:t>
      </w:r>
      <w:r>
        <w:rPr>
          <w:rFonts w:ascii="Cambria" w:eastAsia="Cambria" w:hAnsi="Cambria" w:cs="Cambria"/>
          <w:i/>
          <w:color w:val="000000"/>
          <w:sz w:val="24"/>
          <w:szCs w:val="24"/>
        </w:rPr>
        <w:t xml:space="preserve">J. Math. </w:t>
      </w:r>
      <w:proofErr w:type="spellStart"/>
      <w:r>
        <w:rPr>
          <w:rFonts w:ascii="Cambria" w:eastAsia="Cambria" w:hAnsi="Cambria" w:cs="Cambria"/>
          <w:i/>
          <w:color w:val="000000"/>
          <w:sz w:val="24"/>
          <w:szCs w:val="24"/>
        </w:rPr>
        <w:t>Sociol</w:t>
      </w:r>
      <w:proofErr w:type="spellEnd"/>
      <w:r>
        <w:rPr>
          <w:rFonts w:ascii="Cambria" w:eastAsia="Cambria" w:hAnsi="Cambria" w:cs="Cambria"/>
          <w:i/>
          <w:color w:val="000000"/>
          <w:sz w:val="24"/>
          <w:szCs w:val="24"/>
        </w:rPr>
        <w:t>.</w:t>
      </w:r>
      <w:r>
        <w:rPr>
          <w:rFonts w:ascii="Cambria" w:eastAsia="Cambria" w:hAnsi="Cambria" w:cs="Cambria"/>
          <w:color w:val="000000"/>
          <w:sz w:val="24"/>
          <w:szCs w:val="24"/>
        </w:rPr>
        <w:t xml:space="preserve">, </w:t>
      </w:r>
      <w:r>
        <w:rPr>
          <w:rFonts w:ascii="Cambria" w:eastAsia="Cambria" w:hAnsi="Cambria" w:cs="Cambria"/>
          <w:b/>
          <w:color w:val="000000"/>
          <w:sz w:val="24"/>
          <w:szCs w:val="24"/>
        </w:rPr>
        <w:t>4</w:t>
      </w:r>
      <w:r>
        <w:rPr>
          <w:rFonts w:ascii="Cambria" w:eastAsia="Cambria" w:hAnsi="Cambria" w:cs="Cambria"/>
          <w:color w:val="000000"/>
          <w:sz w:val="24"/>
          <w:szCs w:val="24"/>
        </w:rPr>
        <w:t>, 103–120 (</w:t>
      </w:r>
      <w:r>
        <w:rPr>
          <w:rFonts w:ascii="Cambria" w:eastAsia="Cambria" w:hAnsi="Cambria" w:cs="Cambria"/>
          <w:sz w:val="24"/>
          <w:szCs w:val="24"/>
        </w:rPr>
        <w:t>1975)</w:t>
      </w:r>
      <w:r>
        <w:rPr>
          <w:rFonts w:ascii="Cambria" w:eastAsia="Cambria" w:hAnsi="Cambria" w:cs="Cambria"/>
          <w:color w:val="000000"/>
          <w:sz w:val="24"/>
          <w:szCs w:val="24"/>
        </w:rPr>
        <w:t>.</w:t>
      </w:r>
    </w:p>
    <w:p w14:paraId="7EAA8154"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proofErr w:type="spellStart"/>
      <w:r>
        <w:rPr>
          <w:rFonts w:ascii="Cambria" w:eastAsia="Cambria" w:hAnsi="Cambria" w:cs="Cambria"/>
          <w:color w:val="000000"/>
          <w:sz w:val="24"/>
          <w:szCs w:val="24"/>
        </w:rPr>
        <w:t>Pebesma</w:t>
      </w:r>
      <w:proofErr w:type="spellEnd"/>
      <w:r>
        <w:rPr>
          <w:rFonts w:ascii="Cambria" w:eastAsia="Cambria" w:hAnsi="Cambria" w:cs="Cambria"/>
          <w:color w:val="000000"/>
          <w:sz w:val="24"/>
          <w:szCs w:val="24"/>
        </w:rPr>
        <w:t xml:space="preserve">, E. Simple features for r: standardized support for spatial vector data. </w:t>
      </w:r>
      <w:r>
        <w:rPr>
          <w:rFonts w:ascii="Cambria" w:eastAsia="Cambria" w:hAnsi="Cambria" w:cs="Cambria"/>
          <w:i/>
          <w:color w:val="000000"/>
          <w:sz w:val="24"/>
          <w:szCs w:val="24"/>
        </w:rPr>
        <w:t>R J.</w:t>
      </w:r>
      <w:r>
        <w:rPr>
          <w:rFonts w:ascii="Cambria" w:eastAsia="Cambria" w:hAnsi="Cambria" w:cs="Cambria"/>
          <w:color w:val="000000"/>
          <w:sz w:val="24"/>
          <w:szCs w:val="24"/>
        </w:rPr>
        <w:t xml:space="preserve">, </w:t>
      </w:r>
      <w:r>
        <w:rPr>
          <w:rFonts w:ascii="Cambria" w:eastAsia="Cambria" w:hAnsi="Cambria" w:cs="Cambria"/>
          <w:b/>
          <w:color w:val="000000"/>
          <w:sz w:val="24"/>
          <w:szCs w:val="24"/>
        </w:rPr>
        <w:t>10</w:t>
      </w:r>
      <w:r>
        <w:rPr>
          <w:rFonts w:ascii="Cambria" w:eastAsia="Cambria" w:hAnsi="Cambria" w:cs="Cambria"/>
          <w:color w:val="000000"/>
          <w:sz w:val="24"/>
          <w:szCs w:val="24"/>
        </w:rPr>
        <w:t>, 439–446 (</w:t>
      </w:r>
      <w:r>
        <w:rPr>
          <w:rFonts w:ascii="Cambria" w:eastAsia="Cambria" w:hAnsi="Cambria" w:cs="Cambria"/>
          <w:sz w:val="24"/>
          <w:szCs w:val="24"/>
        </w:rPr>
        <w:t>2018)</w:t>
      </w:r>
      <w:r>
        <w:rPr>
          <w:rFonts w:ascii="Cambria" w:eastAsia="Cambria" w:hAnsi="Cambria" w:cs="Cambria"/>
          <w:color w:val="000000"/>
          <w:sz w:val="24"/>
          <w:szCs w:val="24"/>
        </w:rPr>
        <w:t>.</w:t>
      </w:r>
    </w:p>
    <w:p w14:paraId="6E306029" w14:textId="7BFDDA89" w:rsidR="00D4124E" w:rsidRDefault="00000000" w:rsidP="00D43234">
      <w:pPr>
        <w:spacing w:after="0" w:line="360" w:lineRule="auto"/>
        <w:ind w:left="720" w:hanging="720"/>
        <w:rPr>
          <w:rFonts w:ascii="Cambria" w:eastAsia="Cambria" w:hAnsi="Cambria" w:cs="Cambria"/>
          <w:sz w:val="24"/>
          <w:szCs w:val="24"/>
        </w:rPr>
      </w:pPr>
      <w:r>
        <w:rPr>
          <w:rFonts w:ascii="Cambria" w:eastAsia="Cambria" w:hAnsi="Cambria" w:cs="Cambria"/>
          <w:color w:val="353740"/>
          <w:sz w:val="24"/>
          <w:szCs w:val="24"/>
        </w:rPr>
        <w:t xml:space="preserve">Pitcher, T.E., Dunn, P.O. &amp; Whittingham, L.A. Sperm competition and the evolution of testes size in birds. </w:t>
      </w:r>
      <w:r>
        <w:rPr>
          <w:rFonts w:ascii="Cambria" w:eastAsia="Cambria" w:hAnsi="Cambria" w:cs="Cambria"/>
          <w:i/>
          <w:color w:val="353740"/>
          <w:sz w:val="24"/>
          <w:szCs w:val="24"/>
        </w:rPr>
        <w:t xml:space="preserve">J. </w:t>
      </w:r>
      <w:proofErr w:type="spellStart"/>
      <w:r>
        <w:rPr>
          <w:rFonts w:ascii="Cambria" w:eastAsia="Cambria" w:hAnsi="Cambria" w:cs="Cambria"/>
          <w:i/>
          <w:color w:val="353740"/>
          <w:sz w:val="24"/>
          <w:szCs w:val="24"/>
        </w:rPr>
        <w:t>Evol</w:t>
      </w:r>
      <w:proofErr w:type="spellEnd"/>
      <w:r>
        <w:rPr>
          <w:rFonts w:ascii="Cambria" w:eastAsia="Cambria" w:hAnsi="Cambria" w:cs="Cambria"/>
          <w:i/>
          <w:color w:val="353740"/>
          <w:sz w:val="24"/>
          <w:szCs w:val="24"/>
        </w:rPr>
        <w:t>. Biol.</w:t>
      </w:r>
      <w:r>
        <w:rPr>
          <w:rFonts w:ascii="Cambria" w:eastAsia="Cambria" w:hAnsi="Cambria" w:cs="Cambria"/>
          <w:color w:val="353740"/>
          <w:sz w:val="24"/>
          <w:szCs w:val="24"/>
        </w:rPr>
        <w:t xml:space="preserve">, </w:t>
      </w:r>
      <w:r>
        <w:rPr>
          <w:rFonts w:ascii="Cambria" w:eastAsia="Cambria" w:hAnsi="Cambria" w:cs="Cambria"/>
          <w:b/>
          <w:color w:val="353740"/>
          <w:sz w:val="24"/>
          <w:szCs w:val="24"/>
        </w:rPr>
        <w:t>18</w:t>
      </w:r>
      <w:r>
        <w:rPr>
          <w:rFonts w:ascii="Cambria" w:eastAsia="Cambria" w:hAnsi="Cambria" w:cs="Cambria"/>
          <w:color w:val="353740"/>
          <w:sz w:val="24"/>
          <w:szCs w:val="24"/>
        </w:rPr>
        <w:t>, 557–567</w:t>
      </w:r>
      <w:r w:rsidR="00D43234">
        <w:rPr>
          <w:rFonts w:ascii="Cambria" w:eastAsia="Cambria" w:hAnsi="Cambria" w:cs="Cambria"/>
          <w:color w:val="353740"/>
          <w:sz w:val="24"/>
          <w:szCs w:val="24"/>
        </w:rPr>
        <w:t xml:space="preserve"> (2005).</w:t>
      </w:r>
    </w:p>
    <w:p w14:paraId="50E5ED6B"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r>
        <w:rPr>
          <w:rFonts w:ascii="Cambria" w:eastAsia="Cambria" w:hAnsi="Cambria" w:cs="Cambria"/>
          <w:color w:val="000000"/>
          <w:sz w:val="24"/>
          <w:szCs w:val="24"/>
        </w:rPr>
        <w:t xml:space="preserve">Prum, R.O., </w:t>
      </w:r>
      <w:proofErr w:type="spellStart"/>
      <w:r>
        <w:rPr>
          <w:rFonts w:ascii="Cambria" w:eastAsia="Cambria" w:hAnsi="Cambria" w:cs="Cambria"/>
          <w:color w:val="000000"/>
          <w:sz w:val="24"/>
          <w:szCs w:val="24"/>
        </w:rPr>
        <w:t>Berv</w:t>
      </w:r>
      <w:proofErr w:type="spellEnd"/>
      <w:r>
        <w:rPr>
          <w:rFonts w:ascii="Cambria" w:eastAsia="Cambria" w:hAnsi="Cambria" w:cs="Cambria"/>
          <w:color w:val="000000"/>
          <w:sz w:val="24"/>
          <w:szCs w:val="24"/>
        </w:rPr>
        <w:t xml:space="preserve">, J.S., Dornburg, A., Field, D.J., Townsend, J.P., Lemmon, E.M., </w:t>
      </w:r>
      <w:r>
        <w:rPr>
          <w:rFonts w:ascii="Cambria" w:eastAsia="Cambria" w:hAnsi="Cambria" w:cs="Cambria"/>
          <w:i/>
          <w:color w:val="000000"/>
          <w:sz w:val="24"/>
          <w:szCs w:val="24"/>
        </w:rPr>
        <w:t>et al</w:t>
      </w:r>
      <w:r>
        <w:rPr>
          <w:rFonts w:ascii="Cambria" w:eastAsia="Cambria" w:hAnsi="Cambria" w:cs="Cambria"/>
          <w:color w:val="000000"/>
          <w:sz w:val="24"/>
          <w:szCs w:val="24"/>
        </w:rPr>
        <w:t xml:space="preserve">. A comprehensive phylogeny of birds (Aves) using targeted next-generation DNA sequencing. </w:t>
      </w:r>
      <w:r>
        <w:rPr>
          <w:rFonts w:ascii="Cambria" w:eastAsia="Cambria" w:hAnsi="Cambria" w:cs="Cambria"/>
          <w:i/>
          <w:color w:val="000000"/>
          <w:sz w:val="24"/>
          <w:szCs w:val="24"/>
        </w:rPr>
        <w:t>Nature</w:t>
      </w:r>
      <w:r>
        <w:rPr>
          <w:rFonts w:ascii="Cambria" w:eastAsia="Cambria" w:hAnsi="Cambria" w:cs="Cambria"/>
          <w:color w:val="000000"/>
          <w:sz w:val="24"/>
          <w:szCs w:val="24"/>
        </w:rPr>
        <w:t xml:space="preserve">, </w:t>
      </w:r>
      <w:r>
        <w:rPr>
          <w:rFonts w:ascii="Cambria" w:eastAsia="Cambria" w:hAnsi="Cambria" w:cs="Cambria"/>
          <w:b/>
          <w:color w:val="000000"/>
          <w:sz w:val="24"/>
          <w:szCs w:val="24"/>
        </w:rPr>
        <w:t>526</w:t>
      </w:r>
      <w:r>
        <w:rPr>
          <w:rFonts w:ascii="Cambria" w:eastAsia="Cambria" w:hAnsi="Cambria" w:cs="Cambria"/>
          <w:color w:val="000000"/>
          <w:sz w:val="24"/>
          <w:szCs w:val="24"/>
        </w:rPr>
        <w:t>, 569–573 (</w:t>
      </w:r>
      <w:r>
        <w:rPr>
          <w:rFonts w:ascii="Cambria" w:eastAsia="Cambria" w:hAnsi="Cambria" w:cs="Cambria"/>
          <w:sz w:val="24"/>
          <w:szCs w:val="24"/>
        </w:rPr>
        <w:t>2015)</w:t>
      </w:r>
      <w:r>
        <w:rPr>
          <w:rFonts w:ascii="Cambria" w:eastAsia="Cambria" w:hAnsi="Cambria" w:cs="Cambria"/>
          <w:color w:val="000000"/>
          <w:sz w:val="24"/>
          <w:szCs w:val="24"/>
        </w:rPr>
        <w:t>.</w:t>
      </w:r>
    </w:p>
    <w:p w14:paraId="1FD20AB3"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proofErr w:type="spellStart"/>
      <w:r>
        <w:rPr>
          <w:rFonts w:ascii="Cambria" w:eastAsia="Cambria" w:hAnsi="Cambria" w:cs="Cambria"/>
          <w:color w:val="000000"/>
          <w:sz w:val="24"/>
          <w:szCs w:val="24"/>
        </w:rPr>
        <w:t>Schielzeth</w:t>
      </w:r>
      <w:proofErr w:type="spellEnd"/>
      <w:r>
        <w:rPr>
          <w:rFonts w:ascii="Cambria" w:eastAsia="Cambria" w:hAnsi="Cambria" w:cs="Cambria"/>
          <w:color w:val="000000"/>
          <w:sz w:val="24"/>
          <w:szCs w:val="24"/>
        </w:rPr>
        <w:t xml:space="preserve">, H. Simple means to improve the interpretability of regression coefficients. </w:t>
      </w:r>
      <w:r>
        <w:rPr>
          <w:rFonts w:ascii="Cambria" w:eastAsia="Cambria" w:hAnsi="Cambria" w:cs="Cambria"/>
          <w:i/>
          <w:color w:val="000000"/>
          <w:sz w:val="24"/>
          <w:szCs w:val="24"/>
        </w:rPr>
        <w:t xml:space="preserve">Methods Ecol. </w:t>
      </w:r>
      <w:proofErr w:type="spellStart"/>
      <w:r>
        <w:rPr>
          <w:rFonts w:ascii="Cambria" w:eastAsia="Cambria" w:hAnsi="Cambria" w:cs="Cambria"/>
          <w:i/>
          <w:color w:val="000000"/>
          <w:sz w:val="24"/>
          <w:szCs w:val="24"/>
        </w:rPr>
        <w:t>Evol</w:t>
      </w:r>
      <w:proofErr w:type="spellEnd"/>
      <w:r>
        <w:rPr>
          <w:rFonts w:ascii="Cambria" w:eastAsia="Cambria" w:hAnsi="Cambria" w:cs="Cambria"/>
          <w:i/>
          <w:color w:val="000000"/>
          <w:sz w:val="24"/>
          <w:szCs w:val="24"/>
        </w:rPr>
        <w:t>.</w:t>
      </w:r>
      <w:r>
        <w:rPr>
          <w:rFonts w:ascii="Cambria" w:eastAsia="Cambria" w:hAnsi="Cambria" w:cs="Cambria"/>
          <w:color w:val="000000"/>
          <w:sz w:val="24"/>
          <w:szCs w:val="24"/>
        </w:rPr>
        <w:t xml:space="preserve">, </w:t>
      </w:r>
      <w:r>
        <w:rPr>
          <w:rFonts w:ascii="Cambria" w:eastAsia="Cambria" w:hAnsi="Cambria" w:cs="Cambria"/>
          <w:b/>
          <w:color w:val="000000"/>
          <w:sz w:val="24"/>
          <w:szCs w:val="24"/>
        </w:rPr>
        <w:t>1</w:t>
      </w:r>
      <w:r>
        <w:rPr>
          <w:rFonts w:ascii="Cambria" w:eastAsia="Cambria" w:hAnsi="Cambria" w:cs="Cambria"/>
          <w:color w:val="000000"/>
          <w:sz w:val="24"/>
          <w:szCs w:val="24"/>
        </w:rPr>
        <w:t>, 103–113 (</w:t>
      </w:r>
      <w:r>
        <w:rPr>
          <w:rFonts w:ascii="Cambria" w:eastAsia="Cambria" w:hAnsi="Cambria" w:cs="Cambria"/>
          <w:sz w:val="24"/>
          <w:szCs w:val="24"/>
        </w:rPr>
        <w:t>2010)</w:t>
      </w:r>
      <w:r>
        <w:rPr>
          <w:rFonts w:ascii="Cambria" w:eastAsia="Cambria" w:hAnsi="Cambria" w:cs="Cambria"/>
          <w:color w:val="000000"/>
          <w:sz w:val="24"/>
          <w:szCs w:val="24"/>
        </w:rPr>
        <w:t>.</w:t>
      </w:r>
    </w:p>
    <w:p w14:paraId="57F12CEC" w14:textId="77777777" w:rsidR="00D4124E" w:rsidRDefault="00000000">
      <w:pPr>
        <w:spacing w:after="0" w:line="360" w:lineRule="auto"/>
        <w:ind w:left="720" w:hanging="720"/>
      </w:pPr>
      <w:proofErr w:type="spellStart"/>
      <w:r>
        <w:rPr>
          <w:rFonts w:ascii="Cambria" w:eastAsia="Cambria" w:hAnsi="Cambria" w:cs="Cambria"/>
          <w:color w:val="000000"/>
          <w:sz w:val="24"/>
          <w:szCs w:val="24"/>
        </w:rPr>
        <w:t>Schnute</w:t>
      </w:r>
      <w:proofErr w:type="spellEnd"/>
      <w:r>
        <w:rPr>
          <w:rFonts w:ascii="Cambria" w:eastAsia="Cambria" w:hAnsi="Cambria" w:cs="Cambria"/>
          <w:color w:val="000000"/>
          <w:sz w:val="24"/>
          <w:szCs w:val="24"/>
        </w:rPr>
        <w:t xml:space="preserve">, J.T., Boers, N.M., Haigh, R. &amp; Couture-Beil, A. </w:t>
      </w:r>
      <w:proofErr w:type="spellStart"/>
      <w:r>
        <w:rPr>
          <w:rFonts w:ascii="Cambria" w:eastAsia="Cambria" w:hAnsi="Cambria" w:cs="Cambria"/>
          <w:color w:val="000000"/>
          <w:sz w:val="24"/>
          <w:szCs w:val="24"/>
        </w:rPr>
        <w:t>PBSmapping</w:t>
      </w:r>
      <w:proofErr w:type="spellEnd"/>
      <w:r>
        <w:rPr>
          <w:rFonts w:ascii="Cambria" w:eastAsia="Cambria" w:hAnsi="Cambria" w:cs="Cambria"/>
          <w:color w:val="000000"/>
          <w:sz w:val="24"/>
          <w:szCs w:val="24"/>
        </w:rPr>
        <w:t xml:space="preserve"> 2.70.3: user’s guide revised from Canadian Technical Report of Fisheries and Aquatic Sciences 2549: vi + 43 p. </w:t>
      </w:r>
      <w:r>
        <w:rPr>
          <w:rFonts w:ascii="Cambria" w:eastAsia="Cambria" w:hAnsi="Cambria" w:cs="Cambria"/>
          <w:sz w:val="24"/>
          <w:szCs w:val="24"/>
        </w:rPr>
        <w:t>(</w:t>
      </w:r>
      <w:r>
        <w:rPr>
          <w:rFonts w:ascii="Cambria" w:eastAsia="Cambria" w:hAnsi="Cambria" w:cs="Cambria"/>
          <w:color w:val="000000"/>
          <w:sz w:val="24"/>
          <w:szCs w:val="24"/>
        </w:rPr>
        <w:t>2017)</w:t>
      </w:r>
      <w:r>
        <w:rPr>
          <w:rFonts w:ascii="Cambria" w:eastAsia="Cambria" w:hAnsi="Cambria" w:cs="Cambria"/>
          <w:sz w:val="24"/>
          <w:szCs w:val="24"/>
        </w:rPr>
        <w:t xml:space="preserve">. </w:t>
      </w:r>
    </w:p>
    <w:p w14:paraId="5A5546E7"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r>
        <w:rPr>
          <w:rFonts w:ascii="Cambria" w:eastAsia="Cambria" w:hAnsi="Cambria" w:cs="Cambria"/>
          <w:color w:val="000000"/>
          <w:sz w:val="24"/>
          <w:szCs w:val="24"/>
        </w:rPr>
        <w:t xml:space="preserve">Sheard, C., Neate-Clegg, M.H.C., </w:t>
      </w:r>
      <w:proofErr w:type="spellStart"/>
      <w:r>
        <w:rPr>
          <w:rFonts w:ascii="Cambria" w:eastAsia="Cambria" w:hAnsi="Cambria" w:cs="Cambria"/>
          <w:color w:val="000000"/>
          <w:sz w:val="24"/>
          <w:szCs w:val="24"/>
        </w:rPr>
        <w:t>Alioravainen</w:t>
      </w:r>
      <w:proofErr w:type="spellEnd"/>
      <w:r>
        <w:rPr>
          <w:rFonts w:ascii="Cambria" w:eastAsia="Cambria" w:hAnsi="Cambria" w:cs="Cambria"/>
          <w:color w:val="000000"/>
          <w:sz w:val="24"/>
          <w:szCs w:val="24"/>
        </w:rPr>
        <w:t xml:space="preserve">, N., Jones, S.E.I., Vincent, C., MacGregor, H.E.A., </w:t>
      </w:r>
      <w:r>
        <w:rPr>
          <w:rFonts w:ascii="Cambria" w:eastAsia="Cambria" w:hAnsi="Cambria" w:cs="Cambria"/>
          <w:i/>
          <w:color w:val="000000"/>
          <w:sz w:val="24"/>
          <w:szCs w:val="24"/>
        </w:rPr>
        <w:t>et al</w:t>
      </w:r>
      <w:r>
        <w:rPr>
          <w:rFonts w:ascii="Cambria" w:eastAsia="Cambria" w:hAnsi="Cambria" w:cs="Cambria"/>
          <w:color w:val="000000"/>
          <w:sz w:val="24"/>
          <w:szCs w:val="24"/>
        </w:rPr>
        <w:t xml:space="preserve">. Ecological drivers of global gradients in avian dispersal inferred from wing morphology. </w:t>
      </w:r>
      <w:r>
        <w:rPr>
          <w:rFonts w:ascii="Cambria" w:eastAsia="Cambria" w:hAnsi="Cambria" w:cs="Cambria"/>
          <w:i/>
          <w:color w:val="000000"/>
          <w:sz w:val="24"/>
          <w:szCs w:val="24"/>
        </w:rPr>
        <w:t xml:space="preserve">Nat. </w:t>
      </w:r>
      <w:proofErr w:type="spellStart"/>
      <w:r>
        <w:rPr>
          <w:rFonts w:ascii="Cambria" w:eastAsia="Cambria" w:hAnsi="Cambria" w:cs="Cambria"/>
          <w:i/>
          <w:color w:val="000000"/>
          <w:sz w:val="24"/>
          <w:szCs w:val="24"/>
        </w:rPr>
        <w:t>Commun</w:t>
      </w:r>
      <w:proofErr w:type="spellEnd"/>
      <w:r>
        <w:rPr>
          <w:rFonts w:ascii="Cambria" w:eastAsia="Cambria" w:hAnsi="Cambria" w:cs="Cambria"/>
          <w:i/>
          <w:color w:val="000000"/>
          <w:sz w:val="24"/>
          <w:szCs w:val="24"/>
        </w:rPr>
        <w:t>.</w:t>
      </w:r>
      <w:r>
        <w:rPr>
          <w:rFonts w:ascii="Cambria" w:eastAsia="Cambria" w:hAnsi="Cambria" w:cs="Cambria"/>
          <w:color w:val="000000"/>
          <w:sz w:val="24"/>
          <w:szCs w:val="24"/>
        </w:rPr>
        <w:t xml:space="preserve">, </w:t>
      </w:r>
      <w:r>
        <w:rPr>
          <w:rFonts w:ascii="Cambria" w:eastAsia="Cambria" w:hAnsi="Cambria" w:cs="Cambria"/>
          <w:b/>
          <w:color w:val="000000"/>
          <w:sz w:val="24"/>
          <w:szCs w:val="24"/>
        </w:rPr>
        <w:t>11</w:t>
      </w:r>
      <w:r>
        <w:rPr>
          <w:rFonts w:ascii="Cambria" w:eastAsia="Cambria" w:hAnsi="Cambria" w:cs="Cambria"/>
          <w:color w:val="000000"/>
          <w:sz w:val="24"/>
          <w:szCs w:val="24"/>
        </w:rPr>
        <w:t>, 2463 (</w:t>
      </w:r>
      <w:r>
        <w:rPr>
          <w:rFonts w:ascii="Cambria" w:eastAsia="Cambria" w:hAnsi="Cambria" w:cs="Cambria"/>
          <w:sz w:val="24"/>
          <w:szCs w:val="24"/>
        </w:rPr>
        <w:t>2020)</w:t>
      </w:r>
      <w:r>
        <w:rPr>
          <w:rFonts w:ascii="Cambria" w:eastAsia="Cambria" w:hAnsi="Cambria" w:cs="Cambria"/>
          <w:color w:val="000000"/>
          <w:sz w:val="24"/>
          <w:szCs w:val="24"/>
        </w:rPr>
        <w:t>.</w:t>
      </w:r>
    </w:p>
    <w:p w14:paraId="148DFEB6"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r>
        <w:rPr>
          <w:rFonts w:ascii="Cambria" w:eastAsia="Cambria" w:hAnsi="Cambria" w:cs="Cambria"/>
          <w:color w:val="000000"/>
          <w:sz w:val="24"/>
          <w:szCs w:val="24"/>
        </w:rPr>
        <w:t xml:space="preserve">Tobias, J.A., Sheard, C., Pigot, A.L., Devenish, A.J.M., Yang, J., </w:t>
      </w:r>
      <w:proofErr w:type="spellStart"/>
      <w:r>
        <w:rPr>
          <w:rFonts w:ascii="Cambria" w:eastAsia="Cambria" w:hAnsi="Cambria" w:cs="Cambria"/>
          <w:color w:val="000000"/>
          <w:sz w:val="24"/>
          <w:szCs w:val="24"/>
        </w:rPr>
        <w:t>Sayol</w:t>
      </w:r>
      <w:proofErr w:type="spellEnd"/>
      <w:r>
        <w:rPr>
          <w:rFonts w:ascii="Cambria" w:eastAsia="Cambria" w:hAnsi="Cambria" w:cs="Cambria"/>
          <w:color w:val="000000"/>
          <w:sz w:val="24"/>
          <w:szCs w:val="24"/>
        </w:rPr>
        <w:t xml:space="preserve">, F., </w:t>
      </w:r>
      <w:r>
        <w:rPr>
          <w:rFonts w:ascii="Cambria" w:eastAsia="Cambria" w:hAnsi="Cambria" w:cs="Cambria"/>
          <w:i/>
          <w:color w:val="000000"/>
          <w:sz w:val="24"/>
          <w:szCs w:val="24"/>
        </w:rPr>
        <w:t>et al</w:t>
      </w:r>
      <w:r>
        <w:rPr>
          <w:rFonts w:ascii="Cambria" w:eastAsia="Cambria" w:hAnsi="Cambria" w:cs="Cambria"/>
          <w:color w:val="000000"/>
          <w:sz w:val="24"/>
          <w:szCs w:val="24"/>
        </w:rPr>
        <w:t xml:space="preserve">. AVONET: morphological, </w:t>
      </w:r>
      <w:proofErr w:type="gramStart"/>
      <w:r>
        <w:rPr>
          <w:rFonts w:ascii="Cambria" w:eastAsia="Cambria" w:hAnsi="Cambria" w:cs="Cambria"/>
          <w:color w:val="000000"/>
          <w:sz w:val="24"/>
          <w:szCs w:val="24"/>
        </w:rPr>
        <w:t>ecological</w:t>
      </w:r>
      <w:proofErr w:type="gramEnd"/>
      <w:r>
        <w:rPr>
          <w:rFonts w:ascii="Cambria" w:eastAsia="Cambria" w:hAnsi="Cambria" w:cs="Cambria"/>
          <w:color w:val="000000"/>
          <w:sz w:val="24"/>
          <w:szCs w:val="24"/>
        </w:rPr>
        <w:t xml:space="preserve"> and geographical data for all birds. </w:t>
      </w:r>
      <w:r>
        <w:rPr>
          <w:rFonts w:ascii="Cambria" w:eastAsia="Cambria" w:hAnsi="Cambria" w:cs="Cambria"/>
          <w:i/>
          <w:color w:val="000000"/>
          <w:sz w:val="24"/>
          <w:szCs w:val="24"/>
        </w:rPr>
        <w:t>Ecol. Lett.</w:t>
      </w:r>
      <w:r>
        <w:rPr>
          <w:rFonts w:ascii="Cambria" w:eastAsia="Cambria" w:hAnsi="Cambria" w:cs="Cambria"/>
          <w:color w:val="000000"/>
          <w:sz w:val="24"/>
          <w:szCs w:val="24"/>
        </w:rPr>
        <w:t xml:space="preserve">, </w:t>
      </w:r>
      <w:r>
        <w:rPr>
          <w:rFonts w:ascii="Cambria" w:eastAsia="Cambria" w:hAnsi="Cambria" w:cs="Cambria"/>
          <w:b/>
          <w:color w:val="000000"/>
          <w:sz w:val="24"/>
          <w:szCs w:val="24"/>
        </w:rPr>
        <w:t>25</w:t>
      </w:r>
      <w:r>
        <w:rPr>
          <w:rFonts w:ascii="Cambria" w:eastAsia="Cambria" w:hAnsi="Cambria" w:cs="Cambria"/>
          <w:color w:val="000000"/>
          <w:sz w:val="24"/>
          <w:szCs w:val="24"/>
        </w:rPr>
        <w:t>, 581–597 (</w:t>
      </w:r>
      <w:r>
        <w:rPr>
          <w:rFonts w:ascii="Cambria" w:eastAsia="Cambria" w:hAnsi="Cambria" w:cs="Cambria"/>
          <w:sz w:val="24"/>
          <w:szCs w:val="24"/>
        </w:rPr>
        <w:t>2022)</w:t>
      </w:r>
      <w:r>
        <w:rPr>
          <w:rFonts w:ascii="Cambria" w:eastAsia="Cambria" w:hAnsi="Cambria" w:cs="Cambria"/>
          <w:color w:val="000000"/>
          <w:sz w:val="24"/>
          <w:szCs w:val="24"/>
        </w:rPr>
        <w:t>.</w:t>
      </w:r>
    </w:p>
    <w:p w14:paraId="26714A16" w14:textId="77777777" w:rsidR="00D4124E" w:rsidRDefault="00000000">
      <w:pPr>
        <w:pBdr>
          <w:top w:val="nil"/>
          <w:left w:val="nil"/>
          <w:bottom w:val="nil"/>
          <w:right w:val="nil"/>
          <w:between w:val="nil"/>
        </w:pBdr>
        <w:spacing w:after="0" w:line="360" w:lineRule="auto"/>
        <w:ind w:left="720" w:hanging="720"/>
        <w:rPr>
          <w:rFonts w:ascii="Cambria" w:eastAsia="Cambria" w:hAnsi="Cambria" w:cs="Cambria"/>
          <w:color w:val="000000"/>
          <w:sz w:val="24"/>
          <w:szCs w:val="24"/>
        </w:rPr>
      </w:pPr>
      <w:r>
        <w:rPr>
          <w:rFonts w:ascii="Cambria" w:eastAsia="Cambria" w:hAnsi="Cambria" w:cs="Cambria"/>
          <w:color w:val="000000"/>
          <w:sz w:val="24"/>
          <w:szCs w:val="24"/>
        </w:rPr>
        <w:t xml:space="preserve">Weeks, B.C., Naeem, S., Lasky, J.R. &amp; Tobias, J.A. Diversity and extinction risk are inversely related at a global scale. </w:t>
      </w:r>
      <w:r>
        <w:rPr>
          <w:rFonts w:ascii="Cambria" w:eastAsia="Cambria" w:hAnsi="Cambria" w:cs="Cambria"/>
          <w:i/>
          <w:color w:val="000000"/>
          <w:sz w:val="24"/>
          <w:szCs w:val="24"/>
        </w:rPr>
        <w:t>Ecol. Lett.</w:t>
      </w:r>
      <w:r>
        <w:rPr>
          <w:rFonts w:ascii="Cambria" w:eastAsia="Cambria" w:hAnsi="Cambria" w:cs="Cambria"/>
          <w:color w:val="000000"/>
          <w:sz w:val="24"/>
          <w:szCs w:val="24"/>
        </w:rPr>
        <w:t xml:space="preserve">, </w:t>
      </w:r>
      <w:r>
        <w:rPr>
          <w:rFonts w:ascii="Cambria" w:eastAsia="Cambria" w:hAnsi="Cambria" w:cs="Cambria"/>
          <w:b/>
          <w:color w:val="000000"/>
          <w:sz w:val="24"/>
          <w:szCs w:val="24"/>
        </w:rPr>
        <w:t>25</w:t>
      </w:r>
      <w:r>
        <w:rPr>
          <w:rFonts w:ascii="Cambria" w:eastAsia="Cambria" w:hAnsi="Cambria" w:cs="Cambria"/>
          <w:color w:val="000000"/>
          <w:sz w:val="24"/>
          <w:szCs w:val="24"/>
        </w:rPr>
        <w:t>, 697–707 (</w:t>
      </w:r>
      <w:r>
        <w:rPr>
          <w:rFonts w:ascii="Cambria" w:eastAsia="Cambria" w:hAnsi="Cambria" w:cs="Cambria"/>
          <w:sz w:val="24"/>
          <w:szCs w:val="24"/>
        </w:rPr>
        <w:t>2022)</w:t>
      </w:r>
      <w:r>
        <w:rPr>
          <w:rFonts w:ascii="Cambria" w:eastAsia="Cambria" w:hAnsi="Cambria" w:cs="Cambria"/>
          <w:color w:val="000000"/>
          <w:sz w:val="24"/>
          <w:szCs w:val="24"/>
        </w:rPr>
        <w:t>.</w:t>
      </w:r>
    </w:p>
    <w:p w14:paraId="6333E9C8" w14:textId="77777777" w:rsidR="00D4124E" w:rsidRDefault="00000000">
      <w:pPr>
        <w:pBdr>
          <w:top w:val="nil"/>
          <w:left w:val="nil"/>
          <w:bottom w:val="nil"/>
          <w:right w:val="nil"/>
          <w:between w:val="nil"/>
        </w:pBdr>
        <w:spacing w:after="0" w:line="360" w:lineRule="auto"/>
        <w:ind w:left="720" w:hanging="720"/>
        <w:rPr>
          <w:color w:val="000000"/>
        </w:rPr>
      </w:pPr>
      <w:r>
        <w:rPr>
          <w:rFonts w:ascii="Cambria" w:eastAsia="Cambria" w:hAnsi="Cambria" w:cs="Cambria"/>
          <w:color w:val="000000"/>
          <w:sz w:val="24"/>
          <w:szCs w:val="24"/>
        </w:rPr>
        <w:t xml:space="preserve">Weir, J.T. &amp; Schluter, D. The latitudinal gradient in recent speciation and extinction rates of birds and mammals. </w:t>
      </w:r>
      <w:r>
        <w:rPr>
          <w:rFonts w:ascii="Cambria" w:eastAsia="Cambria" w:hAnsi="Cambria" w:cs="Cambria"/>
          <w:i/>
          <w:color w:val="000000"/>
          <w:sz w:val="24"/>
          <w:szCs w:val="24"/>
        </w:rPr>
        <w:t>Science</w:t>
      </w:r>
      <w:r>
        <w:rPr>
          <w:rFonts w:ascii="Cambria" w:eastAsia="Cambria" w:hAnsi="Cambria" w:cs="Cambria"/>
          <w:color w:val="000000"/>
          <w:sz w:val="24"/>
          <w:szCs w:val="24"/>
        </w:rPr>
        <w:t xml:space="preserve">, </w:t>
      </w:r>
      <w:r>
        <w:rPr>
          <w:rFonts w:ascii="Cambria" w:eastAsia="Cambria" w:hAnsi="Cambria" w:cs="Cambria"/>
          <w:b/>
          <w:color w:val="000000"/>
          <w:sz w:val="24"/>
          <w:szCs w:val="24"/>
        </w:rPr>
        <w:t>315</w:t>
      </w:r>
      <w:r>
        <w:rPr>
          <w:rFonts w:ascii="Cambria" w:eastAsia="Cambria" w:hAnsi="Cambria" w:cs="Cambria"/>
          <w:color w:val="000000"/>
          <w:sz w:val="24"/>
          <w:szCs w:val="24"/>
        </w:rPr>
        <w:t>, 1574–1576 (</w:t>
      </w:r>
      <w:r>
        <w:rPr>
          <w:rFonts w:ascii="Cambria" w:eastAsia="Cambria" w:hAnsi="Cambria" w:cs="Cambria"/>
          <w:sz w:val="24"/>
          <w:szCs w:val="24"/>
        </w:rPr>
        <w:t>2007)</w:t>
      </w:r>
      <w:r>
        <w:rPr>
          <w:rFonts w:ascii="Cambria" w:eastAsia="Cambria" w:hAnsi="Cambria" w:cs="Cambria"/>
          <w:color w:val="000000"/>
          <w:sz w:val="24"/>
          <w:szCs w:val="24"/>
        </w:rPr>
        <w:t>.</w:t>
      </w:r>
    </w:p>
    <w:sectPr w:rsidR="00D4124E">
      <w:pgSz w:w="11906" w:h="16838"/>
      <w:pgMar w:top="1440" w:right="1440" w:bottom="1440" w:left="1440" w:header="708" w:footer="708"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24E"/>
    <w:rsid w:val="0005547B"/>
    <w:rsid w:val="000E308E"/>
    <w:rsid w:val="00254054"/>
    <w:rsid w:val="002553D0"/>
    <w:rsid w:val="00265131"/>
    <w:rsid w:val="003C1410"/>
    <w:rsid w:val="007C1568"/>
    <w:rsid w:val="00802C35"/>
    <w:rsid w:val="00A55C35"/>
    <w:rsid w:val="00D4124E"/>
    <w:rsid w:val="00D43234"/>
    <w:rsid w:val="00D8221A"/>
    <w:rsid w:val="00F32614"/>
    <w:rsid w:val="00FF2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8C25"/>
  <w15:docId w15:val="{02078C22-C620-4B0A-B4A1-13FD7214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tblStylePr w:type="firstRow">
      <w:rPr>
        <w:b/>
        <w:color w:val="FFFFFF"/>
      </w:rPr>
      <w:tblPr/>
      <w:tcPr>
        <w:shd w:val="clear" w:color="auto" w:fill="A5A5A5"/>
      </w:tcPr>
    </w:tblStylePr>
    <w:tblStylePr w:type="lastRow">
      <w:rPr>
        <w:b/>
      </w:rPr>
      <w:tblPr/>
      <w:tcPr>
        <w:tcBorders>
          <w:top w:val="single" w:sz="4" w:space="0" w:color="A5A5A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A5A5A5"/>
          <w:left w:val="nil"/>
        </w:tcBorders>
      </w:tcPr>
    </w:tblStylePr>
    <w:tblStylePr w:type="swCell">
      <w:tblPr/>
      <w:tcPr>
        <w:tcBorders>
          <w:top w:val="single" w:sz="4" w:space="0" w:color="A5A5A5"/>
          <w:right w:val="nil"/>
        </w:tcBorders>
      </w:tcPr>
    </w:tblStylePr>
  </w:style>
  <w:style w:type="table" w:customStyle="1" w:styleId="a0">
    <w:basedOn w:val="TableNormal"/>
    <w:tblPr>
      <w:tblStyleRowBandSize w:val="1"/>
      <w:tblStyleColBandSize w:val="1"/>
    </w:tblPr>
    <w:tblStylePr w:type="firstRow">
      <w:rPr>
        <w:b/>
        <w:color w:val="FFFFFF"/>
      </w:rPr>
      <w:tblPr/>
      <w:tcPr>
        <w:shd w:val="clear" w:color="auto" w:fill="A5A5A5"/>
      </w:tcPr>
    </w:tblStylePr>
    <w:tblStylePr w:type="lastRow">
      <w:rPr>
        <w:b/>
      </w:rPr>
      <w:tblPr/>
      <w:tcPr>
        <w:shd w:val="clear" w:color="auto" w:fill="FFFFFF"/>
      </w:tcPr>
    </w:tblStylePr>
    <w:tblStylePr w:type="firstCol">
      <w:rPr>
        <w:b/>
      </w:rPr>
      <w:tblPr/>
      <w:tcPr>
        <w:shd w:val="clear" w:color="auto" w:fill="FFFFFF"/>
      </w:tcPr>
    </w:tblStylePr>
    <w:tblStylePr w:type="lastCol">
      <w:rPr>
        <w:b/>
      </w:rPr>
      <w:tblPr/>
      <w:tcPr>
        <w:shd w:val="clear" w:color="auto" w:fill="FFFFFF"/>
      </w:tcPr>
    </w:tblStylePr>
  </w:style>
  <w:style w:type="table" w:customStyle="1" w:styleId="a1">
    <w:basedOn w:val="TableNormal"/>
    <w:tblPr>
      <w:tblStyleRowBandSize w:val="1"/>
      <w:tblStyleColBandSize w:val="1"/>
    </w:tblPr>
    <w:tblStylePr w:type="firstRow">
      <w:rPr>
        <w:b/>
        <w:color w:val="FFFFFF"/>
      </w:rPr>
      <w:tblPr/>
      <w:tcPr>
        <w:shd w:val="clear" w:color="auto" w:fill="A5A5A5"/>
      </w:tcPr>
    </w:tblStylePr>
    <w:tblStylePr w:type="lastRow">
      <w:rPr>
        <w:b/>
      </w:rPr>
      <w:tblPr/>
      <w:tcPr>
        <w:shd w:val="clear" w:color="auto" w:fill="FFFFFF"/>
      </w:tcPr>
    </w:tblStylePr>
    <w:tblStylePr w:type="firstCol">
      <w:rPr>
        <w:b/>
      </w:rPr>
      <w:tblPr/>
      <w:tcPr>
        <w:shd w:val="clear" w:color="auto" w:fill="FFFFFF"/>
      </w:tcPr>
    </w:tblStylePr>
    <w:tblStylePr w:type="lastCol">
      <w:rPr>
        <w:b/>
      </w:rPr>
      <w:tblPr/>
      <w:tcPr>
        <w:shd w:val="clear" w:color="auto" w:fill="FFFFFF"/>
      </w:tcPr>
    </w:tblStylePr>
  </w:style>
  <w:style w:type="table" w:customStyle="1" w:styleId="a2">
    <w:basedOn w:val="TableNormal"/>
    <w:tblPr>
      <w:tblStyleRowBandSize w:val="1"/>
      <w:tblStyleColBandSize w:val="1"/>
    </w:tblPr>
    <w:tblStylePr w:type="firstRow">
      <w:rPr>
        <w:b/>
        <w:color w:val="FFFFFF"/>
      </w:rPr>
      <w:tblPr/>
      <w:tcPr>
        <w:shd w:val="clear" w:color="auto" w:fill="A5A5A5"/>
      </w:tcPr>
    </w:tblStylePr>
    <w:tblStylePr w:type="lastRow">
      <w:rPr>
        <w:b/>
      </w:rPr>
      <w:tblPr/>
      <w:tcPr>
        <w:tcBorders>
          <w:top w:val="single" w:sz="4" w:space="0" w:color="A5A5A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A5A5A5"/>
          <w:left w:val="nil"/>
        </w:tcBorders>
      </w:tcPr>
    </w:tblStylePr>
    <w:tblStylePr w:type="swCell">
      <w:tblPr/>
      <w:tcPr>
        <w:tcBorders>
          <w:top w:val="single" w:sz="4" w:space="0" w:color="A5A5A5"/>
          <w:right w:val="nil"/>
        </w:tcBorders>
      </w:tcPr>
    </w:tblStylePr>
  </w:style>
  <w:style w:type="table" w:customStyle="1" w:styleId="a3">
    <w:basedOn w:val="TableNormal"/>
    <w:tblPr>
      <w:tblStyleRowBandSize w:val="1"/>
      <w:tblStyleColBandSize w:val="1"/>
    </w:tblPr>
    <w:tblStylePr w:type="firstRow">
      <w:rPr>
        <w:b/>
        <w:color w:val="FFFFFF"/>
      </w:rPr>
      <w:tblPr/>
      <w:tcPr>
        <w:shd w:val="clear" w:color="auto" w:fill="A5A5A5"/>
      </w:tcPr>
    </w:tblStylePr>
    <w:tblStylePr w:type="lastRow">
      <w:rPr>
        <w:b/>
      </w:rPr>
      <w:tblPr/>
      <w:tcPr>
        <w:tcBorders>
          <w:top w:val="single" w:sz="4" w:space="0" w:color="A5A5A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A5A5A5"/>
          <w:left w:val="nil"/>
        </w:tcBorders>
      </w:tcPr>
    </w:tblStylePr>
    <w:tblStylePr w:type="swCell">
      <w:tblPr/>
      <w:tcPr>
        <w:tcBorders>
          <w:top w:val="single" w:sz="4" w:space="0" w:color="A5A5A5"/>
          <w:right w:val="nil"/>
        </w:tcBorders>
      </w:tcPr>
    </w:tblStylePr>
  </w:style>
  <w:style w:type="table" w:customStyle="1" w:styleId="a4">
    <w:basedOn w:val="TableNormal"/>
    <w:tblPr>
      <w:tblStyleRowBandSize w:val="1"/>
      <w:tblStyleColBandSize w:val="1"/>
    </w:tblPr>
    <w:tblStylePr w:type="firstRow">
      <w:rPr>
        <w:b/>
        <w:color w:val="FFFFFF"/>
      </w:rPr>
      <w:tblPr/>
      <w:tcPr>
        <w:shd w:val="clear" w:color="auto" w:fill="A5A5A5"/>
      </w:tcPr>
    </w:tblStylePr>
    <w:tblStylePr w:type="lastRow">
      <w:rPr>
        <w:b/>
      </w:rPr>
      <w:tblPr/>
      <w:tcPr>
        <w:tcBorders>
          <w:top w:val="single" w:sz="4" w:space="0" w:color="A5A5A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A5A5A5"/>
          <w:left w:val="nil"/>
        </w:tcBorders>
      </w:tcPr>
    </w:tblStylePr>
    <w:tblStylePr w:type="swCell">
      <w:tblPr/>
      <w:tcPr>
        <w:tcBorders>
          <w:top w:val="single" w:sz="4" w:space="0" w:color="A5A5A5"/>
          <w:right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3C1410"/>
  </w:style>
  <w:style w:type="paragraph" w:styleId="Bibliography">
    <w:name w:val="Bibliography"/>
    <w:basedOn w:val="Normal"/>
    <w:next w:val="Normal"/>
    <w:uiPriority w:val="37"/>
    <w:semiHidden/>
    <w:unhideWhenUsed/>
    <w:rsid w:val="00D43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19</Pages>
  <Words>4770</Words>
  <Characters>27192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Barber</dc:creator>
  <cp:lastModifiedBy>Rob Barber</cp:lastModifiedBy>
  <cp:revision>6</cp:revision>
  <dcterms:created xsi:type="dcterms:W3CDTF">2023-08-25T14:45:00Z</dcterms:created>
  <dcterms:modified xsi:type="dcterms:W3CDTF">2023-08-25T15:56:00Z</dcterms:modified>
</cp:coreProperties>
</file>