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A32559" w14:textId="77777777" w:rsidR="001E6400" w:rsidRDefault="001E6400" w:rsidP="001E6400">
      <w:pPr>
        <w:spacing w:line="360" w:lineRule="auto"/>
        <w:jc w:val="both"/>
        <w:rPr>
          <w:rFonts w:ascii="Cambria" w:eastAsia="Cambria" w:hAnsi="Cambria" w:cs="Cambria"/>
          <w:b/>
          <w:sz w:val="24"/>
          <w:szCs w:val="24"/>
        </w:rPr>
      </w:pPr>
      <w:r>
        <w:rPr>
          <w:rFonts w:ascii="Cambria" w:eastAsia="Cambria" w:hAnsi="Cambria" w:cs="Cambria"/>
          <w:b/>
          <w:sz w:val="24"/>
          <w:szCs w:val="24"/>
        </w:rPr>
        <w:t>Extended data</w:t>
      </w:r>
    </w:p>
    <w:p w14:paraId="16DC9543" w14:textId="77777777" w:rsidR="001E6400" w:rsidRDefault="001E6400" w:rsidP="001E6400">
      <w:pPr>
        <w:spacing w:line="360" w:lineRule="auto"/>
        <w:rPr>
          <w:rFonts w:ascii="Cambria" w:eastAsia="Cambria" w:hAnsi="Cambria" w:cs="Cambria"/>
          <w:color w:val="353740"/>
          <w:sz w:val="24"/>
          <w:szCs w:val="24"/>
        </w:rPr>
      </w:pPr>
      <w:r>
        <w:rPr>
          <w:rFonts w:ascii="Cambria" w:eastAsia="Cambria" w:hAnsi="Cambria" w:cs="Cambria"/>
          <w:b/>
          <w:sz w:val="24"/>
          <w:szCs w:val="24"/>
        </w:rPr>
        <w:t>Extended Data Table 1.</w:t>
      </w:r>
      <w:r>
        <w:rPr>
          <w:rFonts w:ascii="Cambria" w:eastAsia="Cambria" w:hAnsi="Cambria" w:cs="Cambria"/>
          <w:sz w:val="24"/>
          <w:szCs w:val="24"/>
        </w:rPr>
        <w:t xml:space="preserve"> </w:t>
      </w:r>
      <w:r>
        <w:rPr>
          <w:rFonts w:ascii="Cambria" w:eastAsia="Cambria" w:hAnsi="Cambria" w:cs="Cambria"/>
          <w:b/>
          <w:sz w:val="24"/>
          <w:szCs w:val="24"/>
        </w:rPr>
        <w:t>Criteria for scoring the intensity of sexual selection in birds</w:t>
      </w:r>
      <w:r>
        <w:rPr>
          <w:rFonts w:ascii="Cambria" w:eastAsia="Cambria" w:hAnsi="Cambria" w:cs="Cambria"/>
          <w:sz w:val="24"/>
          <w:szCs w:val="24"/>
        </w:rPr>
        <w:t xml:space="preserve">. All species were scored from literature by applying this classification system to textual descriptions of mating systems and breeding behaviour, including territoriality and offspring provisioning roles. By our definition, </w:t>
      </w:r>
      <w:r>
        <w:rPr>
          <w:rFonts w:ascii="Cambria" w:eastAsia="Cambria" w:hAnsi="Cambria" w:cs="Cambria"/>
          <w:color w:val="000000"/>
          <w:sz w:val="24"/>
          <w:szCs w:val="24"/>
        </w:rPr>
        <w:t xml:space="preserve">monogamy involves both sexes maintaining the same breeding partner for the duration of a reproductive event or season, and thus includes both sequential and perennial (lifelong) monogamy.  Where available, we used quantitative estimates of polygamy, EPP and OSR to refine our scores. </w:t>
      </w:r>
      <w:r>
        <w:rPr>
          <w:rFonts w:ascii="Cambria" w:eastAsia="Cambria" w:hAnsi="Cambria" w:cs="Cambria"/>
          <w:sz w:val="24"/>
          <w:szCs w:val="24"/>
        </w:rPr>
        <w:t xml:space="preserve">The quantitative thresholds used for scores 0–3 </w:t>
      </w:r>
      <w:proofErr w:type="gramStart"/>
      <w:r>
        <w:rPr>
          <w:rFonts w:ascii="Cambria" w:eastAsia="Cambria" w:hAnsi="Cambria" w:cs="Cambria"/>
          <w:sz w:val="24"/>
          <w:szCs w:val="24"/>
        </w:rPr>
        <w:t>were</w:t>
      </w:r>
      <w:proofErr w:type="gramEnd"/>
      <w:r>
        <w:rPr>
          <w:rFonts w:ascii="Cambria" w:eastAsia="Cambria" w:hAnsi="Cambria" w:cs="Cambria"/>
          <w:sz w:val="24"/>
          <w:szCs w:val="24"/>
        </w:rPr>
        <w:t xml:space="preserve"> based on previous studies (Verner &amp; Willson 1966; </w:t>
      </w:r>
      <w:proofErr w:type="spellStart"/>
      <w:r>
        <w:rPr>
          <w:rFonts w:ascii="Cambria" w:eastAsia="Cambria" w:hAnsi="Cambria" w:cs="Cambria"/>
          <w:sz w:val="24"/>
          <w:szCs w:val="24"/>
        </w:rPr>
        <w:t>Møller</w:t>
      </w:r>
      <w:proofErr w:type="spellEnd"/>
      <w:r>
        <w:rPr>
          <w:rFonts w:ascii="Cambria" w:eastAsia="Cambria" w:hAnsi="Cambria" w:cs="Cambria"/>
          <w:sz w:val="24"/>
          <w:szCs w:val="24"/>
        </w:rPr>
        <w:t xml:space="preserve"> 1986; Owens &amp; Hartley 1998). Scores for all species are presented in Supplementary Dataset 1 along with literature sources and estimates of data certainty (see Extended Data Table 2). </w:t>
      </w:r>
    </w:p>
    <w:p w14:paraId="2756DB39" w14:textId="77777777" w:rsidR="001E6400" w:rsidRDefault="001E6400" w:rsidP="001E6400">
      <w:pPr>
        <w:suppressLineNumbers/>
        <w:pBdr>
          <w:top w:val="nil"/>
          <w:left w:val="nil"/>
          <w:bottom w:val="nil"/>
          <w:right w:val="nil"/>
          <w:between w:val="nil"/>
        </w:pBdr>
        <w:spacing w:after="0" w:line="360" w:lineRule="auto"/>
        <w:rPr>
          <w:rFonts w:ascii="Cambria" w:eastAsia="Cambria" w:hAnsi="Cambria" w:cs="Cambria"/>
          <w:color w:val="000000"/>
          <w:sz w:val="24"/>
          <w:szCs w:val="24"/>
        </w:rPr>
      </w:pPr>
    </w:p>
    <w:tbl>
      <w:tblPr>
        <w:tblW w:w="9040" w:type="dxa"/>
        <w:tblBorders>
          <w:top w:val="nil"/>
          <w:left w:val="nil"/>
          <w:bottom w:val="nil"/>
          <w:right w:val="nil"/>
        </w:tblBorders>
        <w:tblLayout w:type="fixed"/>
        <w:tblLook w:val="04A0" w:firstRow="1" w:lastRow="0" w:firstColumn="1" w:lastColumn="0" w:noHBand="0" w:noVBand="1"/>
      </w:tblPr>
      <w:tblGrid>
        <w:gridCol w:w="827"/>
        <w:gridCol w:w="8213"/>
      </w:tblGrid>
      <w:tr w:rsidR="001E6400" w14:paraId="4CE6D3F3" w14:textId="77777777" w:rsidTr="000B7681">
        <w:trPr>
          <w:trHeight w:val="283"/>
        </w:trPr>
        <w:tc>
          <w:tcPr>
            <w:tcW w:w="827" w:type="dxa"/>
            <w:tcBorders>
              <w:bottom w:val="single" w:sz="4" w:space="0" w:color="000000"/>
            </w:tcBorders>
            <w:shd w:val="clear" w:color="auto" w:fill="auto"/>
            <w:vAlign w:val="bottom"/>
          </w:tcPr>
          <w:p w14:paraId="4A24CFCE" w14:textId="77777777" w:rsidR="001E6400" w:rsidRDefault="001E6400" w:rsidP="000B7681">
            <w:pPr>
              <w:spacing w:line="360" w:lineRule="auto"/>
              <w:jc w:val="center"/>
              <w:rPr>
                <w:rFonts w:ascii="Cambria" w:eastAsia="Cambria" w:hAnsi="Cambria" w:cs="Cambria"/>
                <w:color w:val="000000"/>
                <w:sz w:val="24"/>
                <w:szCs w:val="24"/>
              </w:rPr>
            </w:pPr>
            <w:r>
              <w:rPr>
                <w:rFonts w:ascii="Cambria" w:eastAsia="Cambria" w:hAnsi="Cambria" w:cs="Cambria"/>
                <w:color w:val="000000"/>
                <w:sz w:val="24"/>
                <w:szCs w:val="24"/>
              </w:rPr>
              <w:t>Score</w:t>
            </w:r>
          </w:p>
        </w:tc>
        <w:tc>
          <w:tcPr>
            <w:tcW w:w="8213" w:type="dxa"/>
            <w:tcBorders>
              <w:bottom w:val="single" w:sz="4" w:space="0" w:color="000000"/>
            </w:tcBorders>
            <w:shd w:val="clear" w:color="auto" w:fill="auto"/>
            <w:vAlign w:val="bottom"/>
          </w:tcPr>
          <w:p w14:paraId="0144F139" w14:textId="77777777" w:rsidR="001E6400" w:rsidRDefault="001E6400" w:rsidP="000B7681">
            <w:pPr>
              <w:spacing w:line="360" w:lineRule="auto"/>
              <w:rPr>
                <w:rFonts w:ascii="Cambria" w:eastAsia="Cambria" w:hAnsi="Cambria" w:cs="Cambria"/>
                <w:color w:val="000000"/>
                <w:sz w:val="24"/>
                <w:szCs w:val="24"/>
              </w:rPr>
            </w:pPr>
            <w:r>
              <w:rPr>
                <w:rFonts w:ascii="Cambria" w:eastAsia="Cambria" w:hAnsi="Cambria" w:cs="Cambria"/>
                <w:color w:val="000000"/>
                <w:sz w:val="24"/>
                <w:szCs w:val="24"/>
              </w:rPr>
              <w:t>Criteria</w:t>
            </w:r>
          </w:p>
        </w:tc>
      </w:tr>
      <w:tr w:rsidR="001E6400" w14:paraId="54C15F74" w14:textId="77777777" w:rsidTr="000B7681">
        <w:trPr>
          <w:trHeight w:val="397"/>
        </w:trPr>
        <w:tc>
          <w:tcPr>
            <w:tcW w:w="827" w:type="dxa"/>
            <w:tcBorders>
              <w:top w:val="single" w:sz="4" w:space="0" w:color="000000"/>
              <w:bottom w:val="single" w:sz="4" w:space="0" w:color="000000"/>
            </w:tcBorders>
            <w:vAlign w:val="center"/>
          </w:tcPr>
          <w:p w14:paraId="4E5DEC9E" w14:textId="77777777" w:rsidR="001E6400" w:rsidRDefault="001E6400" w:rsidP="000B7681">
            <w:pPr>
              <w:spacing w:line="360" w:lineRule="auto"/>
              <w:jc w:val="center"/>
              <w:rPr>
                <w:rFonts w:ascii="Cambria" w:eastAsia="Cambria" w:hAnsi="Cambria" w:cs="Cambria"/>
                <w:sz w:val="24"/>
                <w:szCs w:val="24"/>
              </w:rPr>
            </w:pPr>
            <w:r>
              <w:rPr>
                <w:rFonts w:ascii="Cambria" w:eastAsia="Cambria" w:hAnsi="Cambria" w:cs="Cambria"/>
                <w:sz w:val="24"/>
                <w:szCs w:val="24"/>
              </w:rPr>
              <w:t>0</w:t>
            </w:r>
          </w:p>
        </w:tc>
        <w:tc>
          <w:tcPr>
            <w:tcW w:w="8213" w:type="dxa"/>
            <w:tcBorders>
              <w:top w:val="single" w:sz="4" w:space="0" w:color="000000"/>
              <w:bottom w:val="single" w:sz="4" w:space="0" w:color="000000"/>
            </w:tcBorders>
          </w:tcPr>
          <w:p w14:paraId="044B3874" w14:textId="77777777" w:rsidR="001E6400" w:rsidRDefault="001E6400" w:rsidP="000B7681">
            <w:pPr>
              <w:spacing w:line="360" w:lineRule="auto"/>
              <w:rPr>
                <w:rFonts w:ascii="Cambria" w:eastAsia="Cambria" w:hAnsi="Cambria" w:cs="Cambria"/>
                <w:color w:val="000000"/>
                <w:sz w:val="24"/>
                <w:szCs w:val="24"/>
              </w:rPr>
            </w:pPr>
            <w:r>
              <w:rPr>
                <w:rFonts w:ascii="Cambria" w:eastAsia="Cambria" w:hAnsi="Cambria" w:cs="Cambria"/>
                <w:color w:val="000000"/>
                <w:sz w:val="24"/>
                <w:szCs w:val="24"/>
              </w:rPr>
              <w:t>Strict monogamy, including extreme low rates (&lt;0.1%) of individual polygamy and &lt;5% extra-pair paternity (EPP).</w:t>
            </w:r>
          </w:p>
        </w:tc>
      </w:tr>
      <w:tr w:rsidR="001E6400" w14:paraId="6D7A995C" w14:textId="77777777" w:rsidTr="000B7681">
        <w:trPr>
          <w:trHeight w:val="397"/>
        </w:trPr>
        <w:tc>
          <w:tcPr>
            <w:tcW w:w="827" w:type="dxa"/>
            <w:tcBorders>
              <w:top w:val="single" w:sz="4" w:space="0" w:color="000000"/>
              <w:bottom w:val="single" w:sz="4" w:space="0" w:color="000000"/>
            </w:tcBorders>
            <w:vAlign w:val="center"/>
          </w:tcPr>
          <w:p w14:paraId="1977D084" w14:textId="77777777" w:rsidR="001E6400" w:rsidRDefault="001E6400" w:rsidP="000B7681">
            <w:pPr>
              <w:spacing w:line="360" w:lineRule="auto"/>
              <w:jc w:val="center"/>
              <w:rPr>
                <w:rFonts w:ascii="Cambria" w:eastAsia="Cambria" w:hAnsi="Cambria" w:cs="Cambria"/>
                <w:sz w:val="24"/>
                <w:szCs w:val="24"/>
              </w:rPr>
            </w:pPr>
            <w:r>
              <w:rPr>
                <w:rFonts w:ascii="Cambria" w:eastAsia="Cambria" w:hAnsi="Cambria" w:cs="Cambria"/>
                <w:sz w:val="24"/>
                <w:szCs w:val="24"/>
              </w:rPr>
              <w:t>1</w:t>
            </w:r>
          </w:p>
        </w:tc>
        <w:tc>
          <w:tcPr>
            <w:tcW w:w="8213" w:type="dxa"/>
            <w:tcBorders>
              <w:top w:val="single" w:sz="4" w:space="0" w:color="000000"/>
              <w:bottom w:val="single" w:sz="4" w:space="0" w:color="000000"/>
            </w:tcBorders>
          </w:tcPr>
          <w:p w14:paraId="24871698" w14:textId="77777777" w:rsidR="001E6400" w:rsidRDefault="001E6400" w:rsidP="000B7681">
            <w:pPr>
              <w:spacing w:line="360" w:lineRule="auto"/>
              <w:rPr>
                <w:rFonts w:ascii="Cambria" w:eastAsia="Cambria" w:hAnsi="Cambria" w:cs="Cambria"/>
                <w:color w:val="000000"/>
                <w:sz w:val="24"/>
                <w:szCs w:val="24"/>
              </w:rPr>
            </w:pPr>
            <w:r>
              <w:rPr>
                <w:rFonts w:ascii="Cambria" w:eastAsia="Cambria" w:hAnsi="Cambria" w:cs="Cambria"/>
                <w:color w:val="000000"/>
                <w:sz w:val="24"/>
                <w:szCs w:val="24"/>
              </w:rPr>
              <w:t xml:space="preserve">Frequent monogamy, including relatively low rates (0.1–5%) of individual polygamy and &lt;25% EPP. Species with occasional or anecdotal records of polygamy were assigned this score. </w:t>
            </w:r>
          </w:p>
        </w:tc>
      </w:tr>
      <w:tr w:rsidR="001E6400" w14:paraId="1890FF3A" w14:textId="77777777" w:rsidTr="000B7681">
        <w:trPr>
          <w:trHeight w:val="397"/>
        </w:trPr>
        <w:tc>
          <w:tcPr>
            <w:tcW w:w="827" w:type="dxa"/>
            <w:tcBorders>
              <w:top w:val="single" w:sz="4" w:space="0" w:color="000000"/>
              <w:bottom w:val="single" w:sz="4" w:space="0" w:color="000000"/>
            </w:tcBorders>
            <w:vAlign w:val="center"/>
          </w:tcPr>
          <w:p w14:paraId="135A5DF4" w14:textId="77777777" w:rsidR="001E6400" w:rsidRDefault="001E6400" w:rsidP="000B7681">
            <w:pPr>
              <w:spacing w:line="360" w:lineRule="auto"/>
              <w:jc w:val="center"/>
              <w:rPr>
                <w:rFonts w:ascii="Cambria" w:eastAsia="Cambria" w:hAnsi="Cambria" w:cs="Cambria"/>
                <w:sz w:val="24"/>
                <w:szCs w:val="24"/>
              </w:rPr>
            </w:pPr>
            <w:r>
              <w:rPr>
                <w:rFonts w:ascii="Cambria" w:eastAsia="Cambria" w:hAnsi="Cambria" w:cs="Cambria"/>
                <w:sz w:val="24"/>
                <w:szCs w:val="24"/>
              </w:rPr>
              <w:t>2</w:t>
            </w:r>
          </w:p>
        </w:tc>
        <w:tc>
          <w:tcPr>
            <w:tcW w:w="8213" w:type="dxa"/>
            <w:tcBorders>
              <w:top w:val="single" w:sz="4" w:space="0" w:color="000000"/>
              <w:bottom w:val="single" w:sz="4" w:space="0" w:color="000000"/>
            </w:tcBorders>
          </w:tcPr>
          <w:p w14:paraId="0CD3131D" w14:textId="77777777" w:rsidR="001E6400" w:rsidRDefault="001E6400" w:rsidP="000B7681">
            <w:pPr>
              <w:spacing w:line="360" w:lineRule="auto"/>
              <w:rPr>
                <w:rFonts w:ascii="Cambria" w:eastAsia="Cambria" w:hAnsi="Cambria" w:cs="Cambria"/>
                <w:color w:val="000000"/>
                <w:sz w:val="24"/>
                <w:szCs w:val="24"/>
              </w:rPr>
            </w:pPr>
            <w:r>
              <w:rPr>
                <w:rFonts w:ascii="Cambria" w:eastAsia="Cambria" w:hAnsi="Cambria" w:cs="Cambria"/>
                <w:color w:val="000000"/>
                <w:sz w:val="24"/>
                <w:szCs w:val="24"/>
              </w:rPr>
              <w:t>Regular polygamy, including cases with multiple records of polygamy. Where empirical data are available, this score was applied to species with 5–20% of individuals polygamous. This score was also applied to species with 25–50% EPP, or highly skew in operational sex ratio (OSR).</w:t>
            </w:r>
          </w:p>
        </w:tc>
      </w:tr>
      <w:tr w:rsidR="001E6400" w14:paraId="17EC63B6" w14:textId="77777777" w:rsidTr="000B7681">
        <w:trPr>
          <w:trHeight w:val="397"/>
        </w:trPr>
        <w:tc>
          <w:tcPr>
            <w:tcW w:w="827" w:type="dxa"/>
            <w:tcBorders>
              <w:top w:val="single" w:sz="4" w:space="0" w:color="000000"/>
              <w:bottom w:val="single" w:sz="4" w:space="0" w:color="000000"/>
            </w:tcBorders>
            <w:vAlign w:val="center"/>
          </w:tcPr>
          <w:p w14:paraId="0D9C16AF" w14:textId="77777777" w:rsidR="001E6400" w:rsidRDefault="001E6400" w:rsidP="000B7681">
            <w:pPr>
              <w:spacing w:line="360" w:lineRule="auto"/>
              <w:jc w:val="center"/>
              <w:rPr>
                <w:rFonts w:ascii="Cambria" w:eastAsia="Cambria" w:hAnsi="Cambria" w:cs="Cambria"/>
                <w:sz w:val="24"/>
                <w:szCs w:val="24"/>
              </w:rPr>
            </w:pPr>
            <w:r>
              <w:rPr>
                <w:rFonts w:ascii="Cambria" w:eastAsia="Cambria" w:hAnsi="Cambria" w:cs="Cambria"/>
                <w:sz w:val="24"/>
                <w:szCs w:val="24"/>
              </w:rPr>
              <w:t>3</w:t>
            </w:r>
          </w:p>
        </w:tc>
        <w:tc>
          <w:tcPr>
            <w:tcW w:w="8213" w:type="dxa"/>
            <w:tcBorders>
              <w:top w:val="single" w:sz="4" w:space="0" w:color="000000"/>
              <w:bottom w:val="single" w:sz="4" w:space="0" w:color="000000"/>
            </w:tcBorders>
          </w:tcPr>
          <w:p w14:paraId="381EFD68" w14:textId="77777777" w:rsidR="001E6400" w:rsidRDefault="001E6400" w:rsidP="000B7681">
            <w:pPr>
              <w:spacing w:line="360" w:lineRule="auto"/>
              <w:rPr>
                <w:rFonts w:ascii="Cambria" w:eastAsia="Cambria" w:hAnsi="Cambria" w:cs="Cambria"/>
                <w:color w:val="000000"/>
                <w:sz w:val="24"/>
                <w:szCs w:val="24"/>
              </w:rPr>
            </w:pPr>
            <w:r>
              <w:rPr>
                <w:rFonts w:ascii="Cambria" w:eastAsia="Cambria" w:hAnsi="Cambria" w:cs="Cambria"/>
                <w:color w:val="000000"/>
                <w:sz w:val="24"/>
                <w:szCs w:val="24"/>
              </w:rPr>
              <w:t>Frequent polygamy with &gt;20% of individuals polygamous or very high rates of EPP (&gt;50% of offspring) or extremely skewed OSR.</w:t>
            </w:r>
          </w:p>
        </w:tc>
      </w:tr>
      <w:tr w:rsidR="001E6400" w14:paraId="5A328CB7" w14:textId="77777777" w:rsidTr="000B7681">
        <w:trPr>
          <w:trHeight w:val="397"/>
        </w:trPr>
        <w:tc>
          <w:tcPr>
            <w:tcW w:w="827" w:type="dxa"/>
            <w:tcBorders>
              <w:top w:val="single" w:sz="4" w:space="0" w:color="000000"/>
              <w:bottom w:val="single" w:sz="4" w:space="0" w:color="000000"/>
            </w:tcBorders>
            <w:shd w:val="clear" w:color="auto" w:fill="auto"/>
            <w:vAlign w:val="center"/>
          </w:tcPr>
          <w:p w14:paraId="62BA0A4B" w14:textId="77777777" w:rsidR="001E6400" w:rsidRDefault="001E6400" w:rsidP="000B7681">
            <w:pPr>
              <w:spacing w:line="360" w:lineRule="auto"/>
              <w:jc w:val="center"/>
              <w:rPr>
                <w:rFonts w:ascii="Cambria" w:eastAsia="Cambria" w:hAnsi="Cambria" w:cs="Cambria"/>
                <w:sz w:val="24"/>
                <w:szCs w:val="24"/>
              </w:rPr>
            </w:pPr>
            <w:r>
              <w:rPr>
                <w:rFonts w:ascii="Cambria" w:eastAsia="Cambria" w:hAnsi="Cambria" w:cs="Cambria"/>
                <w:sz w:val="24"/>
                <w:szCs w:val="24"/>
              </w:rPr>
              <w:t>4</w:t>
            </w:r>
          </w:p>
        </w:tc>
        <w:tc>
          <w:tcPr>
            <w:tcW w:w="8213" w:type="dxa"/>
            <w:tcBorders>
              <w:top w:val="single" w:sz="4" w:space="0" w:color="000000"/>
              <w:bottom w:val="single" w:sz="4" w:space="0" w:color="000000"/>
            </w:tcBorders>
          </w:tcPr>
          <w:p w14:paraId="1629BC89" w14:textId="77777777" w:rsidR="001E6400" w:rsidRDefault="001E6400" w:rsidP="000B7681">
            <w:pPr>
              <w:spacing w:line="360" w:lineRule="auto"/>
              <w:rPr>
                <w:rFonts w:ascii="Cambria" w:eastAsia="Cambria" w:hAnsi="Cambria" w:cs="Cambria"/>
                <w:color w:val="000000"/>
                <w:sz w:val="24"/>
                <w:szCs w:val="24"/>
              </w:rPr>
            </w:pPr>
            <w:r>
              <w:rPr>
                <w:rFonts w:ascii="Cambria" w:eastAsia="Cambria" w:hAnsi="Cambria" w:cs="Cambria"/>
                <w:color w:val="000000"/>
                <w:sz w:val="24"/>
                <w:szCs w:val="24"/>
              </w:rPr>
              <w:t>Extreme polygamy characterized by communal display (lekking) behaviour or permanent display posts used by solitary individuals. This score was not assigned according to levels of polygamy, EPP or OSR.</w:t>
            </w:r>
          </w:p>
        </w:tc>
      </w:tr>
    </w:tbl>
    <w:p w14:paraId="604D241E" w14:textId="77777777" w:rsidR="001E6400" w:rsidRDefault="001E6400" w:rsidP="001E6400">
      <w:pPr>
        <w:suppressLineNumbers/>
        <w:spacing w:line="360" w:lineRule="auto"/>
        <w:rPr>
          <w:rFonts w:ascii="Cambria" w:eastAsia="Cambria" w:hAnsi="Cambria" w:cs="Cambria"/>
          <w:color w:val="353740"/>
          <w:sz w:val="24"/>
          <w:szCs w:val="24"/>
        </w:rPr>
      </w:pPr>
      <w:r>
        <w:br w:type="page"/>
      </w:r>
    </w:p>
    <w:p w14:paraId="0A6F725C" w14:textId="77777777" w:rsidR="001E6400" w:rsidRDefault="001E6400" w:rsidP="001E6400">
      <w:pPr>
        <w:spacing w:line="360" w:lineRule="auto"/>
        <w:rPr>
          <w:rFonts w:ascii="Cambria" w:eastAsia="Cambria" w:hAnsi="Cambria" w:cs="Cambria"/>
          <w:sz w:val="24"/>
          <w:szCs w:val="24"/>
        </w:rPr>
      </w:pPr>
      <w:r>
        <w:rPr>
          <w:rFonts w:ascii="Cambria" w:eastAsia="Cambria" w:hAnsi="Cambria" w:cs="Cambria"/>
          <w:b/>
          <w:sz w:val="24"/>
          <w:szCs w:val="24"/>
        </w:rPr>
        <w:lastRenderedPageBreak/>
        <w:t>Extended Data Table 2.</w:t>
      </w:r>
      <w:r>
        <w:rPr>
          <w:rFonts w:ascii="Cambria" w:eastAsia="Cambria" w:hAnsi="Cambria" w:cs="Cambria"/>
          <w:sz w:val="24"/>
          <w:szCs w:val="24"/>
        </w:rPr>
        <w:t xml:space="preserve"> </w:t>
      </w:r>
      <w:r>
        <w:rPr>
          <w:rFonts w:ascii="Cambria" w:eastAsia="Cambria" w:hAnsi="Cambria" w:cs="Cambria"/>
          <w:b/>
          <w:sz w:val="24"/>
          <w:szCs w:val="24"/>
        </w:rPr>
        <w:t>Scoring system for assigning</w:t>
      </w:r>
      <w:r>
        <w:rPr>
          <w:rFonts w:ascii="Cambria" w:eastAsia="Cambria" w:hAnsi="Cambria" w:cs="Cambria"/>
          <w:sz w:val="24"/>
          <w:szCs w:val="24"/>
        </w:rPr>
        <w:t xml:space="preserve"> </w:t>
      </w:r>
      <w:r>
        <w:rPr>
          <w:rFonts w:ascii="Cambria" w:eastAsia="Cambria" w:hAnsi="Cambria" w:cs="Cambria"/>
          <w:b/>
          <w:sz w:val="24"/>
          <w:szCs w:val="24"/>
        </w:rPr>
        <w:t>data certainty to estimates of sexual selection in birds</w:t>
      </w:r>
      <w:r>
        <w:rPr>
          <w:rFonts w:ascii="Cambria" w:eastAsia="Cambria" w:hAnsi="Cambria" w:cs="Cambria"/>
          <w:sz w:val="24"/>
          <w:szCs w:val="24"/>
        </w:rPr>
        <w:t xml:space="preserve">. Bird species vary from well-known to almost entirely unknown in life, creating potential biases in knowledge. To account for this, we applied a classification system to quantify the availability of information relevant to the scoring procedure for estimating levels of sexual selection in each species. This classification system is adapted from Tobias </w:t>
      </w:r>
      <w:r>
        <w:rPr>
          <w:rFonts w:ascii="Cambria" w:eastAsia="Cambria" w:hAnsi="Cambria" w:cs="Cambria"/>
          <w:i/>
          <w:sz w:val="24"/>
          <w:szCs w:val="24"/>
        </w:rPr>
        <w:t xml:space="preserve">et al. </w:t>
      </w:r>
      <w:r>
        <w:rPr>
          <w:rFonts w:ascii="Cambria" w:eastAsia="Cambria" w:hAnsi="Cambria" w:cs="Cambria"/>
          <w:sz w:val="24"/>
          <w:szCs w:val="24"/>
        </w:rPr>
        <w:t xml:space="preserve">(2016). </w:t>
      </w:r>
    </w:p>
    <w:p w14:paraId="7082F6A1" w14:textId="77777777" w:rsidR="001E6400" w:rsidRDefault="001E6400" w:rsidP="001E6400">
      <w:pPr>
        <w:suppressLineNumbers/>
        <w:pBdr>
          <w:top w:val="nil"/>
          <w:left w:val="nil"/>
          <w:bottom w:val="nil"/>
          <w:right w:val="nil"/>
          <w:between w:val="nil"/>
        </w:pBdr>
        <w:spacing w:after="0" w:line="360" w:lineRule="auto"/>
        <w:rPr>
          <w:rFonts w:ascii="Cambria" w:eastAsia="Cambria" w:hAnsi="Cambria" w:cs="Cambria"/>
          <w:color w:val="353740"/>
          <w:sz w:val="24"/>
          <w:szCs w:val="24"/>
        </w:rPr>
      </w:pPr>
    </w:p>
    <w:tbl>
      <w:tblPr>
        <w:tblW w:w="9781" w:type="dxa"/>
        <w:tblBorders>
          <w:top w:val="nil"/>
          <w:left w:val="nil"/>
          <w:bottom w:val="nil"/>
          <w:right w:val="nil"/>
        </w:tblBorders>
        <w:tblLayout w:type="fixed"/>
        <w:tblLook w:val="04A0" w:firstRow="1" w:lastRow="0" w:firstColumn="1" w:lastColumn="0" w:noHBand="0" w:noVBand="1"/>
      </w:tblPr>
      <w:tblGrid>
        <w:gridCol w:w="827"/>
        <w:gridCol w:w="8224"/>
        <w:gridCol w:w="730"/>
      </w:tblGrid>
      <w:tr w:rsidR="001E6400" w14:paraId="194B38C0" w14:textId="77777777" w:rsidTr="000B7681">
        <w:trPr>
          <w:gridAfter w:val="1"/>
          <w:wAfter w:w="730" w:type="dxa"/>
          <w:trHeight w:val="283"/>
        </w:trPr>
        <w:tc>
          <w:tcPr>
            <w:tcW w:w="827" w:type="dxa"/>
            <w:tcBorders>
              <w:bottom w:val="single" w:sz="4" w:space="0" w:color="000000"/>
            </w:tcBorders>
            <w:shd w:val="clear" w:color="auto" w:fill="auto"/>
            <w:vAlign w:val="bottom"/>
          </w:tcPr>
          <w:p w14:paraId="6B3C7C11" w14:textId="77777777" w:rsidR="001E6400" w:rsidRDefault="001E6400" w:rsidP="000B7681">
            <w:pPr>
              <w:spacing w:line="360" w:lineRule="auto"/>
              <w:jc w:val="center"/>
              <w:rPr>
                <w:rFonts w:ascii="Cambria" w:eastAsia="Cambria" w:hAnsi="Cambria" w:cs="Cambria"/>
                <w:color w:val="000000"/>
                <w:sz w:val="24"/>
                <w:szCs w:val="24"/>
              </w:rPr>
            </w:pPr>
            <w:r>
              <w:rPr>
                <w:rFonts w:ascii="Cambria" w:eastAsia="Cambria" w:hAnsi="Cambria" w:cs="Cambria"/>
                <w:color w:val="000000"/>
                <w:sz w:val="24"/>
                <w:szCs w:val="24"/>
              </w:rPr>
              <w:t>Score</w:t>
            </w:r>
          </w:p>
        </w:tc>
        <w:tc>
          <w:tcPr>
            <w:tcW w:w="8224" w:type="dxa"/>
            <w:tcBorders>
              <w:bottom w:val="single" w:sz="4" w:space="0" w:color="000000"/>
            </w:tcBorders>
            <w:shd w:val="clear" w:color="auto" w:fill="auto"/>
            <w:vAlign w:val="bottom"/>
          </w:tcPr>
          <w:p w14:paraId="0A708281" w14:textId="77777777" w:rsidR="001E6400" w:rsidRDefault="001E6400" w:rsidP="000B7681">
            <w:pPr>
              <w:spacing w:line="360" w:lineRule="auto"/>
              <w:rPr>
                <w:rFonts w:ascii="Cambria" w:eastAsia="Cambria" w:hAnsi="Cambria" w:cs="Cambria"/>
                <w:color w:val="000000"/>
                <w:sz w:val="24"/>
                <w:szCs w:val="24"/>
              </w:rPr>
            </w:pPr>
            <w:r>
              <w:rPr>
                <w:rFonts w:ascii="Cambria" w:eastAsia="Cambria" w:hAnsi="Cambria" w:cs="Cambria"/>
                <w:color w:val="000000"/>
                <w:sz w:val="24"/>
                <w:szCs w:val="24"/>
              </w:rPr>
              <w:t>Criteria</w:t>
            </w:r>
          </w:p>
        </w:tc>
      </w:tr>
      <w:tr w:rsidR="001E6400" w14:paraId="3C06656C" w14:textId="77777777" w:rsidTr="000B7681">
        <w:trPr>
          <w:gridAfter w:val="1"/>
          <w:wAfter w:w="730" w:type="dxa"/>
          <w:trHeight w:val="397"/>
        </w:trPr>
        <w:tc>
          <w:tcPr>
            <w:tcW w:w="827" w:type="dxa"/>
            <w:tcBorders>
              <w:top w:val="single" w:sz="4" w:space="0" w:color="000000"/>
              <w:bottom w:val="single" w:sz="4" w:space="0" w:color="000000"/>
            </w:tcBorders>
            <w:vAlign w:val="center"/>
          </w:tcPr>
          <w:p w14:paraId="75CCE5D4" w14:textId="77777777" w:rsidR="001E6400" w:rsidRDefault="001E6400" w:rsidP="000B7681">
            <w:pPr>
              <w:spacing w:line="360" w:lineRule="auto"/>
              <w:jc w:val="center"/>
              <w:rPr>
                <w:rFonts w:ascii="Cambria" w:eastAsia="Cambria" w:hAnsi="Cambria" w:cs="Cambria"/>
                <w:sz w:val="24"/>
                <w:szCs w:val="24"/>
              </w:rPr>
            </w:pPr>
            <w:r>
              <w:rPr>
                <w:rFonts w:ascii="Cambria" w:eastAsia="Cambria" w:hAnsi="Cambria" w:cs="Cambria"/>
                <w:sz w:val="24"/>
                <w:szCs w:val="24"/>
              </w:rPr>
              <w:t>1</w:t>
            </w:r>
          </w:p>
        </w:tc>
        <w:tc>
          <w:tcPr>
            <w:tcW w:w="8224" w:type="dxa"/>
            <w:tcBorders>
              <w:top w:val="single" w:sz="4" w:space="0" w:color="000000"/>
              <w:bottom w:val="single" w:sz="4" w:space="0" w:color="000000"/>
            </w:tcBorders>
          </w:tcPr>
          <w:p w14:paraId="5099EC2D" w14:textId="77777777" w:rsidR="001E6400" w:rsidRDefault="001E6400" w:rsidP="000B7681">
            <w:pPr>
              <w:spacing w:line="360" w:lineRule="auto"/>
              <w:rPr>
                <w:rFonts w:ascii="Cambria" w:eastAsia="Cambria" w:hAnsi="Cambria" w:cs="Cambria"/>
                <w:color w:val="000000"/>
                <w:sz w:val="24"/>
                <w:szCs w:val="24"/>
              </w:rPr>
            </w:pPr>
            <w:r>
              <w:rPr>
                <w:rFonts w:ascii="Cambria" w:eastAsia="Cambria" w:hAnsi="Cambria" w:cs="Cambria"/>
                <w:color w:val="000000"/>
                <w:sz w:val="24"/>
                <w:szCs w:val="24"/>
              </w:rPr>
              <w:t xml:space="preserve">No direct or indirect evidence, including a lack of clear information preventing inference from closely related species. This score is mainly restricted to extremely rare species with no close relative, or poorly known species occurring in taxonomic groups with no clear pattern in mating systems. </w:t>
            </w:r>
          </w:p>
        </w:tc>
      </w:tr>
      <w:tr w:rsidR="001E6400" w14:paraId="0E326F2D" w14:textId="77777777" w:rsidTr="000B7681">
        <w:trPr>
          <w:gridAfter w:val="1"/>
          <w:wAfter w:w="730" w:type="dxa"/>
          <w:trHeight w:val="397"/>
        </w:trPr>
        <w:tc>
          <w:tcPr>
            <w:tcW w:w="827" w:type="dxa"/>
            <w:tcBorders>
              <w:top w:val="single" w:sz="4" w:space="0" w:color="000000"/>
              <w:bottom w:val="single" w:sz="4" w:space="0" w:color="000000"/>
            </w:tcBorders>
            <w:vAlign w:val="center"/>
          </w:tcPr>
          <w:p w14:paraId="5C6DA95D" w14:textId="77777777" w:rsidR="001E6400" w:rsidRDefault="001E6400" w:rsidP="000B7681">
            <w:pPr>
              <w:spacing w:line="360" w:lineRule="auto"/>
              <w:jc w:val="center"/>
              <w:rPr>
                <w:rFonts w:ascii="Cambria" w:eastAsia="Cambria" w:hAnsi="Cambria" w:cs="Cambria"/>
                <w:sz w:val="24"/>
                <w:szCs w:val="24"/>
              </w:rPr>
            </w:pPr>
            <w:r>
              <w:rPr>
                <w:rFonts w:ascii="Cambria" w:eastAsia="Cambria" w:hAnsi="Cambria" w:cs="Cambria"/>
                <w:sz w:val="24"/>
                <w:szCs w:val="24"/>
              </w:rPr>
              <w:t>2</w:t>
            </w:r>
          </w:p>
        </w:tc>
        <w:tc>
          <w:tcPr>
            <w:tcW w:w="8224" w:type="dxa"/>
            <w:tcBorders>
              <w:top w:val="single" w:sz="4" w:space="0" w:color="000000"/>
              <w:bottom w:val="single" w:sz="4" w:space="0" w:color="000000"/>
            </w:tcBorders>
          </w:tcPr>
          <w:p w14:paraId="76073969" w14:textId="77777777" w:rsidR="001E6400" w:rsidRDefault="001E6400" w:rsidP="000B7681">
            <w:pPr>
              <w:spacing w:line="360" w:lineRule="auto"/>
              <w:rPr>
                <w:rFonts w:ascii="Cambria" w:eastAsia="Cambria" w:hAnsi="Cambria" w:cs="Cambria"/>
                <w:color w:val="000000"/>
                <w:sz w:val="24"/>
                <w:szCs w:val="24"/>
              </w:rPr>
            </w:pPr>
            <w:r>
              <w:rPr>
                <w:rFonts w:ascii="Cambria" w:eastAsia="Cambria" w:hAnsi="Cambria" w:cs="Cambria"/>
                <w:color w:val="000000"/>
                <w:sz w:val="24"/>
                <w:szCs w:val="24"/>
              </w:rPr>
              <w:t>Low levels of certainty due to conflicting evidence. This includes cases where inference from closely related species is complicated by high levels of variation in mating systems or where published evidence about mating systems is conflicting.</w:t>
            </w:r>
          </w:p>
        </w:tc>
      </w:tr>
      <w:tr w:rsidR="001E6400" w14:paraId="1AF9B83E" w14:textId="77777777" w:rsidTr="000B7681">
        <w:trPr>
          <w:gridAfter w:val="1"/>
          <w:wAfter w:w="730" w:type="dxa"/>
          <w:trHeight w:val="397"/>
        </w:trPr>
        <w:tc>
          <w:tcPr>
            <w:tcW w:w="827" w:type="dxa"/>
            <w:tcBorders>
              <w:top w:val="single" w:sz="4" w:space="0" w:color="000000"/>
              <w:bottom w:val="single" w:sz="4" w:space="0" w:color="000000"/>
            </w:tcBorders>
            <w:vAlign w:val="center"/>
          </w:tcPr>
          <w:p w14:paraId="3FDFD8E8" w14:textId="77777777" w:rsidR="001E6400" w:rsidRDefault="001E6400" w:rsidP="000B7681">
            <w:pPr>
              <w:spacing w:line="360" w:lineRule="auto"/>
              <w:jc w:val="center"/>
              <w:rPr>
                <w:rFonts w:ascii="Cambria" w:eastAsia="Cambria" w:hAnsi="Cambria" w:cs="Cambria"/>
                <w:sz w:val="24"/>
                <w:szCs w:val="24"/>
              </w:rPr>
            </w:pPr>
            <w:r>
              <w:rPr>
                <w:rFonts w:ascii="Cambria" w:eastAsia="Cambria" w:hAnsi="Cambria" w:cs="Cambria"/>
                <w:sz w:val="24"/>
                <w:szCs w:val="24"/>
              </w:rPr>
              <w:t>3</w:t>
            </w:r>
          </w:p>
        </w:tc>
        <w:tc>
          <w:tcPr>
            <w:tcW w:w="8224" w:type="dxa"/>
            <w:tcBorders>
              <w:top w:val="single" w:sz="4" w:space="0" w:color="000000"/>
              <w:bottom w:val="single" w:sz="4" w:space="0" w:color="000000"/>
            </w:tcBorders>
          </w:tcPr>
          <w:p w14:paraId="099101AB" w14:textId="77777777" w:rsidR="001E6400" w:rsidRDefault="001E6400" w:rsidP="000B7681">
            <w:pPr>
              <w:spacing w:line="360" w:lineRule="auto"/>
              <w:rPr>
                <w:rFonts w:ascii="Cambria" w:eastAsia="Cambria" w:hAnsi="Cambria" w:cs="Cambria"/>
                <w:color w:val="000000"/>
                <w:sz w:val="24"/>
                <w:szCs w:val="24"/>
              </w:rPr>
            </w:pPr>
            <w:r>
              <w:rPr>
                <w:rFonts w:ascii="Cambria" w:eastAsia="Cambria" w:hAnsi="Cambria" w:cs="Cambria"/>
                <w:color w:val="000000"/>
                <w:sz w:val="24"/>
                <w:szCs w:val="24"/>
              </w:rPr>
              <w:t xml:space="preserve">Moderate levels of certainty based on inference and reasonable circumstantial evidence. This includes reliable field observations suggestive of </w:t>
            </w:r>
            <w:proofErr w:type="gramStart"/>
            <w:r>
              <w:rPr>
                <w:rFonts w:ascii="Cambria" w:eastAsia="Cambria" w:hAnsi="Cambria" w:cs="Cambria"/>
                <w:color w:val="000000"/>
                <w:sz w:val="24"/>
                <w:szCs w:val="24"/>
              </w:rPr>
              <w:t>particular mating</w:t>
            </w:r>
            <w:proofErr w:type="gramEnd"/>
            <w:r>
              <w:rPr>
                <w:rFonts w:ascii="Cambria" w:eastAsia="Cambria" w:hAnsi="Cambria" w:cs="Cambria"/>
                <w:color w:val="000000"/>
                <w:sz w:val="24"/>
                <w:szCs w:val="24"/>
              </w:rPr>
              <w:t xml:space="preserve"> systems, as well as inference from closely related species.</w:t>
            </w:r>
          </w:p>
        </w:tc>
      </w:tr>
      <w:tr w:rsidR="001E6400" w14:paraId="77F3BA1D" w14:textId="77777777" w:rsidTr="000B7681">
        <w:trPr>
          <w:trHeight w:val="397"/>
        </w:trPr>
        <w:tc>
          <w:tcPr>
            <w:tcW w:w="827" w:type="dxa"/>
            <w:tcBorders>
              <w:top w:val="single" w:sz="4" w:space="0" w:color="000000"/>
              <w:bottom w:val="single" w:sz="4" w:space="0" w:color="000000"/>
            </w:tcBorders>
            <w:shd w:val="clear" w:color="auto" w:fill="auto"/>
            <w:vAlign w:val="center"/>
          </w:tcPr>
          <w:p w14:paraId="791DE20F" w14:textId="77777777" w:rsidR="001E6400" w:rsidRDefault="001E6400" w:rsidP="000B7681">
            <w:pPr>
              <w:spacing w:line="360" w:lineRule="auto"/>
              <w:jc w:val="center"/>
              <w:rPr>
                <w:rFonts w:ascii="Cambria" w:eastAsia="Cambria" w:hAnsi="Cambria" w:cs="Cambria"/>
                <w:sz w:val="24"/>
                <w:szCs w:val="24"/>
              </w:rPr>
            </w:pPr>
            <w:r>
              <w:rPr>
                <w:rFonts w:ascii="Cambria" w:eastAsia="Cambria" w:hAnsi="Cambria" w:cs="Cambria"/>
                <w:sz w:val="24"/>
                <w:szCs w:val="24"/>
              </w:rPr>
              <w:t>4</w:t>
            </w:r>
          </w:p>
        </w:tc>
        <w:tc>
          <w:tcPr>
            <w:tcW w:w="8224" w:type="dxa"/>
            <w:tcBorders>
              <w:top w:val="single" w:sz="4" w:space="0" w:color="000000"/>
              <w:bottom w:val="single" w:sz="4" w:space="0" w:color="000000"/>
            </w:tcBorders>
          </w:tcPr>
          <w:p w14:paraId="0A765ADB" w14:textId="77777777" w:rsidR="001E6400" w:rsidRDefault="001E6400" w:rsidP="000B7681">
            <w:pPr>
              <w:spacing w:line="360" w:lineRule="auto"/>
              <w:rPr>
                <w:rFonts w:ascii="Cambria" w:eastAsia="Cambria" w:hAnsi="Cambria" w:cs="Cambria"/>
                <w:color w:val="000000"/>
                <w:sz w:val="24"/>
                <w:szCs w:val="24"/>
              </w:rPr>
            </w:pPr>
            <w:r>
              <w:rPr>
                <w:rFonts w:ascii="Cambria" w:eastAsia="Cambria" w:hAnsi="Cambria" w:cs="Cambria"/>
                <w:color w:val="000000"/>
                <w:sz w:val="24"/>
                <w:szCs w:val="24"/>
              </w:rPr>
              <w:t>High levels of certainty based on direct evidence published in primary and secondary literature.</w:t>
            </w:r>
          </w:p>
        </w:tc>
        <w:tc>
          <w:tcPr>
            <w:tcW w:w="730" w:type="dxa"/>
          </w:tcPr>
          <w:p w14:paraId="79882B58" w14:textId="77777777" w:rsidR="001E6400" w:rsidRDefault="001E6400" w:rsidP="000B7681">
            <w:pPr>
              <w:spacing w:line="360" w:lineRule="auto"/>
              <w:rPr>
                <w:rFonts w:ascii="Cambria" w:eastAsia="Cambria" w:hAnsi="Cambria" w:cs="Cambria"/>
                <w:sz w:val="24"/>
                <w:szCs w:val="24"/>
              </w:rPr>
            </w:pPr>
          </w:p>
        </w:tc>
      </w:tr>
    </w:tbl>
    <w:p w14:paraId="5C37E125" w14:textId="77777777" w:rsidR="001E6400" w:rsidRDefault="001E6400" w:rsidP="001E6400">
      <w:pPr>
        <w:suppressLineNumbers/>
        <w:rPr>
          <w:rFonts w:ascii="Cambria" w:eastAsia="Cambria" w:hAnsi="Cambria" w:cs="Cambria"/>
          <w:sz w:val="24"/>
          <w:szCs w:val="24"/>
        </w:rPr>
      </w:pPr>
    </w:p>
    <w:p w14:paraId="66C536F5" w14:textId="77777777" w:rsidR="001E6400" w:rsidRDefault="001E6400" w:rsidP="001E6400">
      <w:pPr>
        <w:suppressLineNumbers/>
        <w:spacing w:line="360" w:lineRule="auto"/>
        <w:jc w:val="center"/>
        <w:rPr>
          <w:rFonts w:ascii="Cambria" w:eastAsia="Cambria" w:hAnsi="Cambria" w:cs="Cambria"/>
          <w:b/>
        </w:rPr>
      </w:pPr>
      <w:r>
        <w:rPr>
          <w:rFonts w:ascii="Cambria" w:eastAsia="Cambria" w:hAnsi="Cambria" w:cs="Cambria"/>
          <w:b/>
          <w:noProof/>
        </w:rPr>
        <w:lastRenderedPageBreak/>
        <w:drawing>
          <wp:inline distT="0" distB="0" distL="0" distR="0" wp14:anchorId="4315189F" wp14:editId="1B5E5292">
            <wp:extent cx="3797383" cy="3832303"/>
            <wp:effectExtent l="0" t="0" r="0" b="0"/>
            <wp:docPr id="7" name="image2.png" descr="A group of different colored bars&#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7" name="image2.png" descr="A group of different colored bars&#10;&#10;Description automatically generated with medium confidence"/>
                    <pic:cNvPicPr preferRelativeResize="0"/>
                  </pic:nvPicPr>
                  <pic:blipFill>
                    <a:blip r:embed="rId4"/>
                    <a:srcRect/>
                    <a:stretch>
                      <a:fillRect/>
                    </a:stretch>
                  </pic:blipFill>
                  <pic:spPr>
                    <a:xfrm>
                      <a:off x="0" y="0"/>
                      <a:ext cx="3797383" cy="3832303"/>
                    </a:xfrm>
                    <a:prstGeom prst="rect">
                      <a:avLst/>
                    </a:prstGeom>
                    <a:ln/>
                  </pic:spPr>
                </pic:pic>
              </a:graphicData>
            </a:graphic>
          </wp:inline>
        </w:drawing>
      </w:r>
    </w:p>
    <w:p w14:paraId="36DA5223" w14:textId="77777777" w:rsidR="001E6400" w:rsidRDefault="001E6400" w:rsidP="001E6400">
      <w:pPr>
        <w:spacing w:line="360" w:lineRule="auto"/>
        <w:rPr>
          <w:rFonts w:ascii="Cambria" w:eastAsia="Cambria" w:hAnsi="Cambria" w:cs="Cambria"/>
          <w:sz w:val="24"/>
          <w:szCs w:val="24"/>
        </w:rPr>
      </w:pPr>
      <w:r>
        <w:rPr>
          <w:rFonts w:ascii="Cambria" w:eastAsia="Cambria" w:hAnsi="Cambria" w:cs="Cambria"/>
          <w:b/>
          <w:sz w:val="24"/>
          <w:szCs w:val="24"/>
        </w:rPr>
        <w:t>Extended Data Fig. 1. Species richness of birds assigned to different levels of sexual selection</w:t>
      </w:r>
      <w:r>
        <w:rPr>
          <w:rFonts w:ascii="Cambria" w:eastAsia="Cambria" w:hAnsi="Cambria" w:cs="Cambria"/>
          <w:sz w:val="24"/>
          <w:szCs w:val="24"/>
        </w:rPr>
        <w:t xml:space="preserve">. Plots show number of species in categories 0–4 according to </w:t>
      </w:r>
      <w:r>
        <w:rPr>
          <w:rFonts w:ascii="Cambria" w:eastAsia="Cambria" w:hAnsi="Cambria" w:cs="Cambria"/>
          <w:color w:val="000000"/>
          <w:sz w:val="24"/>
          <w:szCs w:val="24"/>
        </w:rPr>
        <w:t xml:space="preserve">the species limits in </w:t>
      </w:r>
      <w:hyperlink r:id="rId5">
        <w:proofErr w:type="spellStart"/>
        <w:r>
          <w:rPr>
            <w:rFonts w:ascii="Cambria" w:eastAsia="Cambria" w:hAnsi="Cambria" w:cs="Cambria"/>
            <w:color w:val="000000"/>
            <w:sz w:val="24"/>
            <w:szCs w:val="24"/>
          </w:rPr>
          <w:t>BirdTree</w:t>
        </w:r>
        <w:proofErr w:type="spellEnd"/>
      </w:hyperlink>
      <w:r>
        <w:rPr>
          <w:rFonts w:ascii="Cambria" w:eastAsia="Cambria" w:hAnsi="Cambria" w:cs="Cambria"/>
          <w:color w:val="000000"/>
          <w:sz w:val="24"/>
          <w:szCs w:val="24"/>
        </w:rPr>
        <w:t xml:space="preserve"> </w:t>
      </w:r>
      <w:r>
        <w:rPr>
          <w:rFonts w:ascii="Cambria" w:eastAsia="Cambria" w:hAnsi="Cambria" w:cs="Cambria"/>
          <w:sz w:val="24"/>
          <w:szCs w:val="24"/>
        </w:rPr>
        <w:t>(</w:t>
      </w:r>
      <w:proofErr w:type="spellStart"/>
      <w:r>
        <w:rPr>
          <w:rFonts w:ascii="Cambria" w:eastAsia="Cambria" w:hAnsi="Cambria" w:cs="Cambria"/>
          <w:sz w:val="24"/>
          <w:szCs w:val="24"/>
        </w:rPr>
        <w:t>Jetz</w:t>
      </w:r>
      <w:proofErr w:type="spellEnd"/>
      <w:r>
        <w:rPr>
          <w:rFonts w:ascii="Cambria" w:eastAsia="Cambria" w:hAnsi="Cambria" w:cs="Cambria"/>
          <w:i/>
          <w:sz w:val="24"/>
          <w:szCs w:val="24"/>
        </w:rPr>
        <w:t xml:space="preserve"> et al.</w:t>
      </w:r>
      <w:r>
        <w:rPr>
          <w:rFonts w:ascii="Cambria" w:eastAsia="Cambria" w:hAnsi="Cambria" w:cs="Cambria"/>
          <w:sz w:val="24"/>
          <w:szCs w:val="24"/>
        </w:rPr>
        <w:t xml:space="preserve"> 2012) (</w:t>
      </w:r>
      <w:r>
        <w:rPr>
          <w:rFonts w:ascii="Cambria" w:eastAsia="Cambria" w:hAnsi="Cambria" w:cs="Cambria"/>
          <w:b/>
          <w:sz w:val="24"/>
          <w:szCs w:val="24"/>
        </w:rPr>
        <w:t>a</w:t>
      </w:r>
      <w:r>
        <w:rPr>
          <w:rFonts w:ascii="Cambria" w:eastAsia="Cambria" w:hAnsi="Cambria" w:cs="Cambria"/>
          <w:sz w:val="24"/>
          <w:szCs w:val="24"/>
        </w:rPr>
        <w:t xml:space="preserve">) or a more recent taxonomic update (Clements </w:t>
      </w:r>
      <w:r>
        <w:rPr>
          <w:rFonts w:ascii="Cambria" w:eastAsia="Cambria" w:hAnsi="Cambria" w:cs="Cambria"/>
          <w:i/>
          <w:sz w:val="24"/>
          <w:szCs w:val="24"/>
        </w:rPr>
        <w:t>et al.</w:t>
      </w:r>
      <w:r>
        <w:rPr>
          <w:rFonts w:ascii="Cambria" w:eastAsia="Cambria" w:hAnsi="Cambria" w:cs="Cambria"/>
          <w:sz w:val="24"/>
          <w:szCs w:val="24"/>
        </w:rPr>
        <w:t xml:space="preserve"> 2021) (</w:t>
      </w:r>
      <w:r>
        <w:rPr>
          <w:rFonts w:ascii="Cambria" w:eastAsia="Cambria" w:hAnsi="Cambria" w:cs="Cambria"/>
          <w:b/>
          <w:sz w:val="24"/>
          <w:szCs w:val="24"/>
        </w:rPr>
        <w:t>b</w:t>
      </w:r>
      <w:r>
        <w:rPr>
          <w:rFonts w:ascii="Cambria" w:eastAsia="Cambria" w:hAnsi="Cambria" w:cs="Cambria"/>
          <w:sz w:val="24"/>
          <w:szCs w:val="24"/>
        </w:rPr>
        <w:t xml:space="preserve">), as well as within the two largest dietary guilds: </w:t>
      </w:r>
      <w:proofErr w:type="spellStart"/>
      <w:r>
        <w:rPr>
          <w:rFonts w:ascii="Cambria" w:eastAsia="Cambria" w:hAnsi="Cambria" w:cs="Cambria"/>
          <w:sz w:val="24"/>
          <w:szCs w:val="24"/>
        </w:rPr>
        <w:t>invertivory</w:t>
      </w:r>
      <w:proofErr w:type="spellEnd"/>
      <w:r>
        <w:rPr>
          <w:rFonts w:ascii="Cambria" w:eastAsia="Cambria" w:hAnsi="Cambria" w:cs="Cambria"/>
          <w:sz w:val="24"/>
          <w:szCs w:val="24"/>
        </w:rPr>
        <w:t xml:space="preserve"> (</w:t>
      </w:r>
      <w:r>
        <w:rPr>
          <w:rFonts w:ascii="Cambria" w:eastAsia="Cambria" w:hAnsi="Cambria" w:cs="Cambria"/>
          <w:b/>
          <w:sz w:val="24"/>
          <w:szCs w:val="24"/>
        </w:rPr>
        <w:t>c</w:t>
      </w:r>
      <w:r>
        <w:rPr>
          <w:rFonts w:ascii="Cambria" w:eastAsia="Cambria" w:hAnsi="Cambria" w:cs="Cambria"/>
          <w:sz w:val="24"/>
          <w:szCs w:val="24"/>
        </w:rPr>
        <w:t>) and frugivory (</w:t>
      </w:r>
      <w:r>
        <w:rPr>
          <w:rFonts w:ascii="Cambria" w:eastAsia="Cambria" w:hAnsi="Cambria" w:cs="Cambria"/>
          <w:b/>
          <w:sz w:val="24"/>
          <w:szCs w:val="24"/>
        </w:rPr>
        <w:t>d</w:t>
      </w:r>
      <w:r>
        <w:rPr>
          <w:rFonts w:ascii="Cambria" w:eastAsia="Cambria" w:hAnsi="Cambria" w:cs="Cambria"/>
          <w:sz w:val="24"/>
          <w:szCs w:val="24"/>
        </w:rPr>
        <w:t>). The strength of sexual selection increases from 0 (strict monogamy) to 4 (extreme polygamy) according to our scoring system (Extended Data Table 1).</w:t>
      </w:r>
    </w:p>
    <w:p w14:paraId="708DC93A" w14:textId="77777777" w:rsidR="001E6400" w:rsidRDefault="001E6400" w:rsidP="001E6400">
      <w:pPr>
        <w:suppressLineNumbers/>
        <w:spacing w:line="360" w:lineRule="auto"/>
        <w:rPr>
          <w:rFonts w:ascii="Cambria" w:eastAsia="Cambria" w:hAnsi="Cambria" w:cs="Cambria"/>
        </w:rPr>
      </w:pPr>
    </w:p>
    <w:p w14:paraId="0A6D9EF9" w14:textId="77777777" w:rsidR="001E6400" w:rsidRDefault="001E6400" w:rsidP="001E6400">
      <w:pPr>
        <w:suppressLineNumbers/>
        <w:spacing w:line="360" w:lineRule="auto"/>
        <w:rPr>
          <w:rFonts w:ascii="Cambria" w:eastAsia="Cambria" w:hAnsi="Cambria" w:cs="Cambria"/>
        </w:rPr>
      </w:pPr>
    </w:p>
    <w:p w14:paraId="2A787553" w14:textId="77777777" w:rsidR="001E6400" w:rsidRDefault="001E6400" w:rsidP="001E6400">
      <w:pPr>
        <w:suppressLineNumbers/>
        <w:rPr>
          <w:rFonts w:ascii="Cambria" w:eastAsia="Cambria" w:hAnsi="Cambria" w:cs="Cambria"/>
        </w:rPr>
      </w:pPr>
    </w:p>
    <w:p w14:paraId="6A39B3D6" w14:textId="77777777" w:rsidR="001E6400" w:rsidRDefault="001E6400" w:rsidP="001E6400">
      <w:pPr>
        <w:suppressLineNumbers/>
        <w:rPr>
          <w:rFonts w:ascii="Cambria" w:eastAsia="Cambria" w:hAnsi="Cambria" w:cs="Cambria"/>
        </w:rPr>
      </w:pPr>
    </w:p>
    <w:p w14:paraId="42B50BE8" w14:textId="77777777" w:rsidR="001E6400" w:rsidRDefault="001E6400" w:rsidP="001E6400">
      <w:pPr>
        <w:suppressLineNumbers/>
        <w:rPr>
          <w:rFonts w:ascii="Cambria" w:eastAsia="Cambria" w:hAnsi="Cambria" w:cs="Cambria"/>
        </w:rPr>
      </w:pPr>
    </w:p>
    <w:p w14:paraId="3696A417" w14:textId="77777777" w:rsidR="001E6400" w:rsidRDefault="001E6400" w:rsidP="001E6400">
      <w:pPr>
        <w:suppressLineNumbers/>
        <w:rPr>
          <w:rFonts w:ascii="Cambria" w:eastAsia="Cambria" w:hAnsi="Cambria" w:cs="Cambria"/>
        </w:rPr>
      </w:pPr>
    </w:p>
    <w:p w14:paraId="4C21D3E8" w14:textId="77777777" w:rsidR="001E6400" w:rsidRDefault="001E6400" w:rsidP="001E6400">
      <w:pPr>
        <w:suppressLineNumbers/>
        <w:rPr>
          <w:rFonts w:ascii="Cambria" w:eastAsia="Cambria" w:hAnsi="Cambria" w:cs="Cambria"/>
        </w:rPr>
      </w:pPr>
    </w:p>
    <w:p w14:paraId="48CB450C" w14:textId="77777777" w:rsidR="001E6400" w:rsidRDefault="001E6400" w:rsidP="001E6400">
      <w:pPr>
        <w:suppressLineNumbers/>
        <w:rPr>
          <w:rFonts w:ascii="Cambria" w:eastAsia="Cambria" w:hAnsi="Cambria" w:cs="Cambria"/>
        </w:rPr>
      </w:pPr>
    </w:p>
    <w:p w14:paraId="3924A810" w14:textId="77777777" w:rsidR="001E6400" w:rsidRDefault="001E6400" w:rsidP="001E6400">
      <w:pPr>
        <w:suppressLineNumbers/>
        <w:jc w:val="center"/>
        <w:rPr>
          <w:rFonts w:ascii="Cambria" w:eastAsia="Cambria" w:hAnsi="Cambria" w:cs="Cambria"/>
          <w:sz w:val="24"/>
          <w:szCs w:val="24"/>
        </w:rPr>
      </w:pPr>
      <w:r>
        <w:rPr>
          <w:rFonts w:ascii="Cambria" w:eastAsia="Cambria" w:hAnsi="Cambria" w:cs="Cambria"/>
          <w:noProof/>
          <w:sz w:val="24"/>
          <w:szCs w:val="24"/>
        </w:rPr>
        <w:lastRenderedPageBreak/>
        <w:drawing>
          <wp:inline distT="114300" distB="114300" distL="114300" distR="114300" wp14:anchorId="0C927778" wp14:editId="69FDF48F">
            <wp:extent cx="5892757" cy="2284095"/>
            <wp:effectExtent l="0" t="0" r="0" b="0"/>
            <wp:docPr id="3" name="image9.jpg" descr="A diagram of different colored dots&#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9.jpg" descr="A diagram of different colored dots&#10;&#10;Description automatically generated"/>
                    <pic:cNvPicPr preferRelativeResize="0"/>
                  </pic:nvPicPr>
                  <pic:blipFill>
                    <a:blip r:embed="rId6"/>
                    <a:srcRect/>
                    <a:stretch>
                      <a:fillRect/>
                    </a:stretch>
                  </pic:blipFill>
                  <pic:spPr>
                    <a:xfrm>
                      <a:off x="0" y="0"/>
                      <a:ext cx="5892757" cy="2284095"/>
                    </a:xfrm>
                    <a:prstGeom prst="rect">
                      <a:avLst/>
                    </a:prstGeom>
                    <a:ln/>
                  </pic:spPr>
                </pic:pic>
              </a:graphicData>
            </a:graphic>
          </wp:inline>
        </w:drawing>
      </w:r>
    </w:p>
    <w:p w14:paraId="4E504B53" w14:textId="77777777" w:rsidR="001E6400" w:rsidRDefault="001E6400" w:rsidP="001E6400">
      <w:pPr>
        <w:spacing w:line="360" w:lineRule="auto"/>
        <w:rPr>
          <w:rFonts w:ascii="Cambria" w:eastAsia="Cambria" w:hAnsi="Cambria" w:cs="Cambria"/>
          <w:sz w:val="24"/>
          <w:szCs w:val="24"/>
        </w:rPr>
      </w:pPr>
      <w:bookmarkStart w:id="0" w:name="_3dy6vkm" w:colFirst="0" w:colLast="0"/>
      <w:bookmarkEnd w:id="0"/>
      <w:r>
        <w:rPr>
          <w:rFonts w:ascii="Cambria" w:eastAsia="Cambria" w:hAnsi="Cambria" w:cs="Cambria"/>
          <w:b/>
          <w:sz w:val="24"/>
          <w:szCs w:val="24"/>
        </w:rPr>
        <w:t xml:space="preserve">Extended Data Fig. 2. Comparison of scores with alternative metrics of sexual selection. </w:t>
      </w:r>
      <w:r>
        <w:rPr>
          <w:rFonts w:ascii="Cambria" w:eastAsia="Cambria" w:hAnsi="Cambria" w:cs="Cambria"/>
          <w:sz w:val="24"/>
          <w:szCs w:val="24"/>
        </w:rPr>
        <w:t>Panels show results of Bayesian phylogenetic models assessing the relationship between our sexual selection scores and three independent measures of sexual selection: (</w:t>
      </w:r>
      <w:r>
        <w:rPr>
          <w:rFonts w:ascii="Cambria" w:eastAsia="Cambria" w:hAnsi="Cambria" w:cs="Cambria"/>
          <w:b/>
          <w:sz w:val="24"/>
          <w:szCs w:val="24"/>
        </w:rPr>
        <w:t>a</w:t>
      </w:r>
      <w:r>
        <w:rPr>
          <w:rFonts w:ascii="Cambria" w:eastAsia="Cambria" w:hAnsi="Cambria" w:cs="Cambria"/>
          <w:sz w:val="24"/>
          <w:szCs w:val="24"/>
        </w:rPr>
        <w:t>) residual testes mass, (</w:t>
      </w:r>
      <w:r>
        <w:rPr>
          <w:rFonts w:ascii="Cambria" w:eastAsia="Cambria" w:hAnsi="Cambria" w:cs="Cambria"/>
          <w:b/>
          <w:sz w:val="24"/>
          <w:szCs w:val="24"/>
        </w:rPr>
        <w:t>b</w:t>
      </w:r>
      <w:r>
        <w:rPr>
          <w:rFonts w:ascii="Cambria" w:eastAsia="Cambria" w:hAnsi="Cambria" w:cs="Cambria"/>
          <w:sz w:val="24"/>
          <w:szCs w:val="24"/>
        </w:rPr>
        <w:t>) Bateman gradients (</w:t>
      </w:r>
      <w:r>
        <w:rPr>
          <w:rFonts w:ascii="Cambria" w:eastAsia="Cambria" w:hAnsi="Cambria" w:cs="Cambria"/>
          <w:color w:val="353740"/>
          <w:sz w:val="24"/>
          <w:szCs w:val="24"/>
          <w:highlight w:val="white"/>
        </w:rPr>
        <w:t>β</w:t>
      </w:r>
      <w:r>
        <w:rPr>
          <w:rFonts w:ascii="Cambria" w:eastAsia="Cambria" w:hAnsi="Cambria" w:cs="Cambria"/>
          <w:color w:val="353740"/>
          <w:sz w:val="24"/>
          <w:szCs w:val="24"/>
          <w:highlight w:val="white"/>
          <w:vertAlign w:val="subscript"/>
        </w:rPr>
        <w:t>ss</w:t>
      </w:r>
      <w:r>
        <w:rPr>
          <w:rFonts w:ascii="Cambria" w:eastAsia="Cambria" w:hAnsi="Cambria" w:cs="Cambria"/>
          <w:sz w:val="24"/>
          <w:szCs w:val="24"/>
        </w:rPr>
        <w:t>), (</w:t>
      </w:r>
      <w:r>
        <w:rPr>
          <w:rFonts w:ascii="Cambria" w:eastAsia="Cambria" w:hAnsi="Cambria" w:cs="Cambria"/>
          <w:b/>
          <w:sz w:val="24"/>
          <w:szCs w:val="24"/>
        </w:rPr>
        <w:t>c</w:t>
      </w:r>
      <w:r>
        <w:rPr>
          <w:rFonts w:ascii="Cambria" w:eastAsia="Cambria" w:hAnsi="Cambria" w:cs="Cambria"/>
          <w:sz w:val="24"/>
          <w:szCs w:val="24"/>
        </w:rPr>
        <w:t>) the opportunity for sexual selection (</w:t>
      </w:r>
      <w:r>
        <w:rPr>
          <w:rFonts w:ascii="Cambria" w:eastAsia="Cambria" w:hAnsi="Cambria" w:cs="Cambria"/>
          <w:i/>
          <w:sz w:val="24"/>
          <w:szCs w:val="24"/>
        </w:rPr>
        <w:t>I</w:t>
      </w:r>
      <w:r>
        <w:rPr>
          <w:rFonts w:ascii="Cambria" w:eastAsia="Cambria" w:hAnsi="Cambria" w:cs="Cambria"/>
          <w:i/>
          <w:sz w:val="24"/>
          <w:szCs w:val="24"/>
          <w:vertAlign w:val="subscript"/>
        </w:rPr>
        <w:t>s</w:t>
      </w:r>
      <w:r>
        <w:rPr>
          <w:rFonts w:ascii="Cambria" w:eastAsia="Cambria" w:hAnsi="Cambria" w:cs="Cambria"/>
          <w:sz w:val="24"/>
          <w:szCs w:val="24"/>
        </w:rPr>
        <w:t>) (see Methods). Dashed lines show the relationship for subsets of species with available data, using predictions from models accounting for phylogeny using a sample of 50 phylogenetic trees extracted from www.birdtree.org (</w:t>
      </w:r>
      <w:proofErr w:type="spellStart"/>
      <w:r>
        <w:rPr>
          <w:rFonts w:ascii="Cambria" w:eastAsia="Cambria" w:hAnsi="Cambria" w:cs="Cambria"/>
          <w:sz w:val="24"/>
          <w:szCs w:val="24"/>
        </w:rPr>
        <w:t>Jetz</w:t>
      </w:r>
      <w:proofErr w:type="spellEnd"/>
      <w:r>
        <w:rPr>
          <w:rFonts w:ascii="Cambria" w:eastAsia="Cambria" w:hAnsi="Cambria" w:cs="Cambria"/>
          <w:sz w:val="24"/>
          <w:szCs w:val="24"/>
        </w:rPr>
        <w:t xml:space="preserve"> </w:t>
      </w:r>
      <w:r>
        <w:rPr>
          <w:rFonts w:ascii="Cambria" w:eastAsia="Cambria" w:hAnsi="Cambria" w:cs="Cambria"/>
          <w:i/>
          <w:sz w:val="24"/>
          <w:szCs w:val="24"/>
        </w:rPr>
        <w:t>et al.</w:t>
      </w:r>
      <w:r>
        <w:rPr>
          <w:rFonts w:ascii="Cambria" w:eastAsia="Cambria" w:hAnsi="Cambria" w:cs="Cambria"/>
          <w:sz w:val="24"/>
          <w:szCs w:val="24"/>
        </w:rPr>
        <w:t xml:space="preserve"> 2012), grafted to the </w:t>
      </w:r>
      <w:proofErr w:type="spellStart"/>
      <w:r>
        <w:rPr>
          <w:rFonts w:ascii="Cambria" w:eastAsia="Cambria" w:hAnsi="Cambria" w:cs="Cambria"/>
          <w:sz w:val="24"/>
          <w:szCs w:val="24"/>
        </w:rPr>
        <w:t>Prum</w:t>
      </w:r>
      <w:proofErr w:type="spellEnd"/>
      <w:r>
        <w:rPr>
          <w:rFonts w:ascii="Cambria" w:eastAsia="Cambria" w:hAnsi="Cambria" w:cs="Cambria"/>
          <w:sz w:val="24"/>
          <w:szCs w:val="24"/>
        </w:rPr>
        <w:t xml:space="preserve"> </w:t>
      </w:r>
      <w:r>
        <w:rPr>
          <w:rFonts w:ascii="Cambria" w:eastAsia="Cambria" w:hAnsi="Cambria" w:cs="Cambria"/>
          <w:i/>
          <w:sz w:val="24"/>
          <w:szCs w:val="24"/>
        </w:rPr>
        <w:t xml:space="preserve">et al. </w:t>
      </w:r>
      <w:r>
        <w:rPr>
          <w:rFonts w:ascii="Cambria" w:eastAsia="Cambria" w:hAnsi="Cambria" w:cs="Cambria"/>
          <w:sz w:val="24"/>
          <w:szCs w:val="24"/>
        </w:rPr>
        <w:t>(2015) genomic backbone. Effect sizes, p-values, and explained variance (</w:t>
      </w:r>
      <w:r>
        <w:rPr>
          <w:rFonts w:ascii="Cambria" w:eastAsia="Cambria" w:hAnsi="Cambria" w:cs="Cambria"/>
          <w:i/>
          <w:sz w:val="24"/>
          <w:szCs w:val="24"/>
        </w:rPr>
        <w:t>R</w:t>
      </w:r>
      <w:r>
        <w:rPr>
          <w:rFonts w:ascii="Cambria" w:eastAsia="Cambria" w:hAnsi="Cambria" w:cs="Cambria"/>
          <w:sz w:val="24"/>
          <w:szCs w:val="24"/>
          <w:vertAlign w:val="superscript"/>
        </w:rPr>
        <w:t>2</w:t>
      </w:r>
      <w:r>
        <w:rPr>
          <w:rFonts w:ascii="Cambria" w:eastAsia="Cambria" w:hAnsi="Cambria" w:cs="Cambria"/>
          <w:sz w:val="24"/>
          <w:szCs w:val="24"/>
        </w:rPr>
        <w:t xml:space="preserve">) were calculated from fixed effects only, and therefore represent the specific variation explained by each predictor separate from phylogenetic </w:t>
      </w:r>
      <w:proofErr w:type="gramStart"/>
      <w:r>
        <w:rPr>
          <w:rFonts w:ascii="Cambria" w:eastAsia="Cambria" w:hAnsi="Cambria" w:cs="Cambria"/>
          <w:sz w:val="24"/>
          <w:szCs w:val="24"/>
        </w:rPr>
        <w:t>effects..</w:t>
      </w:r>
      <w:proofErr w:type="gramEnd"/>
      <w:r>
        <w:rPr>
          <w:rFonts w:ascii="Cambria" w:eastAsia="Cambria" w:hAnsi="Cambria" w:cs="Cambria"/>
          <w:sz w:val="24"/>
          <w:szCs w:val="24"/>
        </w:rPr>
        <w:t xml:space="preserve"> In </w:t>
      </w:r>
      <w:r>
        <w:rPr>
          <w:rFonts w:ascii="Cambria" w:eastAsia="Cambria" w:hAnsi="Cambria" w:cs="Cambria"/>
          <w:b/>
          <w:sz w:val="24"/>
          <w:szCs w:val="24"/>
        </w:rPr>
        <w:t xml:space="preserve">b </w:t>
      </w:r>
      <w:r>
        <w:rPr>
          <w:rFonts w:ascii="Cambria" w:eastAsia="Cambria" w:hAnsi="Cambria" w:cs="Cambria"/>
          <w:sz w:val="24"/>
          <w:szCs w:val="24"/>
        </w:rPr>
        <w:t xml:space="preserve">and </w:t>
      </w:r>
      <w:r>
        <w:rPr>
          <w:rFonts w:ascii="Cambria" w:eastAsia="Cambria" w:hAnsi="Cambria" w:cs="Cambria"/>
          <w:b/>
          <w:sz w:val="24"/>
          <w:szCs w:val="24"/>
        </w:rPr>
        <w:t>c</w:t>
      </w:r>
      <w:r>
        <w:rPr>
          <w:rFonts w:ascii="Cambria" w:eastAsia="Cambria" w:hAnsi="Cambria" w:cs="Cambria"/>
          <w:sz w:val="24"/>
          <w:szCs w:val="24"/>
        </w:rPr>
        <w:t xml:space="preserve">, point size is scaled by the number of individuals used to calculate sex-specific metrics. To compare sex-specific metrics with bidirectional scores, we selected the largest </w:t>
      </w:r>
      <w:r>
        <w:rPr>
          <w:rFonts w:ascii="Cambria" w:eastAsia="Cambria" w:hAnsi="Cambria" w:cs="Cambria"/>
          <w:color w:val="353740"/>
          <w:sz w:val="24"/>
          <w:szCs w:val="24"/>
          <w:highlight w:val="white"/>
        </w:rPr>
        <w:t>β</w:t>
      </w:r>
      <w:r>
        <w:rPr>
          <w:rFonts w:ascii="Cambria" w:eastAsia="Cambria" w:hAnsi="Cambria" w:cs="Cambria"/>
          <w:color w:val="353740"/>
          <w:sz w:val="24"/>
          <w:szCs w:val="24"/>
          <w:highlight w:val="white"/>
          <w:vertAlign w:val="subscript"/>
        </w:rPr>
        <w:t>ss</w:t>
      </w:r>
      <w:r>
        <w:rPr>
          <w:rFonts w:ascii="Cambria" w:eastAsia="Cambria" w:hAnsi="Cambria" w:cs="Cambria"/>
          <w:sz w:val="24"/>
          <w:szCs w:val="24"/>
        </w:rPr>
        <w:t xml:space="preserve"> or </w:t>
      </w:r>
      <w:r>
        <w:rPr>
          <w:rFonts w:ascii="Cambria" w:eastAsia="Cambria" w:hAnsi="Cambria" w:cs="Cambria"/>
          <w:i/>
          <w:sz w:val="24"/>
          <w:szCs w:val="24"/>
        </w:rPr>
        <w:t>I</w:t>
      </w:r>
      <w:r>
        <w:rPr>
          <w:rFonts w:ascii="Cambria" w:eastAsia="Cambria" w:hAnsi="Cambria" w:cs="Cambria"/>
          <w:i/>
          <w:sz w:val="24"/>
          <w:szCs w:val="24"/>
          <w:vertAlign w:val="subscript"/>
        </w:rPr>
        <w:t>s</w:t>
      </w:r>
      <w:r>
        <w:rPr>
          <w:rFonts w:ascii="Cambria" w:eastAsia="Cambria" w:hAnsi="Cambria" w:cs="Cambria"/>
          <w:sz w:val="24"/>
          <w:szCs w:val="24"/>
        </w:rPr>
        <w:t xml:space="preserve"> from each species, treating males and female metrics equally.  We estimated </w:t>
      </w:r>
      <w:r>
        <w:rPr>
          <w:rFonts w:ascii="Cambria" w:eastAsia="Cambria" w:hAnsi="Cambria" w:cs="Cambria"/>
          <w:i/>
          <w:sz w:val="24"/>
          <w:szCs w:val="24"/>
        </w:rPr>
        <w:t>I</w:t>
      </w:r>
      <w:r>
        <w:rPr>
          <w:rFonts w:ascii="Cambria" w:eastAsia="Cambria" w:hAnsi="Cambria" w:cs="Cambria"/>
          <w:i/>
          <w:sz w:val="24"/>
          <w:szCs w:val="24"/>
          <w:vertAlign w:val="subscript"/>
        </w:rPr>
        <w:t>s</w:t>
      </w:r>
      <w:r>
        <w:rPr>
          <w:rFonts w:ascii="Cambria" w:eastAsia="Cambria" w:hAnsi="Cambria" w:cs="Cambria"/>
          <w:sz w:val="24"/>
          <w:szCs w:val="24"/>
        </w:rPr>
        <w:t xml:space="preserve"> of 51 genetically monogamous species (with 0% extra-pair paternity) as zero. Excluding these species from </w:t>
      </w:r>
      <w:r>
        <w:rPr>
          <w:rFonts w:ascii="Cambria" w:eastAsia="Cambria" w:hAnsi="Cambria" w:cs="Cambria"/>
          <w:i/>
          <w:sz w:val="24"/>
          <w:szCs w:val="24"/>
        </w:rPr>
        <w:t>I</w:t>
      </w:r>
      <w:r>
        <w:rPr>
          <w:rFonts w:ascii="Cambria" w:eastAsia="Cambria" w:hAnsi="Cambria" w:cs="Cambria"/>
          <w:i/>
          <w:sz w:val="24"/>
          <w:szCs w:val="24"/>
          <w:vertAlign w:val="subscript"/>
        </w:rPr>
        <w:t>s</w:t>
      </w:r>
      <w:r>
        <w:rPr>
          <w:rFonts w:ascii="Cambria" w:eastAsia="Cambria" w:hAnsi="Cambria" w:cs="Cambria"/>
          <w:sz w:val="24"/>
          <w:szCs w:val="24"/>
        </w:rPr>
        <w:t xml:space="preserve"> models produced similar results (Table S1). Illustrations of Black Guillemot and Lance-tailed Manakin are shown as exemplars of extremely low and extremely high </w:t>
      </w:r>
      <w:r>
        <w:rPr>
          <w:rFonts w:ascii="Cambria" w:eastAsia="Cambria" w:hAnsi="Cambria" w:cs="Cambria"/>
          <w:i/>
          <w:sz w:val="24"/>
          <w:szCs w:val="24"/>
        </w:rPr>
        <w:t>I</w:t>
      </w:r>
      <w:r>
        <w:rPr>
          <w:rFonts w:ascii="Cambria" w:eastAsia="Cambria" w:hAnsi="Cambria" w:cs="Cambria"/>
          <w:i/>
          <w:sz w:val="24"/>
          <w:szCs w:val="24"/>
          <w:vertAlign w:val="subscript"/>
        </w:rPr>
        <w:t>s</w:t>
      </w:r>
      <w:r>
        <w:rPr>
          <w:rFonts w:ascii="Cambria" w:eastAsia="Cambria" w:hAnsi="Cambria" w:cs="Cambria"/>
          <w:sz w:val="24"/>
          <w:szCs w:val="24"/>
        </w:rPr>
        <w:t>, respectively; images shared with permission of Birds of the World, Cornell University.</w:t>
      </w:r>
    </w:p>
    <w:p w14:paraId="79667D00" w14:textId="77777777" w:rsidR="001E6400" w:rsidRDefault="001E6400" w:rsidP="001E6400">
      <w:pPr>
        <w:suppressLineNumbers/>
        <w:jc w:val="center"/>
      </w:pPr>
      <w:r>
        <w:rPr>
          <w:noProof/>
        </w:rPr>
        <w:lastRenderedPageBreak/>
        <w:drawing>
          <wp:inline distT="0" distB="0" distL="0" distR="0" wp14:anchorId="4E9BF41B" wp14:editId="4FF087B3">
            <wp:extent cx="4860269" cy="3240000"/>
            <wp:effectExtent l="0" t="0" r="0" b="0"/>
            <wp:docPr id="9" name="image10.png" descr="A map of the worl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0.png" descr="A map of the world&#10;&#10;Description automatically generated"/>
                    <pic:cNvPicPr preferRelativeResize="0"/>
                  </pic:nvPicPr>
                  <pic:blipFill>
                    <a:blip r:embed="rId7"/>
                    <a:srcRect/>
                    <a:stretch>
                      <a:fillRect/>
                    </a:stretch>
                  </pic:blipFill>
                  <pic:spPr>
                    <a:xfrm>
                      <a:off x="0" y="0"/>
                      <a:ext cx="4860269" cy="3240000"/>
                    </a:xfrm>
                    <a:prstGeom prst="rect">
                      <a:avLst/>
                    </a:prstGeom>
                    <a:ln/>
                  </pic:spPr>
                </pic:pic>
              </a:graphicData>
            </a:graphic>
          </wp:inline>
        </w:drawing>
      </w:r>
    </w:p>
    <w:p w14:paraId="6BD65EA3" w14:textId="77777777" w:rsidR="001E6400" w:rsidRDefault="001E6400" w:rsidP="001E6400">
      <w:pPr>
        <w:pBdr>
          <w:top w:val="nil"/>
          <w:left w:val="nil"/>
          <w:bottom w:val="nil"/>
          <w:right w:val="nil"/>
          <w:between w:val="nil"/>
        </w:pBdr>
        <w:spacing w:line="360" w:lineRule="auto"/>
        <w:rPr>
          <w:rFonts w:ascii="Cambria" w:eastAsia="Cambria" w:hAnsi="Cambria" w:cs="Cambria"/>
          <w:color w:val="353740"/>
          <w:sz w:val="24"/>
          <w:szCs w:val="24"/>
        </w:rPr>
      </w:pPr>
      <w:r>
        <w:rPr>
          <w:rFonts w:ascii="Cambria" w:eastAsia="Cambria" w:hAnsi="Cambria" w:cs="Cambria"/>
          <w:b/>
          <w:color w:val="353740"/>
          <w:sz w:val="24"/>
          <w:szCs w:val="24"/>
        </w:rPr>
        <w:t>Extended Data Fig. 3. Effects of data quality on the distribution of sexual selection.</w:t>
      </w:r>
      <w:r>
        <w:rPr>
          <w:rFonts w:ascii="Cambria" w:eastAsia="Cambria" w:hAnsi="Cambria" w:cs="Cambria"/>
          <w:color w:val="353740"/>
          <w:sz w:val="24"/>
          <w:szCs w:val="24"/>
        </w:rPr>
        <w:t xml:space="preserve"> </w:t>
      </w:r>
      <w:r>
        <w:rPr>
          <w:rFonts w:ascii="Cambria" w:eastAsia="Cambria" w:hAnsi="Cambria" w:cs="Cambria"/>
          <w:b/>
          <w:color w:val="353740"/>
          <w:sz w:val="24"/>
          <w:szCs w:val="24"/>
        </w:rPr>
        <w:t>a</w:t>
      </w:r>
      <w:r>
        <w:rPr>
          <w:rFonts w:ascii="Cambria" w:eastAsia="Cambria" w:hAnsi="Cambria" w:cs="Cambria"/>
          <w:color w:val="353740"/>
          <w:sz w:val="24"/>
          <w:szCs w:val="24"/>
        </w:rPr>
        <w:t xml:space="preserve">, Upper panels show average sexual selection for species with moderate to high data certainty (scored 3–4; </w:t>
      </w:r>
      <w:r>
        <w:rPr>
          <w:rFonts w:ascii="Cambria" w:eastAsia="Cambria" w:hAnsi="Cambria" w:cs="Cambria"/>
          <w:i/>
          <w:color w:val="353740"/>
          <w:sz w:val="24"/>
          <w:szCs w:val="24"/>
        </w:rPr>
        <w:t>n</w:t>
      </w:r>
      <w:r>
        <w:rPr>
          <w:rFonts w:ascii="Cambria" w:eastAsia="Cambria" w:hAnsi="Cambria" w:cs="Cambria"/>
          <w:color w:val="353740"/>
          <w:sz w:val="24"/>
          <w:szCs w:val="24"/>
        </w:rPr>
        <w:t xml:space="preserve"> = 7592) mapped globally (</w:t>
      </w:r>
      <w:r>
        <w:rPr>
          <w:rFonts w:ascii="Cambria" w:eastAsia="Cambria" w:hAnsi="Cambria" w:cs="Cambria"/>
          <w:b/>
          <w:color w:val="353740"/>
          <w:sz w:val="24"/>
          <w:szCs w:val="24"/>
        </w:rPr>
        <w:t>a</w:t>
      </w:r>
      <w:r>
        <w:rPr>
          <w:rFonts w:ascii="Cambria" w:eastAsia="Cambria" w:hAnsi="Cambria" w:cs="Cambria"/>
          <w:color w:val="353740"/>
          <w:sz w:val="24"/>
          <w:szCs w:val="24"/>
        </w:rPr>
        <w:t>) and plotted against latitude (</w:t>
      </w:r>
      <w:r>
        <w:rPr>
          <w:rFonts w:ascii="Cambria" w:eastAsia="Cambria" w:hAnsi="Cambria" w:cs="Cambria"/>
          <w:b/>
          <w:color w:val="353740"/>
          <w:sz w:val="24"/>
          <w:szCs w:val="24"/>
        </w:rPr>
        <w:t>b</w:t>
      </w:r>
      <w:r>
        <w:rPr>
          <w:rFonts w:ascii="Cambria" w:eastAsia="Cambria" w:hAnsi="Cambria" w:cs="Cambria"/>
          <w:color w:val="353740"/>
          <w:sz w:val="24"/>
          <w:szCs w:val="24"/>
        </w:rPr>
        <w:t xml:space="preserve">). Lower panels show average sexual selection for species with high certainty data only (scored 4; </w:t>
      </w:r>
      <w:r>
        <w:rPr>
          <w:rFonts w:ascii="Cambria" w:eastAsia="Cambria" w:hAnsi="Cambria" w:cs="Cambria"/>
          <w:i/>
          <w:color w:val="353740"/>
          <w:sz w:val="24"/>
          <w:szCs w:val="24"/>
        </w:rPr>
        <w:t>n</w:t>
      </w:r>
      <w:r>
        <w:rPr>
          <w:rFonts w:ascii="Cambria" w:eastAsia="Cambria" w:hAnsi="Cambria" w:cs="Cambria"/>
          <w:color w:val="353740"/>
          <w:sz w:val="24"/>
          <w:szCs w:val="24"/>
        </w:rPr>
        <w:t xml:space="preserve"> = 2851), again mapped globally (</w:t>
      </w:r>
      <w:r>
        <w:rPr>
          <w:rFonts w:ascii="Cambria" w:eastAsia="Cambria" w:hAnsi="Cambria" w:cs="Cambria"/>
          <w:b/>
          <w:color w:val="353740"/>
          <w:sz w:val="24"/>
          <w:szCs w:val="24"/>
        </w:rPr>
        <w:t>c</w:t>
      </w:r>
      <w:r>
        <w:rPr>
          <w:rFonts w:ascii="Cambria" w:eastAsia="Cambria" w:hAnsi="Cambria" w:cs="Cambria"/>
          <w:color w:val="353740"/>
          <w:sz w:val="24"/>
          <w:szCs w:val="24"/>
        </w:rPr>
        <w:t>) and plotted against latitude (</w:t>
      </w:r>
      <w:r>
        <w:rPr>
          <w:rFonts w:ascii="Cambria" w:eastAsia="Cambria" w:hAnsi="Cambria" w:cs="Cambria"/>
          <w:b/>
          <w:color w:val="353740"/>
          <w:sz w:val="24"/>
          <w:szCs w:val="24"/>
        </w:rPr>
        <w:t>d</w:t>
      </w:r>
      <w:r>
        <w:rPr>
          <w:rFonts w:ascii="Cambria" w:eastAsia="Cambria" w:hAnsi="Cambria" w:cs="Cambria"/>
          <w:color w:val="353740"/>
          <w:sz w:val="24"/>
          <w:szCs w:val="24"/>
        </w:rPr>
        <w:t xml:space="preserve">). In </w:t>
      </w:r>
      <w:r>
        <w:rPr>
          <w:rFonts w:ascii="Cambria" w:eastAsia="Cambria" w:hAnsi="Cambria" w:cs="Cambria"/>
          <w:b/>
          <w:color w:val="353740"/>
          <w:sz w:val="24"/>
          <w:szCs w:val="24"/>
        </w:rPr>
        <w:t>a</w:t>
      </w:r>
      <w:r>
        <w:rPr>
          <w:rFonts w:ascii="Cambria" w:eastAsia="Cambria" w:hAnsi="Cambria" w:cs="Cambria"/>
          <w:color w:val="353740"/>
          <w:sz w:val="24"/>
          <w:szCs w:val="24"/>
        </w:rPr>
        <w:t xml:space="preserve"> and </w:t>
      </w:r>
      <w:r>
        <w:rPr>
          <w:rFonts w:ascii="Cambria" w:eastAsia="Cambria" w:hAnsi="Cambria" w:cs="Cambria"/>
          <w:b/>
          <w:color w:val="353740"/>
          <w:sz w:val="24"/>
          <w:szCs w:val="24"/>
        </w:rPr>
        <w:t>c</w:t>
      </w:r>
      <w:r>
        <w:rPr>
          <w:rFonts w:ascii="Cambria" w:eastAsia="Cambria" w:hAnsi="Cambria" w:cs="Cambria"/>
          <w:color w:val="353740"/>
          <w:sz w:val="24"/>
          <w:szCs w:val="24"/>
        </w:rPr>
        <w:t xml:space="preserve">, averages for each cell are calculated from all species with geographical range maps overlapping each 5-km grid cell; cells with &lt;10 species were excluded. In </w:t>
      </w:r>
      <w:r>
        <w:rPr>
          <w:rFonts w:ascii="Cambria" w:eastAsia="Cambria" w:hAnsi="Cambria" w:cs="Cambria"/>
          <w:b/>
          <w:color w:val="353740"/>
          <w:sz w:val="24"/>
          <w:szCs w:val="24"/>
        </w:rPr>
        <w:t>b</w:t>
      </w:r>
      <w:r>
        <w:rPr>
          <w:rFonts w:ascii="Cambria" w:eastAsia="Cambria" w:hAnsi="Cambria" w:cs="Cambria"/>
          <w:color w:val="353740"/>
          <w:sz w:val="24"/>
          <w:szCs w:val="24"/>
        </w:rPr>
        <w:t xml:space="preserve"> and </w:t>
      </w:r>
      <w:r>
        <w:rPr>
          <w:rFonts w:ascii="Cambria" w:eastAsia="Cambria" w:hAnsi="Cambria" w:cs="Cambria"/>
          <w:b/>
          <w:color w:val="353740"/>
          <w:sz w:val="24"/>
          <w:szCs w:val="24"/>
        </w:rPr>
        <w:t>d</w:t>
      </w:r>
      <w:r>
        <w:rPr>
          <w:rFonts w:ascii="Cambria" w:eastAsia="Cambria" w:hAnsi="Cambria" w:cs="Cambria"/>
          <w:color w:val="353740"/>
          <w:sz w:val="24"/>
          <w:szCs w:val="24"/>
        </w:rPr>
        <w:t xml:space="preserve">, sexual selection scores are averaged across five-degree latitudinal bins, with each species assigned to a single bin according to its latitudinal centroid; and latitudinal bins above 70 degrees were excluded from all scatterplots. Points represent means and range bars denote one standard error; dashed lines were generated from species-level Bayesian regression models predicting sexual selection strength. </w:t>
      </w:r>
    </w:p>
    <w:p w14:paraId="19F973F3" w14:textId="77777777" w:rsidR="001E6400" w:rsidRDefault="001E6400" w:rsidP="001E6400">
      <w:pPr>
        <w:suppressLineNumbers/>
        <w:jc w:val="center"/>
      </w:pPr>
      <w:r>
        <w:rPr>
          <w:noProof/>
        </w:rPr>
        <w:lastRenderedPageBreak/>
        <w:drawing>
          <wp:inline distT="0" distB="0" distL="0" distR="0" wp14:anchorId="5992BA56" wp14:editId="6D036D0D">
            <wp:extent cx="4860269" cy="3240000"/>
            <wp:effectExtent l="0" t="0" r="0" b="0"/>
            <wp:docPr id="8" name="image1.png" descr="A map of the world&#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A map of the world&#10;&#10;Description automatically generated with low confidence"/>
                    <pic:cNvPicPr preferRelativeResize="0"/>
                  </pic:nvPicPr>
                  <pic:blipFill>
                    <a:blip r:embed="rId8"/>
                    <a:srcRect/>
                    <a:stretch>
                      <a:fillRect/>
                    </a:stretch>
                  </pic:blipFill>
                  <pic:spPr>
                    <a:xfrm>
                      <a:off x="0" y="0"/>
                      <a:ext cx="4860269" cy="3240000"/>
                    </a:xfrm>
                    <a:prstGeom prst="rect">
                      <a:avLst/>
                    </a:prstGeom>
                    <a:ln/>
                  </pic:spPr>
                </pic:pic>
              </a:graphicData>
            </a:graphic>
          </wp:inline>
        </w:drawing>
      </w:r>
    </w:p>
    <w:p w14:paraId="11E1F7F0" w14:textId="77777777" w:rsidR="001E6400" w:rsidRPr="002F3251" w:rsidRDefault="001E6400" w:rsidP="001E6400">
      <w:pPr>
        <w:pBdr>
          <w:top w:val="nil"/>
          <w:left w:val="nil"/>
          <w:bottom w:val="nil"/>
          <w:right w:val="nil"/>
          <w:between w:val="nil"/>
        </w:pBdr>
        <w:spacing w:line="360" w:lineRule="auto"/>
        <w:rPr>
          <w:rFonts w:ascii="Cambria" w:eastAsia="Cambria" w:hAnsi="Cambria" w:cs="Cambria"/>
          <w:color w:val="353740"/>
          <w:sz w:val="24"/>
          <w:szCs w:val="24"/>
        </w:rPr>
      </w:pPr>
      <w:r>
        <w:rPr>
          <w:rFonts w:ascii="Cambria" w:eastAsia="Cambria" w:hAnsi="Cambria" w:cs="Cambria"/>
          <w:b/>
          <w:color w:val="353740"/>
          <w:sz w:val="24"/>
          <w:szCs w:val="24"/>
        </w:rPr>
        <w:t xml:space="preserve">Extended Data Fig. 4. Global distribution of sexual selection partitioned by migration tendency. </w:t>
      </w:r>
      <w:r>
        <w:rPr>
          <w:rFonts w:ascii="Cambria" w:eastAsia="Cambria" w:hAnsi="Cambria" w:cs="Cambria"/>
          <w:color w:val="353740"/>
          <w:sz w:val="24"/>
          <w:szCs w:val="24"/>
        </w:rPr>
        <w:t>Upper panels show strength of sexual selection in long-distance migrants mapped globally (</w:t>
      </w:r>
      <w:r>
        <w:rPr>
          <w:rFonts w:ascii="Cambria" w:eastAsia="Cambria" w:hAnsi="Cambria" w:cs="Cambria"/>
          <w:b/>
          <w:color w:val="353740"/>
          <w:sz w:val="24"/>
          <w:szCs w:val="24"/>
        </w:rPr>
        <w:t>a</w:t>
      </w:r>
      <w:r>
        <w:rPr>
          <w:rFonts w:ascii="Cambria" w:eastAsia="Cambria" w:hAnsi="Cambria" w:cs="Cambria"/>
          <w:color w:val="353740"/>
          <w:sz w:val="24"/>
          <w:szCs w:val="24"/>
        </w:rPr>
        <w:t>) and plotted against latitude (</w:t>
      </w:r>
      <w:r>
        <w:rPr>
          <w:rFonts w:ascii="Cambria" w:eastAsia="Cambria" w:hAnsi="Cambria" w:cs="Cambria"/>
          <w:b/>
          <w:color w:val="353740"/>
          <w:sz w:val="24"/>
          <w:szCs w:val="24"/>
        </w:rPr>
        <w:t>b</w:t>
      </w:r>
      <w:r>
        <w:rPr>
          <w:rFonts w:ascii="Cambria" w:eastAsia="Cambria" w:hAnsi="Cambria" w:cs="Cambria"/>
          <w:color w:val="353740"/>
          <w:sz w:val="24"/>
          <w:szCs w:val="24"/>
        </w:rPr>
        <w:t>). Lower panels show strength of sexual selection in short-distance and resident species mapped globally (</w:t>
      </w:r>
      <w:r>
        <w:rPr>
          <w:rFonts w:ascii="Cambria" w:eastAsia="Cambria" w:hAnsi="Cambria" w:cs="Cambria"/>
          <w:b/>
          <w:color w:val="353740"/>
          <w:sz w:val="24"/>
          <w:szCs w:val="24"/>
        </w:rPr>
        <w:t>c</w:t>
      </w:r>
      <w:r>
        <w:rPr>
          <w:rFonts w:ascii="Cambria" w:eastAsia="Cambria" w:hAnsi="Cambria" w:cs="Cambria"/>
          <w:color w:val="353740"/>
          <w:sz w:val="24"/>
          <w:szCs w:val="24"/>
        </w:rPr>
        <w:t>) and plotted against latitude (</w:t>
      </w:r>
      <w:r>
        <w:rPr>
          <w:rFonts w:ascii="Cambria" w:eastAsia="Cambria" w:hAnsi="Cambria" w:cs="Cambria"/>
          <w:b/>
          <w:color w:val="353740"/>
          <w:sz w:val="24"/>
          <w:szCs w:val="24"/>
        </w:rPr>
        <w:t>d</w:t>
      </w:r>
      <w:r>
        <w:rPr>
          <w:rFonts w:ascii="Cambria" w:eastAsia="Cambria" w:hAnsi="Cambria" w:cs="Cambria"/>
          <w:color w:val="353740"/>
          <w:sz w:val="24"/>
          <w:szCs w:val="24"/>
        </w:rPr>
        <w:t xml:space="preserve">). Sexual selection was scored in five categories ranging from monogamy (0) to extreme polygamy (4; see Methods). In </w:t>
      </w:r>
      <w:r>
        <w:rPr>
          <w:rFonts w:ascii="Cambria" w:eastAsia="Cambria" w:hAnsi="Cambria" w:cs="Cambria"/>
          <w:b/>
          <w:color w:val="353740"/>
          <w:sz w:val="24"/>
          <w:szCs w:val="24"/>
        </w:rPr>
        <w:t>a</w:t>
      </w:r>
      <w:r>
        <w:rPr>
          <w:rFonts w:ascii="Cambria" w:eastAsia="Cambria" w:hAnsi="Cambria" w:cs="Cambria"/>
          <w:color w:val="353740"/>
          <w:sz w:val="24"/>
          <w:szCs w:val="24"/>
        </w:rPr>
        <w:t xml:space="preserve"> and </w:t>
      </w:r>
      <w:r>
        <w:rPr>
          <w:rFonts w:ascii="Cambria" w:eastAsia="Cambria" w:hAnsi="Cambria" w:cs="Cambria"/>
          <w:b/>
          <w:color w:val="353740"/>
          <w:sz w:val="24"/>
          <w:szCs w:val="24"/>
        </w:rPr>
        <w:t>c</w:t>
      </w:r>
      <w:r>
        <w:rPr>
          <w:rFonts w:ascii="Cambria" w:eastAsia="Cambria" w:hAnsi="Cambria" w:cs="Cambria"/>
          <w:color w:val="353740"/>
          <w:sz w:val="24"/>
          <w:szCs w:val="24"/>
        </w:rPr>
        <w:t>, averages for each cell are calculated from all species with geographical range maps overlapping each 5-km grid cell; In scatterplots, variables were averaged within five-degree latitudinal bins based on the centroid latitude of their geographical ranges; points represent means; bars denote one standard error; dashed lines were generated from species-level Bayesian regression models predicting sexual selection strength. Additional species-level models on a high certainty subset (scored 3–4) showed similar patterns and are reported in Table S2. To reduce noise, cells with &lt;10 species were excluded from all maps, and latitudinal bins above 70 degrees were excluded from all scatterplots.</w:t>
      </w:r>
    </w:p>
    <w:p w14:paraId="24F170AE" w14:textId="77777777" w:rsidR="001E6400" w:rsidRPr="002972A1" w:rsidRDefault="001E6400" w:rsidP="001E6400">
      <w:pPr>
        <w:suppressLineNumbers/>
        <w:pBdr>
          <w:top w:val="nil"/>
          <w:left w:val="nil"/>
          <w:bottom w:val="nil"/>
          <w:right w:val="nil"/>
          <w:between w:val="nil"/>
        </w:pBdr>
        <w:spacing w:line="360" w:lineRule="auto"/>
        <w:jc w:val="center"/>
        <w:rPr>
          <w:rFonts w:ascii="Cambria" w:eastAsia="Cambria" w:hAnsi="Cambria" w:cs="Cambria"/>
          <w:color w:val="353740"/>
          <w:sz w:val="24"/>
          <w:szCs w:val="24"/>
        </w:rPr>
      </w:pPr>
      <w:r>
        <w:rPr>
          <w:rFonts w:ascii="Cambria" w:eastAsia="Cambria" w:hAnsi="Cambria" w:cs="Cambria"/>
          <w:noProof/>
          <w:color w:val="353740"/>
          <w:sz w:val="24"/>
          <w:szCs w:val="24"/>
        </w:rPr>
        <w:lastRenderedPageBreak/>
        <w:drawing>
          <wp:inline distT="0" distB="0" distL="0" distR="0" wp14:anchorId="377B7692" wp14:editId="168099C8">
            <wp:extent cx="4860270" cy="3240000"/>
            <wp:effectExtent l="0" t="0" r="0" b="0"/>
            <wp:docPr id="11" name="image12.png" descr="A map of the world&#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2.png" descr="A map of the world&#10;&#10;Description automatically generated with low confidence"/>
                    <pic:cNvPicPr preferRelativeResize="0"/>
                  </pic:nvPicPr>
                  <pic:blipFill>
                    <a:blip r:embed="rId9"/>
                    <a:srcRect/>
                    <a:stretch>
                      <a:fillRect/>
                    </a:stretch>
                  </pic:blipFill>
                  <pic:spPr>
                    <a:xfrm>
                      <a:off x="0" y="0"/>
                      <a:ext cx="4860270" cy="3240000"/>
                    </a:xfrm>
                    <a:prstGeom prst="rect">
                      <a:avLst/>
                    </a:prstGeom>
                    <a:ln/>
                  </pic:spPr>
                </pic:pic>
              </a:graphicData>
            </a:graphic>
          </wp:inline>
        </w:drawing>
      </w:r>
    </w:p>
    <w:p w14:paraId="5D7C896B" w14:textId="77777777" w:rsidR="001E6400" w:rsidRPr="002F3251" w:rsidRDefault="001E6400" w:rsidP="001E6400">
      <w:pPr>
        <w:pBdr>
          <w:top w:val="nil"/>
          <w:left w:val="nil"/>
          <w:bottom w:val="nil"/>
          <w:right w:val="nil"/>
          <w:between w:val="nil"/>
        </w:pBdr>
        <w:spacing w:line="360" w:lineRule="auto"/>
        <w:rPr>
          <w:rFonts w:ascii="Cambria" w:eastAsia="Cambria" w:hAnsi="Cambria" w:cs="Cambria"/>
          <w:color w:val="353740"/>
          <w:sz w:val="24"/>
          <w:szCs w:val="24"/>
        </w:rPr>
      </w:pPr>
      <w:r>
        <w:rPr>
          <w:rFonts w:ascii="Cambria" w:eastAsia="Cambria" w:hAnsi="Cambria" w:cs="Cambria"/>
          <w:b/>
          <w:color w:val="353740"/>
          <w:sz w:val="24"/>
          <w:szCs w:val="24"/>
        </w:rPr>
        <w:t xml:space="preserve">Extended Data Fig. 5. Global distribution of sexual selection partitioned by territorial behaviour. </w:t>
      </w:r>
      <w:r>
        <w:rPr>
          <w:rFonts w:ascii="Cambria" w:eastAsia="Cambria" w:hAnsi="Cambria" w:cs="Cambria"/>
          <w:color w:val="353740"/>
          <w:sz w:val="24"/>
          <w:szCs w:val="24"/>
        </w:rPr>
        <w:t>Upper panels show strength of sexual selection in seasonal and year-round territorial species mapped globally (</w:t>
      </w:r>
      <w:r>
        <w:rPr>
          <w:rFonts w:ascii="Cambria" w:eastAsia="Cambria" w:hAnsi="Cambria" w:cs="Cambria"/>
          <w:b/>
          <w:color w:val="353740"/>
          <w:sz w:val="24"/>
          <w:szCs w:val="24"/>
        </w:rPr>
        <w:t>a</w:t>
      </w:r>
      <w:r>
        <w:rPr>
          <w:rFonts w:ascii="Cambria" w:eastAsia="Cambria" w:hAnsi="Cambria" w:cs="Cambria"/>
          <w:color w:val="353740"/>
          <w:sz w:val="24"/>
          <w:szCs w:val="24"/>
        </w:rPr>
        <w:t>) and plotted against latitude (</w:t>
      </w:r>
      <w:r>
        <w:rPr>
          <w:rFonts w:ascii="Cambria" w:eastAsia="Cambria" w:hAnsi="Cambria" w:cs="Cambria"/>
          <w:b/>
          <w:color w:val="353740"/>
          <w:sz w:val="24"/>
          <w:szCs w:val="24"/>
        </w:rPr>
        <w:t>b</w:t>
      </w:r>
      <w:r>
        <w:rPr>
          <w:rFonts w:ascii="Cambria" w:eastAsia="Cambria" w:hAnsi="Cambria" w:cs="Cambria"/>
          <w:color w:val="353740"/>
          <w:sz w:val="24"/>
          <w:szCs w:val="24"/>
        </w:rPr>
        <w:t>). Lower panels show strength of sexual selection in non-territorial species mapped globally (</w:t>
      </w:r>
      <w:r>
        <w:rPr>
          <w:rFonts w:ascii="Cambria" w:eastAsia="Cambria" w:hAnsi="Cambria" w:cs="Cambria"/>
          <w:b/>
          <w:color w:val="353740"/>
          <w:sz w:val="24"/>
          <w:szCs w:val="24"/>
        </w:rPr>
        <w:t>c</w:t>
      </w:r>
      <w:r>
        <w:rPr>
          <w:rFonts w:ascii="Cambria" w:eastAsia="Cambria" w:hAnsi="Cambria" w:cs="Cambria"/>
          <w:color w:val="353740"/>
          <w:sz w:val="24"/>
          <w:szCs w:val="24"/>
        </w:rPr>
        <w:t>) and plotted against latitude (</w:t>
      </w:r>
      <w:r>
        <w:rPr>
          <w:rFonts w:ascii="Cambria" w:eastAsia="Cambria" w:hAnsi="Cambria" w:cs="Cambria"/>
          <w:b/>
          <w:color w:val="353740"/>
          <w:sz w:val="24"/>
          <w:szCs w:val="24"/>
        </w:rPr>
        <w:t>d</w:t>
      </w:r>
      <w:r>
        <w:rPr>
          <w:rFonts w:ascii="Cambria" w:eastAsia="Cambria" w:hAnsi="Cambria" w:cs="Cambria"/>
          <w:color w:val="353740"/>
          <w:sz w:val="24"/>
          <w:szCs w:val="24"/>
        </w:rPr>
        <w:t xml:space="preserve">). Sexual selection was scored in five categories ranging from monogamy (0) to extreme polygamy (4; see Methods). In </w:t>
      </w:r>
      <w:r>
        <w:rPr>
          <w:rFonts w:ascii="Cambria" w:eastAsia="Cambria" w:hAnsi="Cambria" w:cs="Cambria"/>
          <w:b/>
          <w:color w:val="353740"/>
          <w:sz w:val="24"/>
          <w:szCs w:val="24"/>
        </w:rPr>
        <w:t>a</w:t>
      </w:r>
      <w:r>
        <w:rPr>
          <w:rFonts w:ascii="Cambria" w:eastAsia="Cambria" w:hAnsi="Cambria" w:cs="Cambria"/>
          <w:color w:val="353740"/>
          <w:sz w:val="24"/>
          <w:szCs w:val="24"/>
        </w:rPr>
        <w:t xml:space="preserve"> and </w:t>
      </w:r>
      <w:r>
        <w:rPr>
          <w:rFonts w:ascii="Cambria" w:eastAsia="Cambria" w:hAnsi="Cambria" w:cs="Cambria"/>
          <w:b/>
          <w:color w:val="353740"/>
          <w:sz w:val="24"/>
          <w:szCs w:val="24"/>
        </w:rPr>
        <w:t>c</w:t>
      </w:r>
      <w:r>
        <w:rPr>
          <w:rFonts w:ascii="Cambria" w:eastAsia="Cambria" w:hAnsi="Cambria" w:cs="Cambria"/>
          <w:color w:val="353740"/>
          <w:sz w:val="24"/>
          <w:szCs w:val="24"/>
        </w:rPr>
        <w:t xml:space="preserve">, averages for each cell are calculated from all species with geographical range maps overlapping each 5-km grid cell. In scatterplots, variables were averaged within </w:t>
      </w:r>
      <w:proofErr w:type="gramStart"/>
      <w:r>
        <w:rPr>
          <w:rFonts w:ascii="Cambria" w:eastAsia="Cambria" w:hAnsi="Cambria" w:cs="Cambria"/>
          <w:color w:val="353740"/>
          <w:sz w:val="24"/>
          <w:szCs w:val="24"/>
        </w:rPr>
        <w:t>five degree</w:t>
      </w:r>
      <w:proofErr w:type="gramEnd"/>
      <w:r>
        <w:rPr>
          <w:rFonts w:ascii="Cambria" w:eastAsia="Cambria" w:hAnsi="Cambria" w:cs="Cambria"/>
          <w:color w:val="353740"/>
          <w:sz w:val="24"/>
          <w:szCs w:val="24"/>
        </w:rPr>
        <w:t xml:space="preserve"> latitudinal bins based on the centroid latitude of their geographical ranges; points represent means; bars denote one standard error; dashed lines were generated from species-level </w:t>
      </w:r>
      <w:proofErr w:type="spellStart"/>
      <w:r>
        <w:rPr>
          <w:rFonts w:ascii="Cambria" w:eastAsia="Cambria" w:hAnsi="Cambria" w:cs="Cambria"/>
          <w:color w:val="353740"/>
          <w:sz w:val="24"/>
          <w:szCs w:val="24"/>
        </w:rPr>
        <w:t>bayesian</w:t>
      </w:r>
      <w:proofErr w:type="spellEnd"/>
      <w:r>
        <w:rPr>
          <w:rFonts w:ascii="Cambria" w:eastAsia="Cambria" w:hAnsi="Cambria" w:cs="Cambria"/>
          <w:color w:val="353740"/>
          <w:sz w:val="24"/>
          <w:szCs w:val="24"/>
        </w:rPr>
        <w:t xml:space="preserve"> regression models predicting sexual selection strength. Additional species-level models on a high certainty subset (scored 3–4) showed similar patterns and are reported in Table S2. To reduce noise, cells with &lt;10 species were excluded from all maps, and latitudinal bins above 70 degrees were excluded from all scatterplots.</w:t>
      </w:r>
    </w:p>
    <w:p w14:paraId="0DB0AF48" w14:textId="77777777" w:rsidR="001E6400" w:rsidRPr="002972A1" w:rsidRDefault="001E6400" w:rsidP="001E6400">
      <w:pPr>
        <w:suppressLineNumbers/>
        <w:jc w:val="center"/>
        <w:rPr>
          <w:sz w:val="24"/>
          <w:szCs w:val="24"/>
        </w:rPr>
      </w:pPr>
      <w:r>
        <w:rPr>
          <w:noProof/>
        </w:rPr>
        <w:lastRenderedPageBreak/>
        <w:drawing>
          <wp:inline distT="0" distB="0" distL="0" distR="0" wp14:anchorId="5E983FDB" wp14:editId="11D6A93A">
            <wp:extent cx="5022278" cy="3348000"/>
            <wp:effectExtent l="0" t="0" r="0" b="0"/>
            <wp:docPr id="10" name="image13.png" descr="A picture containing text, diagram, screenshot, black and whit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3.png" descr="A picture containing text, diagram, screenshot, black and white&#10;&#10;Description automatically generated"/>
                    <pic:cNvPicPr preferRelativeResize="0"/>
                  </pic:nvPicPr>
                  <pic:blipFill>
                    <a:blip r:embed="rId10"/>
                    <a:srcRect/>
                    <a:stretch>
                      <a:fillRect/>
                    </a:stretch>
                  </pic:blipFill>
                  <pic:spPr>
                    <a:xfrm>
                      <a:off x="0" y="0"/>
                      <a:ext cx="5022278" cy="3348000"/>
                    </a:xfrm>
                    <a:prstGeom prst="rect">
                      <a:avLst/>
                    </a:prstGeom>
                    <a:ln/>
                  </pic:spPr>
                </pic:pic>
              </a:graphicData>
            </a:graphic>
          </wp:inline>
        </w:drawing>
      </w:r>
    </w:p>
    <w:p w14:paraId="4E4115BA" w14:textId="77777777" w:rsidR="001E6400" w:rsidRPr="002972A1" w:rsidRDefault="001E6400" w:rsidP="001E6400">
      <w:pPr>
        <w:pBdr>
          <w:top w:val="nil"/>
          <w:left w:val="nil"/>
          <w:bottom w:val="nil"/>
          <w:right w:val="nil"/>
          <w:between w:val="nil"/>
        </w:pBdr>
        <w:spacing w:line="360" w:lineRule="auto"/>
        <w:rPr>
          <w:rFonts w:ascii="Cambria" w:eastAsia="Cambria" w:hAnsi="Cambria" w:cs="Cambria"/>
          <w:color w:val="353740"/>
          <w:sz w:val="24"/>
          <w:szCs w:val="24"/>
        </w:rPr>
      </w:pPr>
      <w:r>
        <w:rPr>
          <w:rFonts w:ascii="Cambria" w:eastAsia="Cambria" w:hAnsi="Cambria" w:cs="Cambria"/>
          <w:b/>
          <w:color w:val="353740"/>
          <w:sz w:val="24"/>
          <w:szCs w:val="24"/>
        </w:rPr>
        <w:t xml:space="preserve">Extended Data Fig. 6. Variation in sexual selection for tropical and non-tropical species. </w:t>
      </w:r>
      <w:r>
        <w:rPr>
          <w:rFonts w:ascii="Cambria" w:eastAsia="Cambria" w:hAnsi="Cambria" w:cs="Cambria"/>
          <w:color w:val="353740"/>
          <w:sz w:val="24"/>
          <w:szCs w:val="24"/>
        </w:rPr>
        <w:t xml:space="preserve">Models predicting the difference in sexual selection strength between tropical and non-tropical species, partitioned by ecological trait. Black points show estimated sexual selection for each group, extracted from species-level </w:t>
      </w:r>
      <w:proofErr w:type="spellStart"/>
      <w:r>
        <w:rPr>
          <w:rFonts w:ascii="Cambria" w:eastAsia="Cambria" w:hAnsi="Cambria" w:cs="Cambria"/>
          <w:color w:val="353740"/>
          <w:sz w:val="24"/>
          <w:szCs w:val="24"/>
        </w:rPr>
        <w:t>bayesian</w:t>
      </w:r>
      <w:proofErr w:type="spellEnd"/>
      <w:r>
        <w:rPr>
          <w:rFonts w:ascii="Cambria" w:eastAsia="Cambria" w:hAnsi="Cambria" w:cs="Cambria"/>
          <w:color w:val="353740"/>
          <w:sz w:val="24"/>
          <w:szCs w:val="24"/>
        </w:rPr>
        <w:t xml:space="preserve"> regression models; whiskers show 95% confidence intervals from model predictions. Additional species-level models on a high certainty subset (scored 3–4) showed similar patterns (Table S3; Supplementary Information). Numbers above whiskers are sample sizes (number of species).</w:t>
      </w:r>
      <w:r>
        <w:rPr>
          <w:noProof/>
        </w:rPr>
        <w:br w:type="page"/>
      </w:r>
    </w:p>
    <w:p w14:paraId="31EB5FBB" w14:textId="77777777" w:rsidR="001E6400" w:rsidRDefault="001E6400" w:rsidP="001E6400">
      <w:pPr>
        <w:suppressLineNumbers/>
        <w:jc w:val="center"/>
      </w:pPr>
      <w:r>
        <w:rPr>
          <w:noProof/>
        </w:rPr>
        <w:lastRenderedPageBreak/>
        <w:drawing>
          <wp:inline distT="114300" distB="114300" distL="114300" distR="114300" wp14:anchorId="7326C26D" wp14:editId="30FDBDD2">
            <wp:extent cx="3895200" cy="2670683"/>
            <wp:effectExtent l="0" t="0" r="0" b="0"/>
            <wp:docPr id="13" name="image4.png" descr="A graph of a number of men and women&#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3" name="image4.png" descr="A graph of a number of men and women&#10;&#10;Description automatically generated with medium confidence"/>
                    <pic:cNvPicPr preferRelativeResize="0"/>
                  </pic:nvPicPr>
                  <pic:blipFill>
                    <a:blip r:embed="rId11"/>
                    <a:srcRect/>
                    <a:stretch>
                      <a:fillRect/>
                    </a:stretch>
                  </pic:blipFill>
                  <pic:spPr>
                    <a:xfrm>
                      <a:off x="0" y="0"/>
                      <a:ext cx="3895200" cy="2670683"/>
                    </a:xfrm>
                    <a:prstGeom prst="rect">
                      <a:avLst/>
                    </a:prstGeom>
                    <a:ln/>
                  </pic:spPr>
                </pic:pic>
              </a:graphicData>
            </a:graphic>
          </wp:inline>
        </w:drawing>
      </w:r>
    </w:p>
    <w:p w14:paraId="2DC456A3" w14:textId="77777777" w:rsidR="001E6400" w:rsidRDefault="001E6400" w:rsidP="001E6400">
      <w:pPr>
        <w:pBdr>
          <w:top w:val="nil"/>
          <w:left w:val="nil"/>
          <w:bottom w:val="nil"/>
          <w:right w:val="nil"/>
          <w:between w:val="nil"/>
        </w:pBdr>
        <w:spacing w:line="360" w:lineRule="auto"/>
        <w:rPr>
          <w:rFonts w:ascii="Cambria" w:eastAsia="Cambria" w:hAnsi="Cambria" w:cs="Cambria"/>
          <w:sz w:val="24"/>
          <w:szCs w:val="24"/>
        </w:rPr>
      </w:pPr>
      <w:bookmarkStart w:id="1" w:name="_1t3h5sf" w:colFirst="0" w:colLast="0"/>
      <w:bookmarkEnd w:id="1"/>
      <w:r>
        <w:rPr>
          <w:rFonts w:ascii="Cambria" w:eastAsia="Cambria" w:hAnsi="Cambria" w:cs="Cambria"/>
          <w:b/>
          <w:color w:val="353740"/>
          <w:sz w:val="24"/>
          <w:szCs w:val="24"/>
        </w:rPr>
        <w:t>Extended Data Fig. 7 Evolutionary drivers of avian sexual selection.</w:t>
      </w:r>
      <w:r>
        <w:rPr>
          <w:rFonts w:ascii="Cambria" w:eastAsia="Cambria" w:hAnsi="Cambria" w:cs="Cambria"/>
          <w:color w:val="353740"/>
          <w:sz w:val="24"/>
          <w:szCs w:val="24"/>
        </w:rPr>
        <w:t xml:space="preserve"> </w:t>
      </w:r>
      <w:r>
        <w:rPr>
          <w:rFonts w:ascii="Cambria" w:eastAsia="Cambria" w:hAnsi="Cambria" w:cs="Cambria"/>
          <w:sz w:val="24"/>
          <w:szCs w:val="24"/>
        </w:rPr>
        <w:t xml:space="preserve">Results shown are from Bayesian phylogenetic models testing drivers of sexual selection in species scored with moderate and high data certainty scores (scored 3–4; </w:t>
      </w:r>
      <w:r>
        <w:rPr>
          <w:rFonts w:ascii="Cambria" w:eastAsia="Cambria" w:hAnsi="Cambria" w:cs="Cambria"/>
          <w:i/>
          <w:sz w:val="24"/>
          <w:szCs w:val="24"/>
        </w:rPr>
        <w:t>n</w:t>
      </w:r>
      <w:r>
        <w:rPr>
          <w:rFonts w:ascii="Cambria" w:eastAsia="Cambria" w:hAnsi="Cambria" w:cs="Cambria"/>
          <w:sz w:val="24"/>
          <w:szCs w:val="24"/>
        </w:rPr>
        <w:t xml:space="preserve"> = 7592 species). Predictors include three life history variables (green), one climatic variable (pink), and two key interactions between diet and the dominant effects (territoriality and seasonality; blue). </w:t>
      </w:r>
      <w:r>
        <w:rPr>
          <w:rFonts w:ascii="Cambria" w:eastAsia="Cambria" w:hAnsi="Cambria" w:cs="Cambria"/>
          <w:color w:val="353740"/>
          <w:sz w:val="24"/>
          <w:szCs w:val="24"/>
        </w:rPr>
        <w:t xml:space="preserve">The reference groups for the three categorical predictors are as follows: secondary consumer; no migration; and no territoriality, respectively (see Methods for definitions). </w:t>
      </w:r>
      <w:r>
        <w:rPr>
          <w:rFonts w:ascii="Cambria" w:eastAsia="Cambria" w:hAnsi="Cambria" w:cs="Cambria"/>
          <w:sz w:val="24"/>
          <w:szCs w:val="24"/>
        </w:rPr>
        <w:t>Models were run on a sample of 50 phylogenetic trees extracted from www.birdtree.org (</w:t>
      </w:r>
      <w:proofErr w:type="spellStart"/>
      <w:r>
        <w:rPr>
          <w:rFonts w:ascii="Cambria" w:eastAsia="Cambria" w:hAnsi="Cambria" w:cs="Cambria"/>
          <w:sz w:val="24"/>
          <w:szCs w:val="24"/>
        </w:rPr>
        <w:t>Jetz</w:t>
      </w:r>
      <w:proofErr w:type="spellEnd"/>
      <w:r>
        <w:rPr>
          <w:rFonts w:ascii="Cambria" w:eastAsia="Cambria" w:hAnsi="Cambria" w:cs="Cambria"/>
          <w:sz w:val="24"/>
          <w:szCs w:val="24"/>
        </w:rPr>
        <w:t xml:space="preserve"> </w:t>
      </w:r>
      <w:r w:rsidRPr="00F5417C">
        <w:rPr>
          <w:rFonts w:ascii="Cambria" w:eastAsia="Cambria" w:hAnsi="Cambria" w:cs="Cambria"/>
          <w:i/>
          <w:iCs/>
          <w:sz w:val="24"/>
          <w:szCs w:val="24"/>
        </w:rPr>
        <w:t>et al</w:t>
      </w:r>
      <w:r>
        <w:rPr>
          <w:rFonts w:ascii="Cambria" w:eastAsia="Cambria" w:hAnsi="Cambria" w:cs="Cambria"/>
          <w:sz w:val="24"/>
          <w:szCs w:val="24"/>
        </w:rPr>
        <w:t xml:space="preserve">. 2012), grafted to the </w:t>
      </w:r>
      <w:proofErr w:type="spellStart"/>
      <w:r>
        <w:rPr>
          <w:rFonts w:ascii="Cambria" w:eastAsia="Cambria" w:hAnsi="Cambria" w:cs="Cambria"/>
          <w:sz w:val="24"/>
          <w:szCs w:val="24"/>
        </w:rPr>
        <w:t>Prum</w:t>
      </w:r>
      <w:proofErr w:type="spellEnd"/>
      <w:r>
        <w:rPr>
          <w:rFonts w:ascii="Cambria" w:eastAsia="Cambria" w:hAnsi="Cambria" w:cs="Cambria"/>
          <w:sz w:val="24"/>
          <w:szCs w:val="24"/>
        </w:rPr>
        <w:t xml:space="preserve"> </w:t>
      </w:r>
      <w:r w:rsidRPr="00F5417C">
        <w:rPr>
          <w:rFonts w:ascii="Cambria" w:eastAsia="Cambria" w:hAnsi="Cambria" w:cs="Cambria"/>
          <w:i/>
          <w:iCs/>
          <w:sz w:val="24"/>
          <w:szCs w:val="24"/>
        </w:rPr>
        <w:t>et al</w:t>
      </w:r>
      <w:r>
        <w:rPr>
          <w:rFonts w:ascii="Cambria" w:eastAsia="Cambria" w:hAnsi="Cambria" w:cs="Cambria"/>
          <w:sz w:val="24"/>
          <w:szCs w:val="24"/>
        </w:rPr>
        <w:t>. (2015) genomic backbone. Dots show mean effect size estimates from 12,500 posterior draws. For each effect, broad bases of whiskers show 66% confidence intervals; narrow tips of whiskers show 95% confidence intervals. Coloured distributions indicate the spread of effect size estimates, generated from a sample of 1000 posterior draws. Full statistical results are presented in Supplementary Table S5.</w:t>
      </w:r>
    </w:p>
    <w:p w14:paraId="603C6C8D" w14:textId="77777777" w:rsidR="001E6400" w:rsidRDefault="001E6400" w:rsidP="001E6400">
      <w:pPr>
        <w:suppressLineNumbers/>
        <w:spacing w:line="360" w:lineRule="auto"/>
        <w:jc w:val="center"/>
        <w:rPr>
          <w:b/>
        </w:rPr>
      </w:pPr>
      <w:r>
        <w:lastRenderedPageBreak/>
        <w:t xml:space="preserve"> </w:t>
      </w:r>
      <w:r>
        <w:rPr>
          <w:noProof/>
        </w:rPr>
        <w:drawing>
          <wp:inline distT="0" distB="0" distL="0" distR="0" wp14:anchorId="1167DC43" wp14:editId="5879A7F1">
            <wp:extent cx="3527672" cy="4712970"/>
            <wp:effectExtent l="0" t="0" r="0" b="0"/>
            <wp:docPr id="12" name="image8.png" descr="A map of the world&#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8.png" descr="A map of the world&#10;&#10;Description automatically generated with low confidence"/>
                    <pic:cNvPicPr preferRelativeResize="0"/>
                  </pic:nvPicPr>
                  <pic:blipFill>
                    <a:blip r:embed="rId12"/>
                    <a:srcRect/>
                    <a:stretch>
                      <a:fillRect/>
                    </a:stretch>
                  </pic:blipFill>
                  <pic:spPr>
                    <a:xfrm>
                      <a:off x="0" y="0"/>
                      <a:ext cx="3527672" cy="4712970"/>
                    </a:xfrm>
                    <a:prstGeom prst="rect">
                      <a:avLst/>
                    </a:prstGeom>
                    <a:ln/>
                  </pic:spPr>
                </pic:pic>
              </a:graphicData>
            </a:graphic>
          </wp:inline>
        </w:drawing>
      </w:r>
    </w:p>
    <w:p w14:paraId="091D460D" w14:textId="77777777" w:rsidR="001E6400" w:rsidRPr="00CB2460" w:rsidRDefault="001E6400" w:rsidP="001E6400">
      <w:pPr>
        <w:spacing w:line="360" w:lineRule="auto"/>
        <w:rPr>
          <w:rFonts w:ascii="Cambria" w:eastAsia="Cambria" w:hAnsi="Cambria" w:cs="Cambria"/>
          <w:sz w:val="24"/>
          <w:szCs w:val="24"/>
        </w:rPr>
      </w:pPr>
      <w:r>
        <w:rPr>
          <w:rFonts w:ascii="Cambria" w:eastAsia="Cambria" w:hAnsi="Cambria" w:cs="Cambria"/>
          <w:b/>
          <w:sz w:val="24"/>
          <w:szCs w:val="24"/>
        </w:rPr>
        <w:t xml:space="preserve">Extended Data Fig. 8. Biogeography of avian territoriality. </w:t>
      </w:r>
      <w:r>
        <w:rPr>
          <w:rFonts w:ascii="Cambria" w:eastAsia="Cambria" w:hAnsi="Cambria" w:cs="Cambria"/>
          <w:sz w:val="24"/>
          <w:szCs w:val="24"/>
        </w:rPr>
        <w:t>Proportion of territorial primary consumers (</w:t>
      </w:r>
      <w:r>
        <w:rPr>
          <w:rFonts w:ascii="Cambria" w:eastAsia="Cambria" w:hAnsi="Cambria" w:cs="Cambria"/>
          <w:i/>
          <w:sz w:val="24"/>
          <w:szCs w:val="24"/>
        </w:rPr>
        <w:t>n</w:t>
      </w:r>
      <w:r>
        <w:rPr>
          <w:rFonts w:ascii="Cambria" w:eastAsia="Cambria" w:hAnsi="Cambria" w:cs="Cambria"/>
          <w:sz w:val="24"/>
          <w:szCs w:val="24"/>
        </w:rPr>
        <w:t xml:space="preserve"> = 1379 species) mapped globally (</w:t>
      </w:r>
      <w:r>
        <w:rPr>
          <w:rFonts w:ascii="Cambria" w:eastAsia="Cambria" w:hAnsi="Cambria" w:cs="Cambria"/>
          <w:b/>
          <w:sz w:val="24"/>
          <w:szCs w:val="24"/>
        </w:rPr>
        <w:t>a</w:t>
      </w:r>
      <w:r>
        <w:rPr>
          <w:rFonts w:ascii="Cambria" w:eastAsia="Cambria" w:hAnsi="Cambria" w:cs="Cambria"/>
          <w:sz w:val="24"/>
          <w:szCs w:val="24"/>
        </w:rPr>
        <w:t>), and plotted against latitude (</w:t>
      </w:r>
      <w:r>
        <w:rPr>
          <w:rFonts w:ascii="Cambria" w:eastAsia="Cambria" w:hAnsi="Cambria" w:cs="Cambria"/>
          <w:b/>
          <w:sz w:val="24"/>
          <w:szCs w:val="24"/>
        </w:rPr>
        <w:t>b</w:t>
      </w:r>
      <w:r>
        <w:rPr>
          <w:rFonts w:ascii="Cambria" w:eastAsia="Cambria" w:hAnsi="Cambria" w:cs="Cambria"/>
          <w:sz w:val="24"/>
          <w:szCs w:val="24"/>
        </w:rPr>
        <w:t>), compared with those holding year-round territories only (</w:t>
      </w:r>
      <w:r>
        <w:rPr>
          <w:rFonts w:ascii="Cambria" w:eastAsia="Cambria" w:hAnsi="Cambria" w:cs="Cambria"/>
          <w:b/>
          <w:sz w:val="24"/>
          <w:szCs w:val="24"/>
        </w:rPr>
        <w:t>c</w:t>
      </w:r>
      <w:r>
        <w:rPr>
          <w:rFonts w:ascii="Cambria" w:eastAsia="Cambria" w:hAnsi="Cambria" w:cs="Cambria"/>
          <w:sz w:val="24"/>
          <w:szCs w:val="24"/>
        </w:rPr>
        <w:t xml:space="preserve">, </w:t>
      </w:r>
      <w:r>
        <w:rPr>
          <w:rFonts w:ascii="Cambria" w:eastAsia="Cambria" w:hAnsi="Cambria" w:cs="Cambria"/>
          <w:b/>
          <w:sz w:val="24"/>
          <w:szCs w:val="24"/>
        </w:rPr>
        <w:t>d</w:t>
      </w:r>
      <w:r>
        <w:rPr>
          <w:rFonts w:ascii="Cambria" w:eastAsia="Cambria" w:hAnsi="Cambria" w:cs="Cambria"/>
          <w:sz w:val="24"/>
          <w:szCs w:val="24"/>
        </w:rPr>
        <w:t xml:space="preserve">; </w:t>
      </w:r>
      <w:r>
        <w:rPr>
          <w:rFonts w:ascii="Cambria" w:eastAsia="Cambria" w:hAnsi="Cambria" w:cs="Cambria"/>
          <w:i/>
          <w:sz w:val="24"/>
          <w:szCs w:val="24"/>
        </w:rPr>
        <w:t>n</w:t>
      </w:r>
      <w:r>
        <w:rPr>
          <w:rFonts w:ascii="Cambria" w:eastAsia="Cambria" w:hAnsi="Cambria" w:cs="Cambria"/>
          <w:sz w:val="24"/>
          <w:szCs w:val="24"/>
        </w:rPr>
        <w:t xml:space="preserve"> = 333 species). Proportion of territorial secondary consumers (</w:t>
      </w:r>
      <w:r>
        <w:rPr>
          <w:rFonts w:ascii="Cambria" w:eastAsia="Cambria" w:hAnsi="Cambria" w:cs="Cambria"/>
          <w:i/>
          <w:sz w:val="24"/>
          <w:szCs w:val="24"/>
        </w:rPr>
        <w:t>n</w:t>
      </w:r>
      <w:r>
        <w:rPr>
          <w:rFonts w:ascii="Cambria" w:eastAsia="Cambria" w:hAnsi="Cambria" w:cs="Cambria"/>
          <w:sz w:val="24"/>
          <w:szCs w:val="24"/>
        </w:rPr>
        <w:t xml:space="preserve"> = 5882 species) mapped globally (</w:t>
      </w:r>
      <w:r>
        <w:rPr>
          <w:rFonts w:ascii="Cambria" w:eastAsia="Cambria" w:hAnsi="Cambria" w:cs="Cambria"/>
          <w:b/>
          <w:sz w:val="24"/>
          <w:szCs w:val="24"/>
        </w:rPr>
        <w:t>e</w:t>
      </w:r>
      <w:r>
        <w:rPr>
          <w:rFonts w:ascii="Cambria" w:eastAsia="Cambria" w:hAnsi="Cambria" w:cs="Cambria"/>
          <w:sz w:val="24"/>
          <w:szCs w:val="24"/>
        </w:rPr>
        <w:t>) and plotted against latitude (</w:t>
      </w:r>
      <w:r>
        <w:rPr>
          <w:rFonts w:ascii="Cambria" w:eastAsia="Cambria" w:hAnsi="Cambria" w:cs="Cambria"/>
          <w:b/>
          <w:sz w:val="24"/>
          <w:szCs w:val="24"/>
        </w:rPr>
        <w:t>f</w:t>
      </w:r>
      <w:r>
        <w:rPr>
          <w:rFonts w:ascii="Cambria" w:eastAsia="Cambria" w:hAnsi="Cambria" w:cs="Cambria"/>
          <w:sz w:val="24"/>
          <w:szCs w:val="24"/>
        </w:rPr>
        <w:t>), compared with those holding year-round territories only (</w:t>
      </w:r>
      <w:r>
        <w:rPr>
          <w:rFonts w:ascii="Cambria" w:eastAsia="Cambria" w:hAnsi="Cambria" w:cs="Cambria"/>
          <w:b/>
          <w:sz w:val="24"/>
          <w:szCs w:val="24"/>
        </w:rPr>
        <w:t>g</w:t>
      </w:r>
      <w:r>
        <w:rPr>
          <w:rFonts w:ascii="Cambria" w:eastAsia="Cambria" w:hAnsi="Cambria" w:cs="Cambria"/>
          <w:sz w:val="24"/>
          <w:szCs w:val="24"/>
        </w:rPr>
        <w:t xml:space="preserve">, </w:t>
      </w:r>
      <w:r>
        <w:rPr>
          <w:rFonts w:ascii="Cambria" w:eastAsia="Cambria" w:hAnsi="Cambria" w:cs="Cambria"/>
          <w:b/>
          <w:sz w:val="24"/>
          <w:szCs w:val="24"/>
        </w:rPr>
        <w:t>h</w:t>
      </w:r>
      <w:r>
        <w:rPr>
          <w:rFonts w:ascii="Cambria" w:eastAsia="Cambria" w:hAnsi="Cambria" w:cs="Cambria"/>
          <w:sz w:val="24"/>
          <w:szCs w:val="24"/>
        </w:rPr>
        <w:t xml:space="preserve">; </w:t>
      </w:r>
      <w:r>
        <w:rPr>
          <w:rFonts w:ascii="Cambria" w:eastAsia="Cambria" w:hAnsi="Cambria" w:cs="Cambria"/>
          <w:i/>
          <w:sz w:val="24"/>
          <w:szCs w:val="24"/>
        </w:rPr>
        <w:t>n</w:t>
      </w:r>
      <w:r>
        <w:rPr>
          <w:rFonts w:ascii="Cambria" w:eastAsia="Cambria" w:hAnsi="Cambria" w:cs="Cambria"/>
          <w:sz w:val="24"/>
          <w:szCs w:val="24"/>
        </w:rPr>
        <w:t xml:space="preserve"> = 2640 species). Territoriality data (see Methods) were converted into binary scores for mapping purposes, as follows: in </w:t>
      </w:r>
      <w:r>
        <w:rPr>
          <w:rFonts w:ascii="Cambria" w:eastAsia="Cambria" w:hAnsi="Cambria" w:cs="Cambria"/>
          <w:b/>
          <w:sz w:val="24"/>
          <w:szCs w:val="24"/>
        </w:rPr>
        <w:t xml:space="preserve">a, b, </w:t>
      </w:r>
      <w:proofErr w:type="gramStart"/>
      <w:r>
        <w:rPr>
          <w:rFonts w:ascii="Cambria" w:eastAsia="Cambria" w:hAnsi="Cambria" w:cs="Cambria"/>
          <w:b/>
          <w:sz w:val="24"/>
          <w:szCs w:val="24"/>
        </w:rPr>
        <w:t>e</w:t>
      </w:r>
      <w:proofErr w:type="gramEnd"/>
      <w:r>
        <w:rPr>
          <w:rFonts w:ascii="Cambria" w:eastAsia="Cambria" w:hAnsi="Cambria" w:cs="Cambria"/>
          <w:b/>
          <w:sz w:val="24"/>
          <w:szCs w:val="24"/>
        </w:rPr>
        <w:t xml:space="preserve"> </w:t>
      </w:r>
      <w:r>
        <w:rPr>
          <w:rFonts w:ascii="Cambria" w:eastAsia="Cambria" w:hAnsi="Cambria" w:cs="Cambria"/>
          <w:sz w:val="24"/>
          <w:szCs w:val="24"/>
        </w:rPr>
        <w:t>and</w:t>
      </w:r>
      <w:r>
        <w:rPr>
          <w:rFonts w:ascii="Cambria" w:eastAsia="Cambria" w:hAnsi="Cambria" w:cs="Cambria"/>
          <w:b/>
          <w:sz w:val="24"/>
          <w:szCs w:val="24"/>
        </w:rPr>
        <w:t xml:space="preserve"> f</w:t>
      </w:r>
      <w:r>
        <w:rPr>
          <w:rFonts w:ascii="Cambria" w:eastAsia="Cambria" w:hAnsi="Cambria" w:cs="Cambria"/>
          <w:sz w:val="24"/>
          <w:szCs w:val="24"/>
        </w:rPr>
        <w:t xml:space="preserve"> (0 = none; 1 = seasonal/year-round); in </w:t>
      </w:r>
      <w:r>
        <w:rPr>
          <w:rFonts w:ascii="Cambria" w:eastAsia="Cambria" w:hAnsi="Cambria" w:cs="Cambria"/>
          <w:b/>
          <w:sz w:val="24"/>
          <w:szCs w:val="24"/>
        </w:rPr>
        <w:t xml:space="preserve">c, d, g </w:t>
      </w:r>
      <w:r>
        <w:rPr>
          <w:rFonts w:ascii="Cambria" w:eastAsia="Cambria" w:hAnsi="Cambria" w:cs="Cambria"/>
          <w:sz w:val="24"/>
          <w:szCs w:val="24"/>
        </w:rPr>
        <w:t>and</w:t>
      </w:r>
      <w:r>
        <w:rPr>
          <w:rFonts w:ascii="Cambria" w:eastAsia="Cambria" w:hAnsi="Cambria" w:cs="Cambria"/>
          <w:b/>
          <w:sz w:val="24"/>
          <w:szCs w:val="24"/>
        </w:rPr>
        <w:t xml:space="preserve"> h </w:t>
      </w:r>
      <w:r>
        <w:rPr>
          <w:rFonts w:ascii="Cambria" w:eastAsia="Cambria" w:hAnsi="Cambria" w:cs="Cambria"/>
          <w:sz w:val="24"/>
          <w:szCs w:val="24"/>
        </w:rPr>
        <w:t xml:space="preserve">(0 = none/seasonal; 1 = year-round). In </w:t>
      </w:r>
      <w:r>
        <w:rPr>
          <w:rFonts w:ascii="Cambria" w:eastAsia="Cambria" w:hAnsi="Cambria" w:cs="Cambria"/>
          <w:b/>
          <w:sz w:val="24"/>
          <w:szCs w:val="24"/>
        </w:rPr>
        <w:t>a</w:t>
      </w:r>
      <w:r>
        <w:rPr>
          <w:rFonts w:ascii="Cambria" w:eastAsia="Cambria" w:hAnsi="Cambria" w:cs="Cambria"/>
          <w:sz w:val="24"/>
          <w:szCs w:val="24"/>
        </w:rPr>
        <w:t xml:space="preserve">, </w:t>
      </w:r>
      <w:r>
        <w:rPr>
          <w:rFonts w:ascii="Cambria" w:eastAsia="Cambria" w:hAnsi="Cambria" w:cs="Cambria"/>
          <w:b/>
          <w:sz w:val="24"/>
          <w:szCs w:val="24"/>
        </w:rPr>
        <w:t>c</w:t>
      </w:r>
      <w:r>
        <w:rPr>
          <w:rFonts w:ascii="Cambria" w:eastAsia="Cambria" w:hAnsi="Cambria" w:cs="Cambria"/>
          <w:sz w:val="24"/>
          <w:szCs w:val="24"/>
        </w:rPr>
        <w:t xml:space="preserve">, </w:t>
      </w:r>
      <w:proofErr w:type="gramStart"/>
      <w:r>
        <w:rPr>
          <w:rFonts w:ascii="Cambria" w:eastAsia="Cambria" w:hAnsi="Cambria" w:cs="Cambria"/>
          <w:b/>
          <w:sz w:val="24"/>
          <w:szCs w:val="24"/>
        </w:rPr>
        <w:t>e</w:t>
      </w:r>
      <w:proofErr w:type="gramEnd"/>
      <w:r>
        <w:rPr>
          <w:rFonts w:ascii="Cambria" w:eastAsia="Cambria" w:hAnsi="Cambria" w:cs="Cambria"/>
          <w:sz w:val="24"/>
          <w:szCs w:val="24"/>
        </w:rPr>
        <w:t xml:space="preserve"> and </w:t>
      </w:r>
      <w:r>
        <w:rPr>
          <w:rFonts w:ascii="Cambria" w:eastAsia="Cambria" w:hAnsi="Cambria" w:cs="Cambria"/>
          <w:b/>
          <w:sz w:val="24"/>
          <w:szCs w:val="24"/>
        </w:rPr>
        <w:t>g</w:t>
      </w:r>
      <w:r>
        <w:rPr>
          <w:rFonts w:ascii="Cambria" w:eastAsia="Cambria" w:hAnsi="Cambria" w:cs="Cambria"/>
          <w:sz w:val="24"/>
          <w:szCs w:val="24"/>
        </w:rPr>
        <w:t xml:space="preserve"> averages for each 5-km grid cell are calculated from all species with geographical range maps overlapping each cell. In </w:t>
      </w:r>
      <w:r>
        <w:rPr>
          <w:rFonts w:ascii="Cambria" w:eastAsia="Cambria" w:hAnsi="Cambria" w:cs="Cambria"/>
          <w:b/>
          <w:sz w:val="24"/>
          <w:szCs w:val="24"/>
        </w:rPr>
        <w:t>b</w:t>
      </w:r>
      <w:r>
        <w:rPr>
          <w:rFonts w:ascii="Cambria" w:eastAsia="Cambria" w:hAnsi="Cambria" w:cs="Cambria"/>
          <w:sz w:val="24"/>
          <w:szCs w:val="24"/>
        </w:rPr>
        <w:t xml:space="preserve">, </w:t>
      </w:r>
      <w:r>
        <w:rPr>
          <w:rFonts w:ascii="Cambria" w:eastAsia="Cambria" w:hAnsi="Cambria" w:cs="Cambria"/>
          <w:b/>
          <w:sz w:val="24"/>
          <w:szCs w:val="24"/>
        </w:rPr>
        <w:t>d</w:t>
      </w:r>
      <w:r>
        <w:rPr>
          <w:rFonts w:ascii="Cambria" w:eastAsia="Cambria" w:hAnsi="Cambria" w:cs="Cambria"/>
          <w:sz w:val="24"/>
          <w:szCs w:val="24"/>
        </w:rPr>
        <w:t xml:space="preserve">, </w:t>
      </w:r>
      <w:r>
        <w:rPr>
          <w:rFonts w:ascii="Cambria" w:eastAsia="Cambria" w:hAnsi="Cambria" w:cs="Cambria"/>
          <w:b/>
          <w:sz w:val="24"/>
          <w:szCs w:val="24"/>
        </w:rPr>
        <w:t>f</w:t>
      </w:r>
      <w:r>
        <w:rPr>
          <w:rFonts w:ascii="Cambria" w:eastAsia="Cambria" w:hAnsi="Cambria" w:cs="Cambria"/>
          <w:sz w:val="24"/>
          <w:szCs w:val="24"/>
        </w:rPr>
        <w:t xml:space="preserve"> and </w:t>
      </w:r>
      <w:r>
        <w:rPr>
          <w:rFonts w:ascii="Cambria" w:eastAsia="Cambria" w:hAnsi="Cambria" w:cs="Cambria"/>
          <w:b/>
          <w:sz w:val="24"/>
          <w:szCs w:val="24"/>
        </w:rPr>
        <w:t>h</w:t>
      </w:r>
      <w:r>
        <w:rPr>
          <w:rFonts w:ascii="Cambria" w:eastAsia="Cambria" w:hAnsi="Cambria" w:cs="Cambria"/>
          <w:sz w:val="24"/>
          <w:szCs w:val="24"/>
        </w:rPr>
        <w:t xml:space="preserve">, scores were averaged in 5-degree bins based on the centroid latitude of ranges; latitudinal bins above 70 degrees were excluded from all scatterplots. Points represent means; bars denote one standard error; dashed lines were generated from species-level Bayesian regression models. In </w:t>
      </w:r>
      <w:r>
        <w:rPr>
          <w:rFonts w:ascii="Cambria" w:eastAsia="Cambria" w:hAnsi="Cambria" w:cs="Cambria"/>
          <w:b/>
          <w:sz w:val="24"/>
          <w:szCs w:val="24"/>
        </w:rPr>
        <w:t>a</w:t>
      </w:r>
      <w:r>
        <w:rPr>
          <w:rFonts w:ascii="Cambria" w:eastAsia="Cambria" w:hAnsi="Cambria" w:cs="Cambria"/>
          <w:sz w:val="24"/>
          <w:szCs w:val="24"/>
        </w:rPr>
        <w:t xml:space="preserve">, </w:t>
      </w:r>
      <w:r>
        <w:rPr>
          <w:rFonts w:ascii="Cambria" w:eastAsia="Cambria" w:hAnsi="Cambria" w:cs="Cambria"/>
          <w:b/>
          <w:sz w:val="24"/>
          <w:szCs w:val="24"/>
        </w:rPr>
        <w:t>c</w:t>
      </w:r>
      <w:r>
        <w:rPr>
          <w:rFonts w:ascii="Cambria" w:eastAsia="Cambria" w:hAnsi="Cambria" w:cs="Cambria"/>
          <w:sz w:val="24"/>
          <w:szCs w:val="24"/>
        </w:rPr>
        <w:t xml:space="preserve">, </w:t>
      </w:r>
      <w:r>
        <w:rPr>
          <w:rFonts w:ascii="Cambria" w:eastAsia="Cambria" w:hAnsi="Cambria" w:cs="Cambria"/>
          <w:b/>
          <w:sz w:val="24"/>
          <w:szCs w:val="24"/>
        </w:rPr>
        <w:t>e</w:t>
      </w:r>
      <w:r>
        <w:rPr>
          <w:rFonts w:ascii="Cambria" w:eastAsia="Cambria" w:hAnsi="Cambria" w:cs="Cambria"/>
          <w:sz w:val="24"/>
          <w:szCs w:val="24"/>
        </w:rPr>
        <w:t xml:space="preserve"> and </w:t>
      </w:r>
      <w:r>
        <w:rPr>
          <w:rFonts w:ascii="Cambria" w:eastAsia="Cambria" w:hAnsi="Cambria" w:cs="Cambria"/>
          <w:b/>
          <w:sz w:val="24"/>
          <w:szCs w:val="24"/>
        </w:rPr>
        <w:t>g</w:t>
      </w:r>
      <w:r>
        <w:rPr>
          <w:rFonts w:ascii="Cambria" w:eastAsia="Cambria" w:hAnsi="Cambria" w:cs="Cambria"/>
          <w:sz w:val="24"/>
          <w:szCs w:val="24"/>
        </w:rPr>
        <w:t xml:space="preserve">, cells with &lt;10 species were excluded from maps. </w:t>
      </w:r>
      <w:r>
        <w:rPr>
          <w:rFonts w:ascii="Cambria" w:eastAsia="Cambria" w:hAnsi="Cambria" w:cs="Cambria"/>
          <w:color w:val="353740"/>
          <w:sz w:val="24"/>
          <w:szCs w:val="24"/>
        </w:rPr>
        <w:t xml:space="preserve"> </w:t>
      </w:r>
    </w:p>
    <w:p w14:paraId="2C5A3DC7" w14:textId="77777777" w:rsidR="001777A1" w:rsidRDefault="001777A1"/>
    <w:sectPr w:rsidR="001777A1">
      <w:pgSz w:w="11906" w:h="16838"/>
      <w:pgMar w:top="1440" w:right="1440" w:bottom="1440" w:left="1440" w:header="708" w:footer="708" w:gutter="0"/>
      <w:lnNumType w:countBy="1" w:restart="continuous"/>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400"/>
    <w:rsid w:val="001777A1"/>
    <w:rsid w:val="001E64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B2398"/>
  <w15:chartTrackingRefBased/>
  <w15:docId w15:val="{0C8BF933-C3AF-4D6E-97D1-A8C9F1115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6400"/>
    <w:rPr>
      <w:rFonts w:ascii="Calibri" w:eastAsia="Calibri" w:hAnsi="Calibri" w:cs="Calibri"/>
      <w:kern w:val="0"/>
      <w:lang w:val="en-GB"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1E64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g"/><Relationship Id="rId11" Type="http://schemas.openxmlformats.org/officeDocument/2006/relationships/image" Target="media/image7.png"/><Relationship Id="rId5" Type="http://schemas.openxmlformats.org/officeDocument/2006/relationships/hyperlink" Target="http://www.birdtree.org" TargetMode="External"/><Relationship Id="rId10" Type="http://schemas.openxmlformats.org/officeDocument/2006/relationships/image" Target="media/image6.png"/><Relationship Id="rId4" Type="http://schemas.openxmlformats.org/officeDocument/2006/relationships/image" Target="media/image1.png"/><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1729</Words>
  <Characters>9861</Characters>
  <Application>Microsoft Office Word</Application>
  <DocSecurity>0</DocSecurity>
  <Lines>82</Lines>
  <Paragraphs>23</Paragraphs>
  <ScaleCrop>false</ScaleCrop>
  <Company/>
  <LinksUpToDate>false</LinksUpToDate>
  <CharactersWithSpaces>11567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dc:creator>
  <cp:keywords/>
  <dc:description/>
  <cp:lastModifiedBy>Editor</cp:lastModifiedBy>
  <cp:revision>1</cp:revision>
  <dcterms:created xsi:type="dcterms:W3CDTF">2023-09-15T18:21:00Z</dcterms:created>
  <dcterms:modified xsi:type="dcterms:W3CDTF">2023-09-15T18:21:00Z</dcterms:modified>
</cp:coreProperties>
</file>