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5917" w14:textId="0238E646" w:rsidR="00782F6F" w:rsidRDefault="00782F6F">
      <w:pPr>
        <w:rPr>
          <w:rFonts w:ascii="Arial" w:hAnsi="Arial" w:cs="Arial"/>
          <w:sz w:val="24"/>
          <w:szCs w:val="24"/>
          <w:lang w:val="en-US"/>
        </w:rPr>
      </w:pPr>
      <w:r w:rsidRPr="00ED0ECE">
        <w:rPr>
          <w:rFonts w:ascii="Arial" w:hAnsi="Arial" w:cs="Arial"/>
          <w:b/>
          <w:bCs/>
          <w:sz w:val="24"/>
          <w:szCs w:val="24"/>
          <w:lang w:val="en-US"/>
        </w:rPr>
        <w:t>Table 2</w:t>
      </w:r>
      <w:r w:rsidRPr="00ED0ECE">
        <w:rPr>
          <w:rFonts w:ascii="Arial" w:hAnsi="Arial" w:cs="Arial"/>
          <w:sz w:val="24"/>
          <w:szCs w:val="24"/>
          <w:lang w:val="en-US"/>
        </w:rPr>
        <w:t xml:space="preserve"> – </w:t>
      </w:r>
      <w:r w:rsidR="00ED0ECE">
        <w:rPr>
          <w:rFonts w:ascii="Arial" w:hAnsi="Arial" w:cs="Arial"/>
          <w:sz w:val="24"/>
          <w:szCs w:val="24"/>
          <w:lang w:val="en-US"/>
        </w:rPr>
        <w:t>I</w:t>
      </w:r>
      <w:r w:rsidRPr="00ED0ECE">
        <w:rPr>
          <w:rFonts w:ascii="Arial" w:hAnsi="Arial" w:cs="Arial"/>
          <w:sz w:val="24"/>
          <w:szCs w:val="24"/>
          <w:lang w:val="en-US"/>
        </w:rPr>
        <w:t xml:space="preserve">nterventions </w:t>
      </w:r>
      <w:r w:rsidR="00ED0ECE" w:rsidRPr="00ED0ECE">
        <w:rPr>
          <w:rFonts w:ascii="Arial" w:hAnsi="Arial" w:cs="Arial"/>
          <w:sz w:val="24"/>
          <w:szCs w:val="24"/>
          <w:lang w:val="en-US"/>
        </w:rPr>
        <w:t>evaluated, and population targeted</w:t>
      </w:r>
      <w:r w:rsidRPr="00ED0ECE">
        <w:rPr>
          <w:rFonts w:ascii="Arial" w:hAnsi="Arial" w:cs="Arial"/>
          <w:sz w:val="24"/>
          <w:szCs w:val="24"/>
          <w:lang w:val="en-US"/>
        </w:rPr>
        <w:t xml:space="preserve"> in the systematic review</w:t>
      </w:r>
      <w:r w:rsidR="00ED0ECE" w:rsidRPr="00ED0ECE">
        <w:rPr>
          <w:rFonts w:ascii="Arial" w:hAnsi="Arial" w:cs="Arial"/>
          <w:sz w:val="24"/>
          <w:szCs w:val="24"/>
          <w:lang w:val="en-US"/>
        </w:rPr>
        <w:t>s</w:t>
      </w:r>
    </w:p>
    <w:p w14:paraId="78C44DD4" w14:textId="77777777" w:rsidR="00ED0ECE" w:rsidRPr="00ED0ECE" w:rsidRDefault="00ED0ECE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Vanligtabell"/>
        <w:tblW w:w="5000" w:type="pct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9"/>
        <w:gridCol w:w="4643"/>
      </w:tblGrid>
      <w:tr w:rsidR="007207F4" w:rsidRPr="00F47E91" w14:paraId="58C3E80A" w14:textId="77777777" w:rsidTr="007207F4">
        <w:tc>
          <w:tcPr>
            <w:tcW w:w="2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1D042" w14:textId="77777777" w:rsidR="007207F4" w:rsidRPr="00ED0ECE" w:rsidRDefault="007207F4">
            <w:pPr>
              <w:rPr>
                <w:rFonts w:ascii="Arial" w:hAnsi="Arial" w:cs="Arial"/>
                <w:sz w:val="24"/>
                <w:szCs w:val="24"/>
                <w:lang w:val="en-US" w:eastAsia="en-US"/>
                <w14:ligatures w14:val="standardContextual"/>
              </w:rPr>
            </w:pPr>
            <w:r w:rsidRPr="00ED0EC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  <w14:ligatures w14:val="standardContextual"/>
              </w:rPr>
              <w:t>Interventions evaluated in the systematic reviews</w:t>
            </w:r>
          </w:p>
        </w:tc>
        <w:tc>
          <w:tcPr>
            <w:tcW w:w="2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F7EE4" w14:textId="77777777" w:rsidR="007207F4" w:rsidRPr="00ED0ECE" w:rsidRDefault="007207F4">
            <w:pPr>
              <w:rPr>
                <w:rFonts w:ascii="Arial" w:hAnsi="Arial" w:cs="Arial"/>
                <w:sz w:val="24"/>
                <w:szCs w:val="24"/>
                <w:lang w:eastAsia="en-US"/>
                <w14:ligatures w14:val="standardContextual"/>
              </w:rPr>
            </w:pPr>
            <w:r w:rsidRPr="00ED0EC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  <w14:ligatures w14:val="standardContextual"/>
              </w:rPr>
              <w:t xml:space="preserve">Populations targeted </w:t>
            </w:r>
          </w:p>
        </w:tc>
      </w:tr>
      <w:tr w:rsidR="007207F4" w:rsidRPr="00782F6F" w14:paraId="7C961146" w14:textId="77777777" w:rsidTr="007207F4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9A118" w14:textId="0153F515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 xml:space="preserve"> Capacity increase in </w:t>
            </w:r>
            <w:r w:rsidR="00726EAA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n</w:t>
            </w: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on-ED settings</w:t>
            </w:r>
          </w:p>
        </w:tc>
      </w:tr>
      <w:tr w:rsidR="007207F4" w:rsidRPr="00782F6F" w14:paraId="498DE666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19880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Walk-in centres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439E5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>Adults (Crawford et al.</w:t>
            </w:r>
            <w:proofErr w:type="gramStart"/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>);</w:t>
            </w:r>
            <w:proofErr w:type="gramEnd"/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 xml:space="preserve"> general population (Morley et al.); low acuity patients (Ismail et al.)</w:t>
            </w:r>
          </w:p>
        </w:tc>
      </w:tr>
      <w:tr w:rsidR="007207F4" w:rsidRPr="00F47E91" w14:paraId="3BE77CFE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CB995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Increasing the number of primary care centres or primary care physicians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83DD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General population </w:t>
            </w:r>
            <w:r w:rsidRPr="00F47E91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(Flores-Mateo et al.)</w:t>
            </w:r>
          </w:p>
        </w:tc>
      </w:tr>
      <w:tr w:rsidR="007207F4" w:rsidRPr="00F47E91" w14:paraId="42C03628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2EF98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Capacity increase in non-ED settings (i.e., new clinics, expanded hours)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E7374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 xml:space="preserve">General population (Morgan et al.); </w:t>
            </w:r>
          </w:p>
        </w:tc>
      </w:tr>
      <w:tr w:rsidR="007207F4" w:rsidRPr="00782F6F" w14:paraId="084930C7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A70AD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GP-cooperatives (co-located or nearby EDs and mainly out-of hours)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17603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>Adults (Crawford et al.</w:t>
            </w:r>
            <w:proofErr w:type="gramStart"/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>);</w:t>
            </w:r>
            <w:proofErr w:type="gramEnd"/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 xml:space="preserve"> low-acuity patients (Ismail et al.)</w:t>
            </w:r>
          </w:p>
        </w:tc>
      </w:tr>
      <w:tr w:rsidR="007207F4" w:rsidRPr="00F47E91" w14:paraId="348F7224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0F40B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After hours GP 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3B37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General population (Morley et al.)</w:t>
            </w:r>
          </w:p>
        </w:tc>
      </w:tr>
      <w:tr w:rsidR="007207F4" w:rsidRPr="00F47E91" w14:paraId="671E75D0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A9BA7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Out-of-hours medical services (by GP, commercially hired doctor, etc.)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247EF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General population (Flores-Mateo et al.)</w:t>
            </w:r>
          </w:p>
        </w:tc>
      </w:tr>
      <w:tr w:rsidR="007207F4" w:rsidRPr="00782F6F" w14:paraId="42004522" w14:textId="77777777" w:rsidTr="007207F4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A8C2D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 xml:space="preserve">Community health centres and care </w:t>
            </w:r>
          </w:p>
        </w:tc>
      </w:tr>
      <w:tr w:rsidR="007207F4" w:rsidRPr="00F47E91" w14:paraId="67504133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8F854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Community health centres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B733A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Low-acuity patients (Ismail et al.)</w:t>
            </w:r>
          </w:p>
        </w:tc>
      </w:tr>
      <w:tr w:rsidR="007207F4" w:rsidRPr="00782F6F" w14:paraId="2A4DFFF0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22629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Community hospitals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EA432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Older patients with acute medical problems (Huntley et al.)</w:t>
            </w:r>
          </w:p>
        </w:tc>
      </w:tr>
      <w:tr w:rsidR="007207F4" w:rsidRPr="00F47E91" w14:paraId="0831F58F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51A3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Emergency nurse practitioner in residential care facilities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89D93" w14:textId="129F1788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Low-acuity patients (Ismail et al.)</w:t>
            </w:r>
          </w:p>
        </w:tc>
      </w:tr>
      <w:tr w:rsidR="007207F4" w:rsidRPr="00782F6F" w14:paraId="69448D6D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62AAA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Paramedic practitioners/emergency care practitioners in the community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FB30C" w14:textId="2D846670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Older patients with acute medical problems (Huntley et al.)</w:t>
            </w:r>
            <w:r w:rsidR="00107B32"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 xml:space="preserve">, </w:t>
            </w:r>
            <w:r w:rsidR="00107B32"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</w:rPr>
              <w:t>o</w:t>
            </w:r>
            <w:r w:rsidR="00107B32" w:rsidRPr="00F47E91">
              <w:rPr>
                <w:rFonts w:ascii="Arial" w:hAnsi="Arial" w:cs="Arial"/>
                <w:sz w:val="20"/>
                <w:szCs w:val="20"/>
                <w:lang w:val="en-US" w:eastAsia="en-US"/>
              </w:rPr>
              <w:t>lder adults living in long-term care (Leduc et al.)</w:t>
            </w:r>
          </w:p>
        </w:tc>
      </w:tr>
      <w:tr w:rsidR="007207F4" w:rsidRPr="00F47E91" w14:paraId="3A789FA0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2860A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Social work home visits to identify patient needs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CCF47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eastAsia="en-US"/>
                <w14:ligatures w14:val="standardContextual"/>
              </w:rPr>
              <w:t>Adult frequent ED users (Moe et al.)</w:t>
            </w:r>
          </w:p>
        </w:tc>
      </w:tr>
      <w:tr w:rsidR="00211309" w:rsidRPr="00F47E91" w14:paraId="4B14A3A0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B384" w14:textId="5F088A87" w:rsidR="00211309" w:rsidRPr="00F47E91" w:rsidRDefault="00211309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Home-based primary care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F84C1" w14:textId="7BEFF59A" w:rsidR="00211309" w:rsidRPr="00F47E91" w:rsidRDefault="00211309">
            <w:pP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eastAsia="en-US"/>
                <w14:ligatures w14:val="standardContextual"/>
              </w:rPr>
              <w:t>Older adults (Stall et al. )</w:t>
            </w:r>
          </w:p>
        </w:tc>
      </w:tr>
      <w:tr w:rsidR="007207F4" w:rsidRPr="00F47E91" w14:paraId="036CF0E5" w14:textId="77777777" w:rsidTr="007207F4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085E1" w14:textId="087FC3A4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Triage</w:t>
            </w:r>
            <w:r w:rsidR="00BB324A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 xml:space="preserve"> and</w:t>
            </w:r>
            <w:r w:rsidR="0040003D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/or</w:t>
            </w:r>
            <w:r w:rsidR="00BB324A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 xml:space="preserve"> advice</w:t>
            </w:r>
          </w:p>
        </w:tc>
      </w:tr>
      <w:tr w:rsidR="007207F4" w:rsidRPr="00F47E91" w14:paraId="1E3D1F39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220BD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Telephone triage and out-of-hours advice services 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B832" w14:textId="77777777" w:rsidR="007207F4" w:rsidRPr="00F47E91" w:rsidRDefault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General population (</w:t>
            </w:r>
            <w:r w:rsidRPr="00F47E91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Flores-Mateo et al.); l</w:t>
            </w: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ow-acuity patients (Ismail et al.)</w:t>
            </w:r>
          </w:p>
        </w:tc>
      </w:tr>
      <w:tr w:rsidR="007207F4" w:rsidRPr="00782F6F" w14:paraId="51C57D97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DB9FD" w14:textId="15158A05" w:rsidR="007207F4" w:rsidRPr="00F47E91" w:rsidRDefault="007207F4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Pre-hospital diversion (e.g., EMS or nurses/call centres offering alternative care such as PCPs or urgent care centres, or EMS ‘treat and release’)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DE00" w14:textId="765C94D7" w:rsidR="007207F4" w:rsidRPr="00F47E91" w:rsidRDefault="007207F4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Low-acuity patients (Morgan et al.; Raven et al.); patients seeking ED care (Kirkland et al.), a</w:t>
            </w: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dult frequent ED users (Moe et al.)</w:t>
            </w:r>
          </w:p>
        </w:tc>
      </w:tr>
      <w:tr w:rsidR="00BB324A" w:rsidRPr="00782F6F" w14:paraId="30569D69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4810" w14:textId="589F02B0" w:rsidR="00BB324A" w:rsidRPr="00F47E91" w:rsidRDefault="00BB324A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Assessment by nurse practitioners using telemedicine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4602" w14:textId="6A06562E" w:rsidR="00BB324A" w:rsidRPr="00F47E91" w:rsidRDefault="00BB324A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</w:rPr>
              <w:t>Older adults living in long-term care (Leduc et al.)</w:t>
            </w:r>
          </w:p>
        </w:tc>
      </w:tr>
      <w:tr w:rsidR="00107B32" w:rsidRPr="00F47E91" w14:paraId="1D434044" w14:textId="77777777" w:rsidTr="00107B32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72F6E" w14:textId="7E4ACEB3" w:rsidR="00107B32" w:rsidRPr="00F47E91" w:rsidRDefault="00107B32" w:rsidP="007207F4">
            <w:pPr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F47E9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 w:eastAsia="en-US"/>
                <w14:ligatures w14:val="standardContextual"/>
              </w:rPr>
              <w:t>Care strategies for older adults</w:t>
            </w:r>
          </w:p>
        </w:tc>
      </w:tr>
      <w:tr w:rsidR="00107B32" w:rsidRPr="00782F6F" w14:paraId="20657EF6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80F9B" w14:textId="1EF5F4DB" w:rsidR="00107B32" w:rsidRPr="00F47E91" w:rsidRDefault="00107B32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End-of-life care by advanced nurses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9023" w14:textId="79FD68C1" w:rsidR="00107B32" w:rsidRPr="00F47E91" w:rsidRDefault="00107B32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</w:rPr>
              <w:t>Older adults living in long-term care (Leduc et al.)</w:t>
            </w:r>
          </w:p>
        </w:tc>
      </w:tr>
      <w:tr w:rsidR="00107B32" w:rsidRPr="00782F6F" w14:paraId="2B7941FF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41953" w14:textId="0F22AE09" w:rsidR="00107B32" w:rsidRPr="00F47E91" w:rsidRDefault="00107B32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Assessment and treatment toolkit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C6271" w14:textId="1079EEC9" w:rsidR="00107B32" w:rsidRPr="00F47E91" w:rsidRDefault="00107B32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</w:rPr>
              <w:t>Older adults living in long-term care (Leduc et al.)</w:t>
            </w:r>
          </w:p>
        </w:tc>
      </w:tr>
      <w:tr w:rsidR="007207F4" w:rsidRPr="00782F6F" w14:paraId="18725327" w14:textId="77777777" w:rsidTr="007207F4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38501" w14:textId="3E191108" w:rsidR="007207F4" w:rsidRPr="00F47E91" w:rsidRDefault="007207F4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Barrier strategies</w:t>
            </w:r>
            <w:r w:rsidR="00542558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 xml:space="preserve"> </w:t>
            </w:r>
            <w:r w:rsidR="0093045C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including</w:t>
            </w:r>
            <w:r w:rsidR="00542558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 xml:space="preserve"> financial </w:t>
            </w:r>
            <w:r w:rsidR="0093045C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incentives/</w:t>
            </w:r>
            <w:r w:rsidR="00542558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disincentives</w:t>
            </w: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 xml:space="preserve"> </w:t>
            </w:r>
          </w:p>
        </w:tc>
      </w:tr>
      <w:tr w:rsidR="007207F4" w:rsidRPr="00F47E91" w14:paraId="537596F6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CC632" w14:textId="77777777" w:rsidR="007207F4" w:rsidRPr="00F47E91" w:rsidRDefault="007207F4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Managed care (i.e., capitated payment of primary care physician or gatekeeping by PCP)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C73DC" w14:textId="77777777" w:rsidR="007207F4" w:rsidRPr="00F47E91" w:rsidRDefault="007207F4" w:rsidP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General population (Morgan et al.)</w:t>
            </w:r>
          </w:p>
        </w:tc>
      </w:tr>
      <w:tr w:rsidR="007207F4" w:rsidRPr="00F47E91" w14:paraId="14630A8C" w14:textId="77777777" w:rsidTr="00107B32">
        <w:trPr>
          <w:trHeight w:val="474"/>
        </w:trPr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D459D" w14:textId="77777777" w:rsidR="007207F4" w:rsidRPr="00F47E91" w:rsidRDefault="007207F4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Barrier interventions </w:t>
            </w:r>
            <w:r w:rsidRPr="00F47E91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(i.e., out-of-pocket payments, flat fee, gatekeeping)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879B" w14:textId="77777777" w:rsidR="007207F4" w:rsidRPr="00F47E91" w:rsidRDefault="007207F4" w:rsidP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General population </w:t>
            </w:r>
            <w:r w:rsidRPr="00F47E91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(Flores-Mateo et al.)</w:t>
            </w:r>
          </w:p>
        </w:tc>
      </w:tr>
      <w:tr w:rsidR="00542558" w:rsidRPr="00F47E91" w14:paraId="63B06266" w14:textId="77777777" w:rsidTr="00107B32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A02CC" w14:textId="72A102CA" w:rsidR="00542558" w:rsidRPr="00F47E91" w:rsidRDefault="00542558" w:rsidP="00542558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Financial penalties (i.e., copayments at ED)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A3E9B" w14:textId="25F4FAA4" w:rsidR="00542558" w:rsidRPr="00F47E91" w:rsidRDefault="00542558" w:rsidP="00542558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>Patients with Medicare or commercial insurance (Raven et al.)</w:t>
            </w:r>
          </w:p>
        </w:tc>
      </w:tr>
      <w:tr w:rsidR="007207F4" w:rsidRPr="00F47E91" w14:paraId="62BBEEB9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0FBCC" w14:textId="6DB68D91" w:rsidR="007207F4" w:rsidRPr="00F47E91" w:rsidRDefault="0093045C" w:rsidP="007207F4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‘</w:t>
            </w:r>
            <w:r w:rsidR="007207F4"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Patient financial incentives</w:t>
            </w: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’</w:t>
            </w:r>
            <w:r w:rsidR="007207F4"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 (i.e., using costs to influence patients to use certain sites for care, or to use care efficiently)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9A7F" w14:textId="77777777" w:rsidR="007207F4" w:rsidRPr="00F47E91" w:rsidRDefault="007207F4" w:rsidP="007207F4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General population (Morgan et al.)</w:t>
            </w:r>
          </w:p>
        </w:tc>
      </w:tr>
      <w:tr w:rsidR="00745A8A" w:rsidRPr="00F47E91" w14:paraId="58853921" w14:textId="77777777" w:rsidTr="007207F4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22152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Education strategies</w:t>
            </w:r>
          </w:p>
        </w:tc>
      </w:tr>
      <w:tr w:rsidR="00745A8A" w:rsidRPr="00782F6F" w14:paraId="3972190D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87E0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Patient or parent education (e.g., on medical conditions and health care use)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24A87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>General population (</w:t>
            </w: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fr-FR" w:eastAsia="en-US"/>
                <w14:ligatures w14:val="standardContextual"/>
              </w:rPr>
              <w:t>Flores-Mateo et al</w:t>
            </w:r>
            <w:proofErr w:type="gramStart"/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fr-FR" w:eastAsia="en-US"/>
                <w14:ligatures w14:val="standardContextual"/>
              </w:rPr>
              <w:t>.;</w:t>
            </w:r>
            <w:proofErr w:type="gramEnd"/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fr-FR" w:eastAsia="en-US"/>
                <w14:ligatures w14:val="standardContextual"/>
              </w:rPr>
              <w:t xml:space="preserve"> </w:t>
            </w:r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 xml:space="preserve">Morgan et al.); </w:t>
            </w: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fr-FR" w:eastAsia="en-US"/>
                <w14:ligatures w14:val="standardContextual"/>
              </w:rPr>
              <w:t xml:space="preserve">parents </w:t>
            </w:r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>(Morrison et al.)</w:t>
            </w:r>
          </w:p>
        </w:tc>
      </w:tr>
      <w:tr w:rsidR="00745A8A" w:rsidRPr="00F47E91" w14:paraId="60C2E45D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7D2E0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Counselling on use of health care and the social system 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1BC56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Adult frequent ED users (Althaus et al.)</w:t>
            </w:r>
          </w:p>
        </w:tc>
      </w:tr>
      <w:tr w:rsidR="00745A8A" w:rsidRPr="00782F6F" w14:paraId="1A20B94B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24DA8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Education (e.g., on primary care and preventative care, or appropriate PED use), information (e.g., on PCP office hours and other services), and support (e.g., follow-up and/or assisting to </w:t>
            </w: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lastRenderedPageBreak/>
              <w:t>schedule a PCP appointment)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9F10A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lastRenderedPageBreak/>
              <w:t>Children presenting to ED for non-urgent care (Poku and Hemingway)</w:t>
            </w:r>
          </w:p>
        </w:tc>
      </w:tr>
      <w:tr w:rsidR="00745A8A" w:rsidRPr="00F47E91" w14:paraId="353C6ACF" w14:textId="77777777" w:rsidTr="007207F4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12F9C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  <w14:ligatures w14:val="standardContextual"/>
              </w:rPr>
              <w:t xml:space="preserve">‘Social interventions’  </w:t>
            </w:r>
          </w:p>
        </w:tc>
      </w:tr>
      <w:tr w:rsidR="00745A8A" w:rsidRPr="00F47E91" w14:paraId="69FD6A38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A59D8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‘Social interventions’ (i.e., public education campaign on proper use of the ED, financial disincentives, redirection, and provision of alternative clinics)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59AB8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General population (Morley et al.)</w:t>
            </w:r>
          </w:p>
        </w:tc>
      </w:tr>
      <w:tr w:rsidR="00745A8A" w:rsidRPr="00782F6F" w14:paraId="02847624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0DD68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‘Social interventions’ (i.e., primary care referral, health education and counselling)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AAA50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Frequent ED users (Hoot and Aronsky)</w:t>
            </w:r>
          </w:p>
        </w:tc>
      </w:tr>
      <w:tr w:rsidR="00745A8A" w:rsidRPr="00782F6F" w14:paraId="6C8C4EF9" w14:textId="77777777" w:rsidTr="007207F4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4E39A" w14:textId="31F94F4C" w:rsidR="00745A8A" w:rsidRPr="00F47E91" w:rsidRDefault="00745A8A" w:rsidP="00745A8A">
            <w:pPr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Care-coordination/</w:t>
            </w:r>
            <w:r w:rsidR="001B58A0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 xml:space="preserve">case management or other care </w:t>
            </w: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program</w:t>
            </w:r>
            <w:r w:rsidR="001B58A0"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>s</w:t>
            </w: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 xml:space="preserve"> (not involving ED staff)</w:t>
            </w:r>
          </w:p>
        </w:tc>
      </w:tr>
      <w:tr w:rsidR="00745A8A" w:rsidRPr="00782F6F" w14:paraId="64B4F786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E9C51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Care plans 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FC4FC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>Adults (Doshmangir et al.</w:t>
            </w:r>
            <w:proofErr w:type="gramStart"/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>);</w:t>
            </w:r>
            <w:proofErr w:type="gramEnd"/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 xml:space="preserve"> a</w:t>
            </w: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fr-FR" w:eastAsia="en-US"/>
                <w14:ligatures w14:val="standardContextual"/>
              </w:rPr>
              <w:t>dult frequent ED users (Moe et al.)</w:t>
            </w:r>
          </w:p>
        </w:tc>
      </w:tr>
      <w:tr w:rsidR="00745A8A" w:rsidRPr="00F47E91" w14:paraId="589F21BE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8B2D0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Case management 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094F3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Adults (Doshmangir et al.); a</w:t>
            </w: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eastAsia="en-US"/>
                <w14:ligatures w14:val="standardContextual"/>
              </w:rPr>
              <w:t xml:space="preserve">dult frequent ED users (Althaus et al.; Di Mauro et al.; Iovan et al.; Kumar and Klein; Moe et al.; </w:t>
            </w:r>
            <w:r w:rsidRPr="00F47E91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Raven et al</w:t>
            </w: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eastAsia="en-US"/>
                <w14:ligatures w14:val="standardContextual"/>
              </w:rPr>
              <w:t>)</w:t>
            </w:r>
          </w:p>
        </w:tc>
      </w:tr>
      <w:tr w:rsidR="00745A8A" w:rsidRPr="00782F6F" w14:paraId="504CF99B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E4C57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Care coordination 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38909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Adult frequent ED users (Doshmangir et al.;</w:t>
            </w: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 xml:space="preserve"> Iovan et al.); adult frequent users of health care services (Tricco et al.)</w:t>
            </w:r>
          </w:p>
        </w:tc>
      </w:tr>
      <w:tr w:rsidR="00745A8A" w:rsidRPr="00F47E91" w14:paraId="21D7710F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3834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Medical care plan + one the following: social support, disease management or community health worker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EF4F0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Adult ED super-utilizers (Iovan et al.)</w:t>
            </w:r>
          </w:p>
        </w:tc>
      </w:tr>
      <w:tr w:rsidR="00745A8A" w:rsidRPr="00F47E91" w14:paraId="6CC861FD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0611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Case management + one or more of the following: medical care plans or care coordination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AAE2B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Adult ED super-utilizers (Iovan et al.)</w:t>
            </w:r>
          </w:p>
        </w:tc>
      </w:tr>
      <w:tr w:rsidR="007E6FEC" w:rsidRPr="00782F6F" w14:paraId="6B058ED0" w14:textId="77777777" w:rsidTr="00107B32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1A81" w14:textId="6E66B5BC" w:rsidR="007E6FEC" w:rsidRPr="00F47E91" w:rsidRDefault="007E6FEC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Case</w:t>
            </w:r>
            <w:r w:rsidR="00AB320E"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 xml:space="preserve"> </w:t>
            </w: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management + one or more of the following: self-management, use of information and communication technology, teams or educational material and meetings (professionals’ education)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9E87" w14:textId="1A0C9711" w:rsidR="007E6FEC" w:rsidRPr="00F47E91" w:rsidRDefault="007E6FEC" w:rsidP="00745A8A">
            <w:pP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Community-dwelling persons with dementia (Godard-Sebillote et al.)</w:t>
            </w:r>
          </w:p>
        </w:tc>
      </w:tr>
      <w:tr w:rsidR="00745A8A" w:rsidRPr="00782F6F" w14:paraId="6E501D7B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413DB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Care coordination + (e.g., emergency care plans, medical plans, access to providers, expediated next day appointments, community health workers, telemedicine, etc.)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A9698" w14:textId="77777777" w:rsidR="00745A8A" w:rsidRPr="00F47E91" w:rsidRDefault="00745A8A" w:rsidP="00745A8A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Adult frequent ED users (Althaus et al.; Iovan et al.); c</w:t>
            </w: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hildren with medical complexities (</w:t>
            </w: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Pulcini et al.); patients with l</w:t>
            </w: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ow acuity (Raven et al.)</w:t>
            </w:r>
          </w:p>
        </w:tc>
      </w:tr>
      <w:tr w:rsidR="007E6FEC" w:rsidRPr="00782F6F" w14:paraId="1E1EDA82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7F6D7" w14:textId="4806DA32" w:rsidR="007E6FEC" w:rsidRPr="00F47E91" w:rsidRDefault="007E6FEC" w:rsidP="007E6FEC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>‘Transitional care</w:t>
            </w:r>
            <w:r w:rsidR="00D931CF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>’</w:t>
            </w:r>
            <w:r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 </w:t>
            </w:r>
            <w:r w:rsidR="00640BAD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>programs (</w:t>
            </w:r>
            <w:r w:rsidR="00406912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i.e., </w:t>
            </w:r>
            <w:r w:rsidR="00640BAD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starting </w:t>
            </w:r>
            <w:r w:rsidR="00406912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with assessments </w:t>
            </w:r>
            <w:r w:rsidR="00640BAD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in hospital </w:t>
            </w:r>
            <w:r w:rsidR="00406912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and involving </w:t>
            </w:r>
            <w:r w:rsidR="00640BAD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post-discharge support)  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5307" w14:textId="69A67730" w:rsidR="007E6FEC" w:rsidRPr="00F47E91" w:rsidRDefault="007E6FEC" w:rsidP="007E6FEC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Community-dwelling adults age</w:t>
            </w:r>
            <w:r w:rsidR="00B750C1" w:rsidRPr="00F47E9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d</w:t>
            </w:r>
            <w:r w:rsidRPr="00F47E9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 xml:space="preserve"> 60 or older with at least 1 medical diagnosis (Weeks et al.)</w:t>
            </w:r>
            <w:r w:rsidR="0093045C" w:rsidRPr="00F47E9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; adult general medical patients (Rennke et al.)</w:t>
            </w:r>
          </w:p>
        </w:tc>
      </w:tr>
      <w:tr w:rsidR="007E6FEC" w:rsidRPr="00782F6F" w14:paraId="5F80B07F" w14:textId="77777777" w:rsidTr="00C54DE9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DA2F0" w14:textId="4463D420" w:rsidR="007E6FEC" w:rsidRPr="00F47E91" w:rsidRDefault="00596F1C" w:rsidP="007E6FEC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  <w14:ligatures w14:val="standardContextual"/>
              </w:rPr>
              <w:t>Care programs with a focus on f</w:t>
            </w:r>
            <w:r w:rsidR="007E6FEC" w:rsidRPr="00F47E9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  <w14:ligatures w14:val="standardContextual"/>
              </w:rPr>
              <w:t xml:space="preserve">ollow-up </w:t>
            </w:r>
          </w:p>
        </w:tc>
      </w:tr>
      <w:tr w:rsidR="007E6FEC" w:rsidRPr="00782F6F" w14:paraId="0E8BD555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6D39F" w14:textId="1FD087AE" w:rsidR="007E6FEC" w:rsidRPr="00F47E91" w:rsidRDefault="007E6FEC" w:rsidP="007E6FEC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>‘Discharge interventions’ (e.g., education with follow-up</w:t>
            </w:r>
            <w:r w:rsidR="00AD6C30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>;</w:t>
            </w:r>
            <w:r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 self-management education and discharge game</w:t>
            </w:r>
            <w:r w:rsidR="00AD6C30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>;</w:t>
            </w:r>
            <w:r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 post-discharge education sessions</w:t>
            </w:r>
            <w:r w:rsidR="00AD6C30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>;</w:t>
            </w:r>
            <w:r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 needs assessments</w:t>
            </w:r>
            <w:r w:rsidR="00AD6C30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 along with education, </w:t>
            </w:r>
            <w:r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>home visits</w:t>
            </w:r>
            <w:r w:rsidR="00AD6C30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 and</w:t>
            </w:r>
            <w:r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 telephone consultation</w:t>
            </w:r>
            <w:r w:rsidR="00AD6C30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>;</w:t>
            </w:r>
            <w:r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 evaluation of home environment</w:t>
            </w:r>
            <w:r w:rsidR="00AD6C30"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 xml:space="preserve"> and home visits</w:t>
            </w:r>
            <w:r w:rsidRPr="00F47E91">
              <w:rPr>
                <w:rFonts w:ascii="Arial" w:hAnsi="Arial" w:cs="Arial"/>
                <w:sz w:val="20"/>
                <w:szCs w:val="20"/>
                <w:lang w:val="en-US"/>
                <w14:ligatures w14:val="standardContextual"/>
              </w:rPr>
              <w:t>, etc.)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13B47" w14:textId="243E6CE5" w:rsidR="007E6FEC" w:rsidRPr="00F47E91" w:rsidRDefault="007E6FEC" w:rsidP="007E6FEC">
            <w:pPr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fr-FR" w:eastAsia="en-US"/>
                <w14:ligatures w14:val="standardContextual"/>
              </w:rPr>
              <w:t>Paediatric patients (Auger et al.)</w:t>
            </w:r>
          </w:p>
        </w:tc>
      </w:tr>
      <w:tr w:rsidR="007E6FEC" w:rsidRPr="00782F6F" w14:paraId="0F9A54D7" w14:textId="77777777" w:rsidTr="007207F4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17217" w14:textId="77777777" w:rsidR="007E6FEC" w:rsidRPr="00F47E91" w:rsidRDefault="007E6FEC" w:rsidP="007E6FEC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Asthma education + primary care follow-up, care plan and home visit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28D0F" w14:textId="77777777" w:rsidR="007E6FEC" w:rsidRPr="00F47E91" w:rsidRDefault="007E6FEC" w:rsidP="007E6FEC">
            <w:pPr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fr-FR" w:eastAsia="en-US"/>
                <w14:ligatures w14:val="standardContextual"/>
              </w:rPr>
              <w:t>Asthma patients (Raven et al.)</w:t>
            </w:r>
          </w:p>
        </w:tc>
      </w:tr>
      <w:tr w:rsidR="007E6FEC" w:rsidRPr="00F47E91" w14:paraId="014FDB43" w14:textId="77777777" w:rsidTr="007E6FEC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6E29" w14:textId="2339EB25" w:rsidR="007E6FEC" w:rsidRPr="00F47E91" w:rsidRDefault="007E6FEC" w:rsidP="007E6FEC">
            <w:pPr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  <w14:ligatures w14:val="standardContextual"/>
              </w:rPr>
              <w:t xml:space="preserve">Self-management </w:t>
            </w:r>
          </w:p>
        </w:tc>
      </w:tr>
      <w:tr w:rsidR="007E6FEC" w:rsidRPr="00782F6F" w14:paraId="798969F1" w14:textId="77777777" w:rsidTr="00C54DE9">
        <w:tc>
          <w:tcPr>
            <w:tcW w:w="2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B4DF0" w14:textId="5AAF1220" w:rsidR="007E6FEC" w:rsidRPr="00F47E91" w:rsidRDefault="007E6FEC" w:rsidP="007E6FEC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  <w:t>Self-management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9DDA9" w14:textId="2489EF53" w:rsidR="007E6FEC" w:rsidRPr="00F47E91" w:rsidRDefault="007E6FEC" w:rsidP="007E6FEC">
            <w:pPr>
              <w:rPr>
                <w:rFonts w:ascii="Arial" w:hAnsi="Arial" w:cs="Arial"/>
                <w:sz w:val="20"/>
                <w:szCs w:val="20"/>
                <w:lang w:val="en-US" w:eastAsia="en-US"/>
                <w14:ligatures w14:val="standardContextual"/>
              </w:rPr>
            </w:pPr>
            <w:r w:rsidRPr="00F47E91"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en-US" w:eastAsia="en-US"/>
                <w14:ligatures w14:val="standardContextual"/>
              </w:rPr>
              <w:t>Community-dwelling persons with dementia (Godard-Sebillote et al.)</w:t>
            </w:r>
          </w:p>
        </w:tc>
      </w:tr>
    </w:tbl>
    <w:p w14:paraId="7CB55F3A" w14:textId="77777777" w:rsidR="00822E2E" w:rsidRPr="00F47E91" w:rsidRDefault="00822E2E">
      <w:pPr>
        <w:rPr>
          <w:rFonts w:ascii="Arial" w:hAnsi="Arial" w:cs="Arial"/>
          <w:sz w:val="20"/>
          <w:szCs w:val="20"/>
          <w:lang w:val="en-US"/>
        </w:rPr>
      </w:pPr>
    </w:p>
    <w:sectPr w:rsidR="00822E2E" w:rsidRPr="00F47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7F4"/>
    <w:rsid w:val="000654EC"/>
    <w:rsid w:val="00074F24"/>
    <w:rsid w:val="00107B32"/>
    <w:rsid w:val="00123C13"/>
    <w:rsid w:val="001A4C45"/>
    <w:rsid w:val="001B58A0"/>
    <w:rsid w:val="00211309"/>
    <w:rsid w:val="00212F97"/>
    <w:rsid w:val="002737F2"/>
    <w:rsid w:val="00390E91"/>
    <w:rsid w:val="0040003D"/>
    <w:rsid w:val="00406912"/>
    <w:rsid w:val="004E3433"/>
    <w:rsid w:val="00542558"/>
    <w:rsid w:val="00596F1C"/>
    <w:rsid w:val="005B3405"/>
    <w:rsid w:val="00640BAD"/>
    <w:rsid w:val="006A1BC0"/>
    <w:rsid w:val="00712D8F"/>
    <w:rsid w:val="007207F4"/>
    <w:rsid w:val="00726EAA"/>
    <w:rsid w:val="00743D92"/>
    <w:rsid w:val="00745A8A"/>
    <w:rsid w:val="00782F6F"/>
    <w:rsid w:val="007E6FEC"/>
    <w:rsid w:val="00822E2E"/>
    <w:rsid w:val="008A29C6"/>
    <w:rsid w:val="008E54F3"/>
    <w:rsid w:val="009053A3"/>
    <w:rsid w:val="0093045C"/>
    <w:rsid w:val="00973CCD"/>
    <w:rsid w:val="00AB320E"/>
    <w:rsid w:val="00AD6C30"/>
    <w:rsid w:val="00B750C1"/>
    <w:rsid w:val="00B90F8C"/>
    <w:rsid w:val="00BB324A"/>
    <w:rsid w:val="00BF48CE"/>
    <w:rsid w:val="00BF53C6"/>
    <w:rsid w:val="00C54DE9"/>
    <w:rsid w:val="00D202BF"/>
    <w:rsid w:val="00D758CD"/>
    <w:rsid w:val="00D931CF"/>
    <w:rsid w:val="00E54218"/>
    <w:rsid w:val="00E6178A"/>
    <w:rsid w:val="00E824AB"/>
    <w:rsid w:val="00ED0ECE"/>
    <w:rsid w:val="00F47E91"/>
    <w:rsid w:val="00F7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0CC3"/>
  <w15:docId w15:val="{DE1794C1-2811-43FA-8B2E-F040EF00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7F4"/>
    <w:pPr>
      <w:spacing w:after="0" w:line="240" w:lineRule="auto"/>
    </w:pPr>
    <w:rPr>
      <w:rFonts w:eastAsiaTheme="minorEastAsia"/>
      <w:kern w:val="0"/>
      <w:lang w:eastAsia="nb-N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Vanligtabell">
    <w:name w:val="Vanlig tabell"/>
    <w:uiPriority w:val="99"/>
    <w:semiHidden/>
    <w:rsid w:val="007207F4"/>
    <w:pPr>
      <w:spacing w:after="0" w:line="240" w:lineRule="auto"/>
    </w:pPr>
    <w:rPr>
      <w:rFonts w:eastAsiaTheme="minorEastAsia"/>
      <w:kern w:val="0"/>
      <w:lang w:eastAsia="nb-NO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7207F4"/>
    <w:pPr>
      <w:spacing w:after="0" w:line="240" w:lineRule="auto"/>
    </w:pPr>
    <w:rPr>
      <w:rFonts w:eastAsiaTheme="minorEastAsia"/>
      <w:kern w:val="0"/>
      <w:lang w:eastAsia="nb-NO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42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25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558"/>
    <w:rPr>
      <w:rFonts w:eastAsiaTheme="minorEastAsia"/>
      <w:kern w:val="0"/>
      <w:sz w:val="20"/>
      <w:szCs w:val="20"/>
      <w:lang w:eastAsia="nb-NO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558"/>
    <w:rPr>
      <w:rFonts w:eastAsiaTheme="minorEastAsia"/>
      <w:b/>
      <w:bCs/>
      <w:kern w:val="0"/>
      <w:sz w:val="20"/>
      <w:szCs w:val="2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4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919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Målfrid Asheim Nummedal</dc:creator>
  <cp:keywords/>
  <dc:description/>
  <cp:lastModifiedBy>Målfrid Asheim Nummedal</cp:lastModifiedBy>
  <cp:revision>5</cp:revision>
  <dcterms:created xsi:type="dcterms:W3CDTF">2023-07-28T10:07:00Z</dcterms:created>
  <dcterms:modified xsi:type="dcterms:W3CDTF">2023-08-25T14:00:00Z</dcterms:modified>
</cp:coreProperties>
</file>