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5E9DF" w14:textId="77777777" w:rsidR="00DC1313" w:rsidRDefault="00DC1313" w:rsidP="00DC1313">
      <w:pPr>
        <w:rPr>
          <w:b/>
          <w:sz w:val="24"/>
          <w:szCs w:val="24"/>
        </w:rPr>
      </w:pPr>
      <w:r>
        <w:rPr>
          <w:b/>
          <w:sz w:val="24"/>
          <w:szCs w:val="24"/>
        </w:rPr>
        <w:t>SUPPLEMENTAL FIGURES:</w:t>
      </w:r>
    </w:p>
    <w:p w14:paraId="7109ED25" w14:textId="77777777" w:rsidR="00DC1313" w:rsidRDefault="00DC1313" w:rsidP="00DC1313">
      <w:pPr>
        <w:rPr>
          <w:sz w:val="24"/>
          <w:szCs w:val="24"/>
        </w:rPr>
      </w:pPr>
    </w:p>
    <w:p w14:paraId="24DB9C2E" w14:textId="77777777" w:rsidR="00DC1313" w:rsidRDefault="00DC1313" w:rsidP="00DC1313">
      <w:pPr>
        <w:rPr>
          <w:sz w:val="24"/>
          <w:szCs w:val="24"/>
        </w:rPr>
      </w:pPr>
      <w:r>
        <w:rPr>
          <w:b/>
          <w:sz w:val="24"/>
          <w:szCs w:val="24"/>
        </w:rPr>
        <w:t>Supplemental Figure 1: Regeneration of retinal neurons following NMDA damage.</w:t>
      </w:r>
      <w:r>
        <w:rPr>
          <w:sz w:val="24"/>
          <w:szCs w:val="24"/>
        </w:rPr>
        <w:t xml:space="preserve"> (A)  EdU-labeling in retinas prior to NMDA damage (Control) and 7 and 14 days following 96 hours of NMDA damage. Retinas were immunostained for EdU, HuC/D, and PKCa and counterstained with DAPI. (B) Quantification of the number of DAPI-labeled nuclei in the INL. (C) Quantification of the number of cells colabeled for EdU and HuC/D. (D) Quantification of the number of cells colabeled for EdU and PKCa. (E) EdU-labeling in retinas prior to NMDA damage (Control) and 7 and 14 days following 96 hours of NMDA damage. Retinas were immunostained for EdU, 4c12, and UV opsin and counterstained with DAPI. </w:t>
      </w:r>
    </w:p>
    <w:p w14:paraId="18034E61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(F) EdU-labeling in retinas at 7 and 14 days following 96 hours of NMDA damage. Retinas were immunostained for EdU and Zpr1 and counterstained with DAPI. </w:t>
      </w:r>
    </w:p>
    <w:p w14:paraId="51E2A585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(G) Quantification of the number of cells colabeled for EdU and 4c12. </w:t>
      </w:r>
    </w:p>
    <w:p w14:paraId="7EF4C7B0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(H) Quantification of the number of cells colabeled for EdU and Zpr1. </w:t>
      </w:r>
    </w:p>
    <w:p w14:paraId="0F9DAC1E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(I) EdU-labeling in retinas prior to NMDA damage (Control) and 7 days following 96 hours of NMDA damage. Retinas were immunostained for EdU and GFAP and counterstained with DAPI. </w:t>
      </w:r>
    </w:p>
    <w:p w14:paraId="2EE0B412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(J) EdU-labeling in retinas prior to NMDA damage (Control) and 7 days following 96 hours of NMDA damage. Retinas were immunostained for EdU and Lcp1 and counterstained with DAPI. </w:t>
      </w:r>
    </w:p>
    <w:p w14:paraId="7D68E0B7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(K) Quantification of the number of cells colabeled for EdU and GFAP. </w:t>
      </w:r>
    </w:p>
    <w:p w14:paraId="3B81C5F1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(L) Quantification of the number of cells colabeled for EdU and Lcp1. </w:t>
      </w:r>
    </w:p>
    <w:p w14:paraId="7C9372F5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>Scale bars in A, E, F, I, and J are 20μm.</w:t>
      </w:r>
    </w:p>
    <w:p w14:paraId="3FAE1AFD" w14:textId="77777777" w:rsidR="00DC1313" w:rsidRDefault="00DC1313" w:rsidP="00DC1313">
      <w:pPr>
        <w:rPr>
          <w:sz w:val="24"/>
          <w:szCs w:val="24"/>
        </w:rPr>
      </w:pPr>
    </w:p>
    <w:p w14:paraId="154E2AAA" w14:textId="77777777" w:rsidR="00DC1313" w:rsidRDefault="00DC1313" w:rsidP="00DC1313">
      <w:pPr>
        <w:rPr>
          <w:sz w:val="24"/>
          <w:szCs w:val="24"/>
        </w:rPr>
      </w:pPr>
      <w:r>
        <w:rPr>
          <w:b/>
          <w:sz w:val="24"/>
          <w:szCs w:val="24"/>
        </w:rPr>
        <w:t>Supplemental Figure 2: Regeneration of retinal neurons following constant light damage.</w:t>
      </w:r>
      <w:r>
        <w:rPr>
          <w:sz w:val="24"/>
          <w:szCs w:val="24"/>
        </w:rPr>
        <w:t xml:space="preserve"> (A) EdU-labeling in retinas at 7, 14, and 21 days following 96 hours of constant light. Retinas were immunostained for EdU, 4c12, and GFAP and counterstained with DAPI. </w:t>
      </w:r>
    </w:p>
    <w:p w14:paraId="72C76B8F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(B) Quantification of the number of DAPI-labeled nuclei in the INL. </w:t>
      </w:r>
    </w:p>
    <w:p w14:paraId="677648CE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(C) Quantification of the number of cells colabeled for EdU and 4c12. </w:t>
      </w:r>
    </w:p>
    <w:p w14:paraId="3FD3EA6A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(D) Quantification of the number of cells colabeled for EdU and GFAP. </w:t>
      </w:r>
    </w:p>
    <w:p w14:paraId="3FD4CDB5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(E) EdU-labeling in retinas at 7, 14, and 21 days following 96 hours of constant light. Retinas were immunostained for EdU, HuC/D, and PKCa and counterstained with DAPI. (F) Quantification of the number of cells colabeled for EdU and HuC/D. </w:t>
      </w:r>
    </w:p>
    <w:p w14:paraId="61E4737E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(G) Quantification of the number of cells colabeled for EdU and PKCa. </w:t>
      </w:r>
    </w:p>
    <w:p w14:paraId="142F8157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>Scale bars in A and E are 20μm.</w:t>
      </w:r>
    </w:p>
    <w:p w14:paraId="7D81B4E7" w14:textId="77777777" w:rsidR="00DC1313" w:rsidRDefault="00DC1313" w:rsidP="00DC1313">
      <w:pPr>
        <w:rPr>
          <w:sz w:val="24"/>
          <w:szCs w:val="24"/>
        </w:rPr>
      </w:pPr>
    </w:p>
    <w:p w14:paraId="7405FB00" w14:textId="77777777" w:rsidR="00DC1313" w:rsidRDefault="00DC1313" w:rsidP="00DC1313">
      <w:pPr>
        <w:rPr>
          <w:b/>
          <w:sz w:val="24"/>
          <w:szCs w:val="24"/>
        </w:rPr>
      </w:pPr>
      <w:r>
        <w:rPr>
          <w:b/>
          <w:sz w:val="24"/>
          <w:szCs w:val="24"/>
        </w:rPr>
        <w:t>Supplemental Figure 3:  Overview of single-cell sequencing datasets from LD and NMDA injury models.</w:t>
      </w:r>
    </w:p>
    <w:p w14:paraId="247B1D39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(A) Combined UMAP plots showing the cells in LD and NMDA datasets (left: snRNA-seq, right: scRNA-seq). Each point represents an individual cell and is colored by its corresponding cell type.  </w:t>
      </w:r>
    </w:p>
    <w:p w14:paraId="221CCEAE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(B) UMAP plots (left:snRNA-seq, right:scRNA-seq) showing the cells separated by each condition for both snRNA-seq and scRNA-seq datasets. </w:t>
      </w:r>
    </w:p>
    <w:p w14:paraId="46319AD0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(C) The bar plot (left:snRNA-seq, right:scRNA-seq) indicates Act MG, MGPCs and newly-borned neuron precursors are both enriched in the two injury models compared to control dataset. The y axis indicated the cell ratio at each time point. Bars are colored by conditions. </w:t>
      </w:r>
    </w:p>
    <w:p w14:paraId="780D00D7" w14:textId="77777777" w:rsidR="00DC1313" w:rsidRDefault="00DC1313" w:rsidP="00DC1313">
      <w:pPr>
        <w:rPr>
          <w:b/>
          <w:sz w:val="24"/>
          <w:szCs w:val="24"/>
        </w:rPr>
      </w:pPr>
      <w:r>
        <w:rPr>
          <w:sz w:val="24"/>
          <w:szCs w:val="24"/>
        </w:rPr>
        <w:t>(D) Examples of mRNA levels and chromatin accessibility (up panel:snRNA-seq and snATAC-seq, down panel:scRNA-seq) for selected cell-type-specific genes.</w:t>
      </w:r>
    </w:p>
    <w:p w14:paraId="25E62BCC" w14:textId="77777777" w:rsidR="00DC1313" w:rsidRDefault="00DC1313" w:rsidP="00DC1313">
      <w:pPr>
        <w:rPr>
          <w:b/>
          <w:sz w:val="24"/>
          <w:szCs w:val="24"/>
        </w:rPr>
      </w:pPr>
    </w:p>
    <w:p w14:paraId="0A2AF5F9" w14:textId="77777777" w:rsidR="00DC1313" w:rsidRDefault="00DC1313" w:rsidP="00DC131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Supplemental Figure 4:  Enriched GO and KEGG terms in LD and NMDA, and injury and development. </w:t>
      </w:r>
    </w:p>
    <w:p w14:paraId="2D2B0229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(A,B) Dot plots showing the most highly enriched 2 GO and KEGG terms enriched for differential gene clusters between LD and NMDA models. The x-axis indicates the clusters and the y-axis indicates the GO or KEGG terms, the size of the dot represents the gene ratio and the color represents the negative log-transformed p-values. </w:t>
      </w:r>
    </w:p>
    <w:p w14:paraId="65FEBB47" w14:textId="77777777" w:rsidR="00DC1313" w:rsidRDefault="00DC1313" w:rsidP="00DC1313">
      <w:pPr>
        <w:rPr>
          <w:color w:val="0000FF"/>
          <w:sz w:val="24"/>
          <w:szCs w:val="24"/>
        </w:rPr>
      </w:pPr>
      <w:r>
        <w:rPr>
          <w:sz w:val="24"/>
          <w:szCs w:val="24"/>
        </w:rPr>
        <w:t xml:space="preserve">(C,D) Dot plots showing the most highly enriched 2 GO and KEGG terms enriched for  differential gene clusters between injury and development models. The x-axis indicates the clusters and the y-axis indicates the GO or KEGG terms, the size of the dot represents the gene ratio and the color represents the negative log-transformed p-values. </w:t>
      </w:r>
    </w:p>
    <w:p w14:paraId="78639192" w14:textId="77777777" w:rsidR="00DC1313" w:rsidRDefault="00DC1313" w:rsidP="00DC1313">
      <w:pPr>
        <w:rPr>
          <w:b/>
          <w:color w:val="0000FF"/>
          <w:sz w:val="24"/>
          <w:szCs w:val="24"/>
        </w:rPr>
      </w:pPr>
    </w:p>
    <w:p w14:paraId="1ED474C5" w14:textId="77777777" w:rsidR="00DC1313" w:rsidRDefault="00DC1313" w:rsidP="00DC1313">
      <w:pPr>
        <w:rPr>
          <w:sz w:val="24"/>
          <w:szCs w:val="24"/>
        </w:rPr>
      </w:pPr>
      <w:r>
        <w:rPr>
          <w:b/>
          <w:sz w:val="24"/>
          <w:szCs w:val="24"/>
        </w:rPr>
        <w:t>Supplemental Figure 5:  Mmp9 is required for regulating the regeneration of HuC/D-labeled amacrine and ganglion cells</w:t>
      </w:r>
      <w:r>
        <w:rPr>
          <w:sz w:val="24"/>
          <w:szCs w:val="24"/>
        </w:rPr>
        <w:t xml:space="preserve">. </w:t>
      </w:r>
    </w:p>
    <w:p w14:paraId="57905E3D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(A) Quantification of the number of EdU-labeled ONL cells in NMDA-injected wild-type and </w:t>
      </w:r>
      <w:r>
        <w:rPr>
          <w:i/>
          <w:sz w:val="24"/>
          <w:szCs w:val="24"/>
        </w:rPr>
        <w:t>mmp9</w:t>
      </w:r>
      <w:r>
        <w:rPr>
          <w:sz w:val="24"/>
          <w:szCs w:val="24"/>
        </w:rPr>
        <w:t xml:space="preserve"> mutant retinas at 7 DR. </w:t>
      </w:r>
    </w:p>
    <w:p w14:paraId="587C3E99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(B) Quantification of the number of EdU-labeled INL+GCL cells in NMDA-injected wild-type and </w:t>
      </w:r>
      <w:r>
        <w:rPr>
          <w:i/>
          <w:sz w:val="24"/>
          <w:szCs w:val="24"/>
        </w:rPr>
        <w:t>mmp9</w:t>
      </w:r>
      <w:r>
        <w:rPr>
          <w:sz w:val="24"/>
          <w:szCs w:val="24"/>
        </w:rPr>
        <w:t xml:space="preserve"> mutant retinas at 7 DR. </w:t>
      </w:r>
    </w:p>
    <w:p w14:paraId="317A57C3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(C) Quantification of the number of EdU-labeled ONL cells in light-damaged wild-type and </w:t>
      </w:r>
      <w:r>
        <w:rPr>
          <w:i/>
          <w:sz w:val="24"/>
          <w:szCs w:val="24"/>
        </w:rPr>
        <w:t>mmp9</w:t>
      </w:r>
      <w:r>
        <w:rPr>
          <w:sz w:val="24"/>
          <w:szCs w:val="24"/>
        </w:rPr>
        <w:t xml:space="preserve"> mutant retinas at 7 DR. </w:t>
      </w:r>
    </w:p>
    <w:p w14:paraId="3D85A80F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(D) Quantification of the number of EdU-labeled INL+GCL cells in light-damaged wild-type and </w:t>
      </w:r>
      <w:r>
        <w:rPr>
          <w:i/>
          <w:sz w:val="24"/>
          <w:szCs w:val="24"/>
        </w:rPr>
        <w:t>mmp9</w:t>
      </w:r>
      <w:r>
        <w:rPr>
          <w:sz w:val="24"/>
          <w:szCs w:val="24"/>
        </w:rPr>
        <w:t xml:space="preserve"> mutant retinas at 7 DR. </w:t>
      </w:r>
    </w:p>
    <w:p w14:paraId="4B8D2795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(E) Schematic of NMDA-induced damage experiment. </w:t>
      </w:r>
    </w:p>
    <w:p w14:paraId="01345AB2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(F) Schematic of light-induced damage experiment. </w:t>
      </w:r>
    </w:p>
    <w:p w14:paraId="508810CA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(G) Quantification of the number of EdU-labeled cells in all three retinal layers in wild-type and </w:t>
      </w:r>
      <w:r>
        <w:rPr>
          <w:i/>
          <w:sz w:val="24"/>
          <w:szCs w:val="24"/>
        </w:rPr>
        <w:t>mmp9</w:t>
      </w:r>
      <w:r>
        <w:rPr>
          <w:sz w:val="24"/>
          <w:szCs w:val="24"/>
        </w:rPr>
        <w:t xml:space="preserve"> mutants following either PBS injection, NMDA damage, or light damage at 3 DR. </w:t>
      </w:r>
    </w:p>
    <w:p w14:paraId="0EF90315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(H) The percentage of EdU-positive cells in the ONL versus the INL+GCL is plotted for wild-type and </w:t>
      </w:r>
      <w:r>
        <w:rPr>
          <w:i/>
          <w:sz w:val="24"/>
          <w:szCs w:val="24"/>
        </w:rPr>
        <w:t>mmp9</w:t>
      </w:r>
      <w:r>
        <w:rPr>
          <w:sz w:val="24"/>
          <w:szCs w:val="24"/>
        </w:rPr>
        <w:t xml:space="preserve"> mutant retinas after PBS injection, NMDA damage, and light damage at 3 DR. </w:t>
      </w:r>
    </w:p>
    <w:p w14:paraId="01F7F893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(I) The ratio of EdU-positive INL+GCL cells to EdU-positive ONL cells is plotted for wild-type and </w:t>
      </w:r>
      <w:r>
        <w:rPr>
          <w:i/>
          <w:sz w:val="24"/>
          <w:szCs w:val="24"/>
        </w:rPr>
        <w:t>mmp9</w:t>
      </w:r>
      <w:r>
        <w:rPr>
          <w:sz w:val="24"/>
          <w:szCs w:val="24"/>
        </w:rPr>
        <w:t xml:space="preserve"> mutant fish following either NMDA damage or light damage at 3 DR. </w:t>
      </w:r>
    </w:p>
    <w:p w14:paraId="2107DEDE" w14:textId="77777777" w:rsidR="00DC1313" w:rsidRDefault="00DC1313" w:rsidP="00DC1313">
      <w:pPr>
        <w:rPr>
          <w:b/>
          <w:color w:val="0000FF"/>
          <w:sz w:val="24"/>
          <w:szCs w:val="24"/>
        </w:rPr>
      </w:pPr>
      <w:r>
        <w:rPr>
          <w:sz w:val="24"/>
          <w:szCs w:val="24"/>
        </w:rPr>
        <w:t>(J) Quantification of the number of cells colabeled for EdU and HuC/D in PBS-injected, NMDA-damaged, and light-damaged retinas at 3 DR.</w:t>
      </w:r>
    </w:p>
    <w:p w14:paraId="45FDBEB8" w14:textId="77777777" w:rsidR="00DC1313" w:rsidRDefault="00DC1313" w:rsidP="00DC1313">
      <w:pPr>
        <w:rPr>
          <w:b/>
          <w:color w:val="0000FF"/>
          <w:sz w:val="24"/>
          <w:szCs w:val="24"/>
        </w:rPr>
      </w:pPr>
    </w:p>
    <w:p w14:paraId="328A820B" w14:textId="77777777" w:rsidR="00DC1313" w:rsidRDefault="00DC1313" w:rsidP="00DC1313">
      <w:pPr>
        <w:rPr>
          <w:b/>
          <w:sz w:val="24"/>
          <w:szCs w:val="24"/>
        </w:rPr>
      </w:pPr>
      <w:r>
        <w:rPr>
          <w:b/>
          <w:sz w:val="24"/>
          <w:szCs w:val="24"/>
        </w:rPr>
        <w:t>Supplemental Figure 6: Overview of the single-cell sequencing datasets of the development model.</w:t>
      </w:r>
    </w:p>
    <w:p w14:paraId="06ABBABD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>(A) UMAP plots showing cells present in snRNA-seq datasets from developing retina. Each point is colored by cell type (up panel) and time point (down panel).</w:t>
      </w:r>
    </w:p>
    <w:p w14:paraId="052796DE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>(B) UMAP plots showing cells present in scRNA-seq datasets from developing retina.  Each point is colored by cell type (up panel) and time point (down panel).</w:t>
      </w:r>
    </w:p>
    <w:p w14:paraId="5AD36A95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>(C) The line plot (up panel:snRNA-seq, down panel:scRNA-seq) showing the changing of  cell ratios during the development. X-axis indicates the cell ratio and y-axis indicates each time point.</w:t>
      </w:r>
    </w:p>
    <w:p w14:paraId="7BACCF36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>(D) Examples of mRNA levels and chromatin accessibility (left:snRNA-seq and snATACseq, right:scRNA-seq) for selected cell-type-specific genes.</w:t>
      </w:r>
    </w:p>
    <w:p w14:paraId="2F9638D7" w14:textId="77777777" w:rsidR="00DC1313" w:rsidRDefault="00DC1313" w:rsidP="00DC1313">
      <w:pPr>
        <w:rPr>
          <w:sz w:val="24"/>
          <w:szCs w:val="24"/>
        </w:rPr>
      </w:pPr>
    </w:p>
    <w:p w14:paraId="310F4B13" w14:textId="77777777" w:rsidR="00DC1313" w:rsidRDefault="00DC1313" w:rsidP="00DC1313">
      <w:pPr>
        <w:rPr>
          <w:sz w:val="24"/>
          <w:szCs w:val="24"/>
        </w:rPr>
      </w:pPr>
      <w:r>
        <w:rPr>
          <w:b/>
          <w:sz w:val="24"/>
          <w:szCs w:val="24"/>
        </w:rPr>
        <w:t>Supplemental Figure 7:  Foxj1a is required for MGPC proliferation</w:t>
      </w:r>
      <w:r>
        <w:rPr>
          <w:sz w:val="24"/>
          <w:szCs w:val="24"/>
        </w:rPr>
        <w:t xml:space="preserve">. </w:t>
      </w:r>
    </w:p>
    <w:p w14:paraId="32BFEFDF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>(A) Tg(</w:t>
      </w:r>
      <w:r>
        <w:rPr>
          <w:i/>
          <w:sz w:val="24"/>
          <w:szCs w:val="24"/>
        </w:rPr>
        <w:t>gfap:GFP</w:t>
      </w:r>
      <w:r>
        <w:rPr>
          <w:sz w:val="24"/>
          <w:szCs w:val="24"/>
        </w:rPr>
        <w:t xml:space="preserve">) retinas electroporated with either Standard Control morpholino (Cont MO), </w:t>
      </w:r>
      <w:r>
        <w:rPr>
          <w:i/>
          <w:sz w:val="24"/>
          <w:szCs w:val="24"/>
        </w:rPr>
        <w:t>pcna</w:t>
      </w:r>
      <w:r>
        <w:rPr>
          <w:sz w:val="24"/>
          <w:szCs w:val="24"/>
        </w:rPr>
        <w:t xml:space="preserve"> MO, or </w:t>
      </w:r>
      <w:r>
        <w:rPr>
          <w:i/>
          <w:sz w:val="24"/>
          <w:szCs w:val="24"/>
        </w:rPr>
        <w:t>foxj1a</w:t>
      </w:r>
      <w:r>
        <w:rPr>
          <w:sz w:val="24"/>
          <w:szCs w:val="24"/>
        </w:rPr>
        <w:t xml:space="preserve"> MO were isolated 36 hours after NMDA injection and immunostained for PCNA, GFP, and counterstained with DAPI. </w:t>
      </w:r>
    </w:p>
    <w:p w14:paraId="0861FAEF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(B) Quantification of the number of PCNA-labeled cells in the INL. </w:t>
      </w:r>
    </w:p>
    <w:p w14:paraId="31E449CA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(C) Quantification of the number of PCNA-labeled cells in the ONL. </w:t>
      </w:r>
    </w:p>
    <w:p w14:paraId="1DEF8F3F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>(D) Tg(</w:t>
      </w:r>
      <w:r>
        <w:rPr>
          <w:i/>
          <w:sz w:val="24"/>
          <w:szCs w:val="24"/>
        </w:rPr>
        <w:t>gfap:GFP</w:t>
      </w:r>
      <w:r>
        <w:rPr>
          <w:sz w:val="24"/>
          <w:szCs w:val="24"/>
        </w:rPr>
        <w:t xml:space="preserve">) retinas electroporated with either Cont MO, </w:t>
      </w:r>
      <w:r>
        <w:rPr>
          <w:i/>
          <w:sz w:val="24"/>
          <w:szCs w:val="24"/>
        </w:rPr>
        <w:t>pcna</w:t>
      </w:r>
      <w:r>
        <w:rPr>
          <w:sz w:val="24"/>
          <w:szCs w:val="24"/>
        </w:rPr>
        <w:t xml:space="preserve"> MO, or </w:t>
      </w:r>
      <w:r>
        <w:rPr>
          <w:i/>
          <w:sz w:val="24"/>
          <w:szCs w:val="24"/>
        </w:rPr>
        <w:t>foxj1a</w:t>
      </w:r>
      <w:r>
        <w:rPr>
          <w:sz w:val="24"/>
          <w:szCs w:val="24"/>
        </w:rPr>
        <w:t xml:space="preserve"> MO were isolated 36 hours after starting constant light and immunostained for PCNA, GFP, and DAPI. </w:t>
      </w:r>
    </w:p>
    <w:p w14:paraId="0A571498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(E) Quantification of the number of PCNA-labeled cells in the INL. </w:t>
      </w:r>
    </w:p>
    <w:p w14:paraId="49BDC13E" w14:textId="77777777" w:rsidR="00DC1313" w:rsidRDefault="00DC1313" w:rsidP="00DC1313">
      <w:pPr>
        <w:rPr>
          <w:sz w:val="24"/>
          <w:szCs w:val="24"/>
        </w:rPr>
      </w:pPr>
      <w:r>
        <w:rPr>
          <w:sz w:val="24"/>
          <w:szCs w:val="24"/>
        </w:rPr>
        <w:t xml:space="preserve">(F) Quantification of the number of PCNA-labeled cells in the ONL. </w:t>
      </w:r>
    </w:p>
    <w:p w14:paraId="0FAB3FF1" w14:textId="77777777" w:rsidR="00DC1313" w:rsidRDefault="00DC1313" w:rsidP="00DC1313">
      <w:pPr>
        <w:rPr>
          <w:b/>
          <w:color w:val="0000FF"/>
          <w:sz w:val="24"/>
          <w:szCs w:val="24"/>
        </w:rPr>
      </w:pPr>
      <w:r>
        <w:rPr>
          <w:sz w:val="24"/>
          <w:szCs w:val="24"/>
        </w:rPr>
        <w:t xml:space="preserve">(G) Uninjected and Standard Control morphants, as well as </w:t>
      </w:r>
      <w:r>
        <w:rPr>
          <w:i/>
          <w:sz w:val="24"/>
          <w:szCs w:val="24"/>
        </w:rPr>
        <w:t>foxj1a</w:t>
      </w:r>
      <w:r>
        <w:rPr>
          <w:sz w:val="24"/>
          <w:szCs w:val="24"/>
        </w:rPr>
        <w:t xml:space="preserve"> morphants, were examined for gross morphological phenotypes at 96 hpf. Uninjected, Standard Control, and</w:t>
      </w:r>
      <w:r>
        <w:rPr>
          <w:i/>
          <w:sz w:val="24"/>
          <w:szCs w:val="24"/>
        </w:rPr>
        <w:t xml:space="preserve"> foxj1a</w:t>
      </w:r>
      <w:r>
        <w:rPr>
          <w:sz w:val="24"/>
          <w:szCs w:val="24"/>
        </w:rPr>
        <w:t xml:space="preserve"> morphant sections retinas were stained for PCNA and DAPI. In addition, </w:t>
      </w:r>
      <w:r>
        <w:rPr>
          <w:i/>
          <w:sz w:val="24"/>
          <w:szCs w:val="24"/>
        </w:rPr>
        <w:t xml:space="preserve">Tg(gfap:GFP) </w:t>
      </w:r>
      <w:r>
        <w:rPr>
          <w:sz w:val="24"/>
          <w:szCs w:val="24"/>
        </w:rPr>
        <w:t>uninjected, Standard Control, and</w:t>
      </w:r>
      <w:r>
        <w:rPr>
          <w:i/>
          <w:sz w:val="24"/>
          <w:szCs w:val="24"/>
        </w:rPr>
        <w:t xml:space="preserve"> foxj1a </w:t>
      </w:r>
      <w:r>
        <w:rPr>
          <w:sz w:val="24"/>
          <w:szCs w:val="24"/>
        </w:rPr>
        <w:t>morphant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retinas at 96 hpf were immunostained for HuC/D, green opsin (double cone photoreceptors), GFP, and counterstained with DAPI. Scale bars in A and D are 20μm, in G (top) is 1 millimeter, and in G (middle) is 50μm.</w:t>
      </w:r>
    </w:p>
    <w:p w14:paraId="37C0C0EA" w14:textId="77777777" w:rsidR="00DC1313" w:rsidRDefault="00DC1313" w:rsidP="00DC1313"/>
    <w:p w14:paraId="78B5ABF8" w14:textId="77777777" w:rsidR="00DC1313" w:rsidRDefault="00DC1313" w:rsidP="00DC1313">
      <w:pPr>
        <w:rPr>
          <w:b/>
        </w:rPr>
      </w:pPr>
      <w:r>
        <w:br w:type="page"/>
      </w:r>
    </w:p>
    <w:p w14:paraId="6C933690" w14:textId="77777777" w:rsidR="00DC1313" w:rsidRDefault="00DC1313" w:rsidP="00DC1313">
      <w:pPr>
        <w:rPr>
          <w:b/>
        </w:rPr>
      </w:pPr>
      <w:r>
        <w:rPr>
          <w:b/>
        </w:rPr>
        <w:lastRenderedPageBreak/>
        <w:t>Supplemental Tables/Datasets:</w:t>
      </w:r>
    </w:p>
    <w:p w14:paraId="66A11AB0" w14:textId="77777777" w:rsidR="00DC1313" w:rsidRDefault="00DC1313" w:rsidP="00DC1313">
      <w:pPr>
        <w:rPr>
          <w:b/>
        </w:rPr>
      </w:pPr>
    </w:p>
    <w:p w14:paraId="4D89ACD3" w14:textId="77777777" w:rsidR="00DC1313" w:rsidRDefault="00DC1313" w:rsidP="00DC1313">
      <w:r>
        <w:rPr>
          <w:b/>
        </w:rPr>
        <w:t>Table ST1:</w:t>
      </w:r>
      <w:r>
        <w:t xml:space="preserve"> Total cell counts for LD and NMDA.</w:t>
      </w:r>
    </w:p>
    <w:p w14:paraId="35B80128" w14:textId="77777777" w:rsidR="00DC1313" w:rsidRDefault="00DC1313" w:rsidP="00DC1313"/>
    <w:p w14:paraId="6F112196" w14:textId="77777777" w:rsidR="00DC1313" w:rsidRDefault="00DC1313" w:rsidP="00DC1313">
      <w:pPr>
        <w:rPr>
          <w:b/>
        </w:rPr>
      </w:pPr>
      <w:r>
        <w:rPr>
          <w:b/>
        </w:rPr>
        <w:t>Tabel ST2</w:t>
      </w:r>
      <w:r>
        <w:t>: snRNA/ATAC-Seq and scRNA-Seq data for LD and NMDA samples.</w:t>
      </w:r>
    </w:p>
    <w:p w14:paraId="7F427152" w14:textId="77777777" w:rsidR="00DC1313" w:rsidRDefault="00DC1313" w:rsidP="00DC1313">
      <w:pPr>
        <w:rPr>
          <w:b/>
        </w:rPr>
      </w:pPr>
    </w:p>
    <w:p w14:paraId="3302647B" w14:textId="77777777" w:rsidR="00DC1313" w:rsidRDefault="00DC1313" w:rsidP="00DC1313">
      <w:r>
        <w:rPr>
          <w:b/>
        </w:rPr>
        <w:t>Table ST3:</w:t>
      </w:r>
      <w:r>
        <w:t xml:space="preserve"> Genes, peaks, and motifs selectively enriched in LD vs. NMDA samples (snRNA/ATAC-Seq+scRNA-Seq).</w:t>
      </w:r>
    </w:p>
    <w:p w14:paraId="7DD588BD" w14:textId="77777777" w:rsidR="00DC1313" w:rsidRDefault="00DC1313" w:rsidP="00DC1313"/>
    <w:p w14:paraId="03EBB47F" w14:textId="77777777" w:rsidR="00DC1313" w:rsidRDefault="00DC1313" w:rsidP="00DC1313">
      <w:r>
        <w:rPr>
          <w:b/>
        </w:rPr>
        <w:t>Table ST4:</w:t>
      </w:r>
      <w:r>
        <w:t xml:space="preserve"> Regulatory relationships among TFs selectively active in LD vs. NMDA samples.  </w:t>
      </w:r>
    </w:p>
    <w:p w14:paraId="04782D1A" w14:textId="77777777" w:rsidR="00DC1313" w:rsidRDefault="00DC1313" w:rsidP="00DC1313"/>
    <w:p w14:paraId="1167046E" w14:textId="77777777" w:rsidR="00DC1313" w:rsidRDefault="00DC1313" w:rsidP="00DC1313">
      <w:r>
        <w:rPr>
          <w:b/>
        </w:rPr>
        <w:t>Table ST5</w:t>
      </w:r>
      <w:r>
        <w:t xml:space="preserve">: snRNA/ATAC-Seq and reanalyzed scRNA-Seq data for developing retinal samples.  </w:t>
      </w:r>
    </w:p>
    <w:p w14:paraId="3821BC77" w14:textId="77777777" w:rsidR="00DC1313" w:rsidRDefault="00DC1313" w:rsidP="00DC1313"/>
    <w:p w14:paraId="0147E62B" w14:textId="77777777" w:rsidR="00DC1313" w:rsidRDefault="00DC1313" w:rsidP="00DC1313">
      <w:r>
        <w:rPr>
          <w:b/>
        </w:rPr>
        <w:t>Table ST6:</w:t>
      </w:r>
      <w:r>
        <w:t xml:space="preserve"> Genes, peaks, and motifs selectively enriched in injury vs. development samples (snRNA/ATAC-Seq+scRNA-Seq).</w:t>
      </w:r>
    </w:p>
    <w:p w14:paraId="3E55B74B" w14:textId="77777777" w:rsidR="00DC1313" w:rsidRDefault="00DC1313" w:rsidP="00DC1313"/>
    <w:p w14:paraId="79659082" w14:textId="77777777" w:rsidR="00DC1313" w:rsidRDefault="00DC1313" w:rsidP="00DC1313">
      <w:r>
        <w:rPr>
          <w:b/>
        </w:rPr>
        <w:t>Table ST7:</w:t>
      </w:r>
      <w:r>
        <w:t xml:space="preserve"> Regulatory relationships among TFs selectively active in development vs. injury samples. </w:t>
      </w:r>
    </w:p>
    <w:p w14:paraId="78A3778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313"/>
    <w:rsid w:val="00755780"/>
    <w:rsid w:val="00DC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6ECA9"/>
  <w15:chartTrackingRefBased/>
  <w15:docId w15:val="{37DCEFB6-B7AE-4B95-BF13-C80EECA2F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313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1200</Words>
  <Characters>6841</Characters>
  <Application>Microsoft Office Word</Application>
  <DocSecurity>0</DocSecurity>
  <Lines>57</Lines>
  <Paragraphs>16</Paragraphs>
  <ScaleCrop>false</ScaleCrop>
  <Company>Springer Nature</Company>
  <LinksUpToDate>false</LinksUpToDate>
  <CharactersWithSpaces>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2023-09-18T06:01:00Z</dcterms:created>
  <dcterms:modified xsi:type="dcterms:W3CDTF">2023-09-18T06:01:00Z</dcterms:modified>
</cp:coreProperties>
</file>