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393F" w14:textId="10C81E70" w:rsidR="006C7032" w:rsidRPr="00C86BFE" w:rsidRDefault="006C7032" w:rsidP="006C7032">
      <w:pPr>
        <w:spacing w:line="48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86BFE">
        <w:rPr>
          <w:rFonts w:ascii="Times New Roman" w:hAnsi="Times New Roman" w:cs="Times New Roman"/>
          <w:b/>
          <w:bCs/>
          <w:sz w:val="23"/>
          <w:szCs w:val="23"/>
        </w:rPr>
        <w:t xml:space="preserve">Appendix 2: FRR empirical reports from the grey literature </w:t>
      </w:r>
    </w:p>
    <w:p w14:paraId="00D07736" w14:textId="69DD791D" w:rsidR="006C7032" w:rsidRPr="00C86BFE" w:rsidRDefault="006C7032" w:rsidP="006C7032">
      <w:pPr>
        <w:spacing w:line="48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C86BFE">
        <w:rPr>
          <w:rFonts w:ascii="Times New Roman" w:hAnsi="Times New Roman" w:cs="Times New Roman"/>
          <w:sz w:val="23"/>
          <w:szCs w:val="23"/>
        </w:rPr>
        <w:t xml:space="preserve">Through additional search of the grey literature (i.e., not peer-reviewed), we identified three empirical reports on FRR, two of which were over 20 years old as-of the time of writing. </w:t>
      </w:r>
      <w:r w:rsidR="00BF6494" w:rsidRPr="00C86BFE">
        <w:rPr>
          <w:rFonts w:ascii="Times New Roman" w:hAnsi="Times New Roman" w:cs="Times New Roman"/>
          <w:sz w:val="23"/>
          <w:szCs w:val="23"/>
        </w:rPr>
        <w:t xml:space="preserve">These two older reports are described below. </w:t>
      </w:r>
    </w:p>
    <w:p w14:paraId="5E062458" w14:textId="437FACB4" w:rsidR="006C7032" w:rsidRPr="00C86BFE" w:rsidRDefault="006C7032" w:rsidP="006C7032">
      <w:pPr>
        <w:spacing w:line="48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C86BFE">
        <w:rPr>
          <w:rFonts w:ascii="Times New Roman" w:hAnsi="Times New Roman" w:cs="Times New Roman"/>
          <w:sz w:val="23"/>
          <w:szCs w:val="23"/>
        </w:rPr>
        <w:t xml:space="preserve">First, the US General Accounting Office collected administrative court data from six states (1969-2001) on </w:t>
      </w:r>
      <w:r w:rsidR="001F6AA1" w:rsidRPr="00C86BFE">
        <w:rPr>
          <w:rFonts w:ascii="Times New Roman" w:hAnsi="Times New Roman" w:cs="Times New Roman"/>
          <w:sz w:val="23"/>
          <w:szCs w:val="23"/>
        </w:rPr>
        <w:t xml:space="preserve">granted </w:t>
      </w:r>
      <w:r w:rsidRPr="00C86BFE">
        <w:rPr>
          <w:rFonts w:ascii="Times New Roman" w:hAnsi="Times New Roman" w:cs="Times New Roman"/>
          <w:sz w:val="23"/>
          <w:szCs w:val="23"/>
        </w:rPr>
        <w:t xml:space="preserve">FRR actions </w:t>
      </w:r>
      <w:r w:rsidR="001F6AA1" w:rsidRPr="00C86BFE">
        <w:rPr>
          <w:rFonts w:ascii="Times New Roman" w:hAnsi="Times New Roman" w:cs="Times New Roman"/>
          <w:sz w:val="23"/>
          <w:szCs w:val="23"/>
        </w:rPr>
        <w:t xml:space="preserve">resulting </w:t>
      </w:r>
      <w:r w:rsidRPr="00C86BFE">
        <w:rPr>
          <w:rFonts w:ascii="Times New Roman" w:hAnsi="Times New Roman" w:cs="Times New Roman"/>
          <w:sz w:val="23"/>
          <w:szCs w:val="23"/>
        </w:rPr>
        <w:t xml:space="preserve">from either </w:t>
      </w:r>
      <w:r w:rsidR="001F6AA1" w:rsidRPr="00C86BFE">
        <w:rPr>
          <w:rFonts w:ascii="Times New Roman" w:hAnsi="Times New Roman" w:cs="Times New Roman"/>
          <w:sz w:val="23"/>
          <w:szCs w:val="23"/>
        </w:rPr>
        <w:t>direct FRR</w:t>
      </w:r>
      <w:r w:rsidRPr="00C86BFE">
        <w:rPr>
          <w:rFonts w:ascii="Times New Roman" w:hAnsi="Times New Roman" w:cs="Times New Roman"/>
          <w:sz w:val="23"/>
          <w:szCs w:val="23"/>
        </w:rPr>
        <w:t xml:space="preserve"> petitioning, expungements, official pardons, or set asides</w:t>
      </w:r>
      <w:r w:rsidR="00A81C17" w:rsidRPr="00C86BFE">
        <w:rPr>
          <w:rFonts w:ascii="Times New Roman" w:hAnsi="Times New Roman" w:cs="Times New Roman"/>
          <w:sz w:val="23"/>
          <w:szCs w:val="23"/>
        </w:rPr>
        <w:t xml:space="preserve"> </w:t>
      </w:r>
      <w:r w:rsidR="00A81C17" w:rsidRPr="00C86BFE">
        <w:rPr>
          <w:rFonts w:ascii="Times New Roman" w:hAnsi="Times New Roman" w:cs="Times New Roman"/>
          <w:sz w:val="23"/>
          <w:szCs w:val="23"/>
        </w:rPr>
        <w:fldChar w:fldCharType="begin"/>
      </w:r>
      <w:r w:rsidR="00CD434C">
        <w:rPr>
          <w:rFonts w:ascii="Times New Roman" w:hAnsi="Times New Roman" w:cs="Times New Roman"/>
          <w:sz w:val="23"/>
          <w:szCs w:val="23"/>
        </w:rPr>
        <w:instrText xml:space="preserve"> ADDIN EN.CITE &lt;EndNote&gt;&lt;Cite&gt;&lt;Author&gt;Ekstrand&lt;/Author&gt;&lt;Year&gt;2002&lt;/Year&gt;&lt;RecNum&gt;1337&lt;/RecNum&gt;&lt;DisplayText&gt;(1)&lt;/DisplayText&gt;&lt;record&gt;&lt;rec-number&gt;1337&lt;/rec-number&gt;&lt;foreign-keys&gt;&lt;key app="EN" db-id="a5fsst5tqtt9s3edefoprxwarwwx55wr0xpd" timestamp="1670269995"&gt;1337&lt;/key&gt;&lt;/foreign-keys&gt;&lt;ref-type name="Report"&gt;27&lt;/ref-type&gt;&lt;contributors&gt;&lt;authors&gt;&lt;author&gt;Ekstrand, Laurie E.&lt;/author&gt;&lt;author&gt;Burton, Danny R.&lt;/author&gt;&lt;/authors&gt;&lt;/contributors&gt;&lt;titles&gt;&lt;title&gt;Opportunities to Close Loopholes in the National Instant Criminal Background Check System&lt;/title&gt;&lt;/titles&gt;&lt;number&gt;GAO-02-720&lt;/number&gt;&lt;dates&gt;&lt;year&gt;2002&lt;/year&gt;&lt;/dates&gt;&lt;publisher&gt;US General Accounting Office&lt;/publisher&gt;&lt;urls&gt;&lt;related-urls&gt;&lt;url&gt;https://www.gao.gov/products/gao-02-720&lt;/url&gt;&lt;/related-urls&gt;&lt;/urls&gt;&lt;/record&gt;&lt;/Cite&gt;&lt;/EndNote&gt;</w:instrText>
      </w:r>
      <w:r w:rsidR="00A81C17" w:rsidRPr="00C86BFE">
        <w:rPr>
          <w:rFonts w:ascii="Times New Roman" w:hAnsi="Times New Roman" w:cs="Times New Roman"/>
          <w:sz w:val="23"/>
          <w:szCs w:val="23"/>
        </w:rPr>
        <w:fldChar w:fldCharType="separate"/>
      </w:r>
      <w:r w:rsidR="00CD434C">
        <w:rPr>
          <w:rFonts w:ascii="Times New Roman" w:hAnsi="Times New Roman" w:cs="Times New Roman"/>
          <w:noProof/>
          <w:sz w:val="23"/>
          <w:szCs w:val="23"/>
        </w:rPr>
        <w:t>(1)</w:t>
      </w:r>
      <w:r w:rsidR="00A81C17" w:rsidRPr="00C86BFE">
        <w:rPr>
          <w:rFonts w:ascii="Times New Roman" w:hAnsi="Times New Roman" w:cs="Times New Roman"/>
          <w:sz w:val="23"/>
          <w:szCs w:val="23"/>
        </w:rPr>
        <w:fldChar w:fldCharType="end"/>
      </w:r>
      <w:r w:rsidR="00CF2BDD">
        <w:rPr>
          <w:rFonts w:ascii="Times New Roman" w:hAnsi="Times New Roman" w:cs="Times New Roman"/>
          <w:sz w:val="23"/>
          <w:szCs w:val="23"/>
        </w:rPr>
        <w:t>.</w:t>
      </w:r>
      <w:r w:rsidR="00A81C17" w:rsidRPr="00C86BFE">
        <w:rPr>
          <w:rFonts w:ascii="Times New Roman" w:hAnsi="Times New Roman" w:cs="Times New Roman"/>
          <w:sz w:val="23"/>
          <w:szCs w:val="23"/>
        </w:rPr>
        <w:t xml:space="preserve"> </w:t>
      </w:r>
      <w:r w:rsidRPr="00C86BFE">
        <w:rPr>
          <w:rFonts w:ascii="Times New Roman" w:hAnsi="Times New Roman" w:cs="Times New Roman"/>
          <w:sz w:val="23"/>
          <w:szCs w:val="23"/>
        </w:rPr>
        <w:t>They found that data was often unavailable or was collected irregularly over time, prohibiting rigorous analyses or generalizability of findings</w:t>
      </w:r>
      <w:r w:rsidR="00A81C17" w:rsidRPr="00C86BFE">
        <w:rPr>
          <w:rFonts w:ascii="Times New Roman" w:hAnsi="Times New Roman" w:cs="Times New Roman"/>
          <w:sz w:val="23"/>
          <w:szCs w:val="23"/>
        </w:rPr>
        <w:t>.</w:t>
      </w:r>
      <w:r w:rsidRPr="00C86BFE">
        <w:rPr>
          <w:rFonts w:ascii="Times New Roman" w:hAnsi="Times New Roman" w:cs="Times New Roman"/>
          <w:sz w:val="23"/>
          <w:szCs w:val="23"/>
        </w:rPr>
        <w:t xml:space="preserve"> Still, they reviewed n=538 completed FRR actions and found that only n=3 individuals granted FRR had a subsequent criminal conviction</w:t>
      </w:r>
      <w:r w:rsidR="001F6AA1" w:rsidRPr="00C86BFE">
        <w:rPr>
          <w:rFonts w:ascii="Times New Roman" w:hAnsi="Times New Roman" w:cs="Times New Roman"/>
          <w:sz w:val="23"/>
          <w:szCs w:val="23"/>
        </w:rPr>
        <w:t>. From state-to-state-, t</w:t>
      </w:r>
      <w:r w:rsidRPr="00C86BFE">
        <w:rPr>
          <w:rFonts w:ascii="Times New Roman" w:hAnsi="Times New Roman" w:cs="Times New Roman"/>
          <w:sz w:val="23"/>
          <w:szCs w:val="23"/>
        </w:rPr>
        <w:t xml:space="preserve">he reporting time period varied dramatically from one to 25 years based on state-level data availability </w:t>
      </w:r>
      <w:r w:rsidRPr="00C86BFE">
        <w:rPr>
          <w:rFonts w:ascii="Times New Roman" w:hAnsi="Times New Roman" w:cs="Times New Roman"/>
          <w:sz w:val="23"/>
          <w:szCs w:val="23"/>
        </w:rPr>
        <w:fldChar w:fldCharType="begin"/>
      </w:r>
      <w:r w:rsidR="00CD434C">
        <w:rPr>
          <w:rFonts w:ascii="Times New Roman" w:hAnsi="Times New Roman" w:cs="Times New Roman"/>
          <w:sz w:val="23"/>
          <w:szCs w:val="23"/>
        </w:rPr>
        <w:instrText xml:space="preserve"> ADDIN EN.CITE &lt;EndNote&gt;&lt;Cite&gt;&lt;Author&gt;Ekstrand&lt;/Author&gt;&lt;Year&gt;2002&lt;/Year&gt;&lt;RecNum&gt;1337&lt;/RecNum&gt;&lt;DisplayText&gt;(1)&lt;/DisplayText&gt;&lt;record&gt;&lt;rec-number&gt;1337&lt;/rec-number&gt;&lt;foreign-keys&gt;&lt;key app="EN" db-id="a5fsst5tqtt9s3edefoprxwarwwx55wr0xpd" timestamp="1670269995"&gt;1337&lt;/key&gt;&lt;/foreign-keys&gt;&lt;ref-type name="Report"&gt;27&lt;/ref-type&gt;&lt;contributors&gt;&lt;authors&gt;&lt;author&gt;Ekstrand, Laurie E.&lt;/author&gt;&lt;author&gt;Burton, Danny R.&lt;/author&gt;&lt;/authors&gt;&lt;/contributors&gt;&lt;titles&gt;&lt;title&gt;Opportunities to Close Loopholes in the National Instant Criminal Background Check System&lt;/title&gt;&lt;/titles&gt;&lt;number&gt;GAO-02-720&lt;/number&gt;&lt;dates&gt;&lt;year&gt;2002&lt;/year&gt;&lt;/dates&gt;&lt;publisher&gt;US General Accounting Office&lt;/publisher&gt;&lt;urls&gt;&lt;related-urls&gt;&lt;url&gt;https://www.gao.gov/products/gao-02-720&lt;/url&gt;&lt;/related-urls&gt;&lt;/urls&gt;&lt;/record&gt;&lt;/Cite&gt;&lt;/EndNote&gt;</w:instrText>
      </w:r>
      <w:r w:rsidRPr="00C86BFE">
        <w:rPr>
          <w:rFonts w:ascii="Times New Roman" w:hAnsi="Times New Roman" w:cs="Times New Roman"/>
          <w:sz w:val="23"/>
          <w:szCs w:val="23"/>
        </w:rPr>
        <w:fldChar w:fldCharType="separate"/>
      </w:r>
      <w:r w:rsidR="00CD434C">
        <w:rPr>
          <w:rFonts w:ascii="Times New Roman" w:hAnsi="Times New Roman" w:cs="Times New Roman"/>
          <w:noProof/>
          <w:sz w:val="23"/>
          <w:szCs w:val="23"/>
        </w:rPr>
        <w:t>(1)</w:t>
      </w:r>
      <w:r w:rsidRPr="00C86BFE">
        <w:rPr>
          <w:rFonts w:ascii="Times New Roman" w:hAnsi="Times New Roman" w:cs="Times New Roman"/>
          <w:sz w:val="23"/>
          <w:szCs w:val="23"/>
        </w:rPr>
        <w:fldChar w:fldCharType="end"/>
      </w:r>
      <w:r w:rsidRPr="00C86BFE">
        <w:rPr>
          <w:rFonts w:ascii="Times New Roman" w:hAnsi="Times New Roman" w:cs="Times New Roman"/>
          <w:sz w:val="23"/>
          <w:szCs w:val="23"/>
        </w:rPr>
        <w:t xml:space="preserve">. </w:t>
      </w:r>
      <w:r w:rsidR="00E06DCC" w:rsidRPr="00C86BFE">
        <w:rPr>
          <w:rFonts w:ascii="Times New Roman" w:hAnsi="Times New Roman" w:cs="Times New Roman"/>
          <w:sz w:val="23"/>
          <w:szCs w:val="23"/>
        </w:rPr>
        <w:t>Results suggest that FRR may not be consistently documented in centralized state databases.</w:t>
      </w:r>
    </w:p>
    <w:p w14:paraId="0029A0B3" w14:textId="431A4B90" w:rsidR="00E06DCC" w:rsidRPr="00C86BFE" w:rsidRDefault="006C7032" w:rsidP="00BF6494">
      <w:pPr>
        <w:spacing w:line="48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C86BFE">
        <w:rPr>
          <w:rFonts w:ascii="Times New Roman" w:hAnsi="Times New Roman" w:cs="Times New Roman"/>
          <w:sz w:val="23"/>
          <w:szCs w:val="23"/>
        </w:rPr>
        <w:t>Second, the Violence Policy Center reviewed FRR requests that were submitted to the Bureau of Alcohol, Tobacco, Firearms, and Explosives (ATF)</w:t>
      </w:r>
      <w:r w:rsidR="00DE49C8" w:rsidRPr="00C86BFE">
        <w:rPr>
          <w:rFonts w:ascii="Times New Roman" w:hAnsi="Times New Roman" w:cs="Times New Roman"/>
          <w:sz w:val="23"/>
          <w:szCs w:val="23"/>
        </w:rPr>
        <w:t xml:space="preserve">, </w:t>
      </w:r>
      <w:r w:rsidRPr="00C86BFE">
        <w:rPr>
          <w:rFonts w:ascii="Times New Roman" w:hAnsi="Times New Roman" w:cs="Times New Roman"/>
          <w:sz w:val="23"/>
          <w:szCs w:val="23"/>
        </w:rPr>
        <w:t xml:space="preserve">1982-1992 </w:t>
      </w:r>
      <w:r w:rsidRPr="00C86BFE">
        <w:rPr>
          <w:rFonts w:ascii="Times New Roman" w:hAnsi="Times New Roman" w:cs="Times New Roman"/>
          <w:sz w:val="23"/>
          <w:szCs w:val="23"/>
        </w:rPr>
        <w:fldChar w:fldCharType="begin"/>
      </w:r>
      <w:r w:rsidR="00CD434C">
        <w:rPr>
          <w:rFonts w:ascii="Times New Roman" w:hAnsi="Times New Roman" w:cs="Times New Roman"/>
          <w:sz w:val="23"/>
          <w:szCs w:val="23"/>
        </w:rPr>
        <w:instrText xml:space="preserve"> ADDIN EN.CITE &lt;EndNote&gt;&lt;Cite&gt;&lt;Author&gt;Violence Policy Center&lt;/Author&gt;&lt;Year&gt;2000&lt;/Year&gt;&lt;RecNum&gt;1373&lt;/RecNum&gt;&lt;DisplayText&gt;(2)&lt;/DisplayText&gt;&lt;record&gt;&lt;rec-number&gt;1373&lt;/rec-number&gt;&lt;foreign-keys&gt;&lt;key app="EN" db-id="a5fsst5tqtt9s3edefoprxwarwwx55wr0xpd" timestamp="1671484131"&gt;1373&lt;/key&gt;&lt;/foreign-keys&gt;&lt;ref-type name="Report"&gt;27&lt;/ref-type&gt;&lt;contributors&gt;&lt;authors&gt;&lt;author&gt;Violence Policy Center,&lt;/author&gt;&lt;/authors&gt;&lt;/contributors&gt;&lt;titles&gt;&lt;title&gt;Guns for Felons&lt;/title&gt;&lt;/titles&gt;&lt;dates&gt;&lt;year&gt;2000&lt;/year&gt;&lt;/dates&gt;&lt;urls&gt;&lt;related-urls&gt;&lt;url&gt;https://vpc.org/publications/guns-for-felons&lt;/url&gt;&lt;/related-urls&gt;&lt;/urls&gt;&lt;/record&gt;&lt;/Cite&gt;&lt;/EndNote&gt;</w:instrText>
      </w:r>
      <w:r w:rsidRPr="00C86BFE">
        <w:rPr>
          <w:rFonts w:ascii="Times New Roman" w:hAnsi="Times New Roman" w:cs="Times New Roman"/>
          <w:sz w:val="23"/>
          <w:szCs w:val="23"/>
        </w:rPr>
        <w:fldChar w:fldCharType="separate"/>
      </w:r>
      <w:r w:rsidR="00CD434C">
        <w:rPr>
          <w:rFonts w:ascii="Times New Roman" w:hAnsi="Times New Roman" w:cs="Times New Roman"/>
          <w:noProof/>
          <w:sz w:val="23"/>
          <w:szCs w:val="23"/>
        </w:rPr>
        <w:t>(2)</w:t>
      </w:r>
      <w:r w:rsidRPr="00C86BFE">
        <w:rPr>
          <w:rFonts w:ascii="Times New Roman" w:hAnsi="Times New Roman" w:cs="Times New Roman"/>
          <w:sz w:val="23"/>
          <w:szCs w:val="23"/>
        </w:rPr>
        <w:fldChar w:fldCharType="end"/>
      </w:r>
      <w:r w:rsidRPr="00C86BFE">
        <w:rPr>
          <w:rFonts w:ascii="Times New Roman" w:hAnsi="Times New Roman" w:cs="Times New Roman"/>
          <w:sz w:val="23"/>
          <w:szCs w:val="23"/>
        </w:rPr>
        <w:t xml:space="preserve">. ATF allegedly processed more than 22,000 FRR requests during this 10-year period, of which they estimate about a third were granted. Among those granted FRR </w:t>
      </w:r>
      <w:r w:rsidR="00A81C17" w:rsidRPr="00C86BFE">
        <w:rPr>
          <w:rFonts w:ascii="Times New Roman" w:hAnsi="Times New Roman" w:cs="Times New Roman"/>
          <w:sz w:val="23"/>
          <w:szCs w:val="23"/>
        </w:rPr>
        <w:t xml:space="preserve">petitions </w:t>
      </w:r>
      <w:r w:rsidRPr="00C86BFE">
        <w:rPr>
          <w:rFonts w:ascii="Times New Roman" w:hAnsi="Times New Roman" w:cs="Times New Roman"/>
          <w:sz w:val="23"/>
          <w:szCs w:val="23"/>
        </w:rPr>
        <w:t xml:space="preserve">from 1985-1992, the Violence Policy Center determined that n=69 individuals were subsequently re-arrested, although it’s unclear how many people were followed and for how long </w:t>
      </w:r>
      <w:r w:rsidRPr="00C86BFE">
        <w:rPr>
          <w:rFonts w:ascii="Times New Roman" w:hAnsi="Times New Roman" w:cs="Times New Roman"/>
          <w:sz w:val="23"/>
          <w:szCs w:val="23"/>
        </w:rPr>
        <w:fldChar w:fldCharType="begin"/>
      </w:r>
      <w:r w:rsidR="00CD434C">
        <w:rPr>
          <w:rFonts w:ascii="Times New Roman" w:hAnsi="Times New Roman" w:cs="Times New Roman"/>
          <w:sz w:val="23"/>
          <w:szCs w:val="23"/>
        </w:rPr>
        <w:instrText xml:space="preserve"> ADDIN EN.CITE &lt;EndNote&gt;&lt;Cite&gt;&lt;Author&gt;Violence Policy Center&lt;/Author&gt;&lt;Year&gt;2000&lt;/Year&gt;&lt;RecNum&gt;1373&lt;/RecNum&gt;&lt;DisplayText&gt;(2)&lt;/DisplayText&gt;&lt;record&gt;&lt;rec-number&gt;1373&lt;/rec-number&gt;&lt;foreign-keys&gt;&lt;key app="EN" db-id="a5fsst5tqtt9s3edefoprxwarwwx55wr0xpd" timestamp="1671484131"&gt;1373&lt;/key&gt;&lt;/foreign-keys&gt;&lt;ref-type name="Report"&gt;27&lt;/ref-type&gt;&lt;contributors&gt;&lt;authors&gt;&lt;author&gt;Violence Policy Center,&lt;/author&gt;&lt;/authors&gt;&lt;/contributors&gt;&lt;titles&gt;&lt;title&gt;Guns for Felons&lt;/title&gt;&lt;/titles&gt;&lt;dates&gt;&lt;year&gt;2000&lt;/year&gt;&lt;/dates&gt;&lt;urls&gt;&lt;related-urls&gt;&lt;url&gt;https://vpc.org/publications/guns-for-felons&lt;/url&gt;&lt;/related-urls&gt;&lt;/urls&gt;&lt;/record&gt;&lt;/Cite&gt;&lt;/EndNote&gt;</w:instrText>
      </w:r>
      <w:r w:rsidRPr="00C86BFE">
        <w:rPr>
          <w:rFonts w:ascii="Times New Roman" w:hAnsi="Times New Roman" w:cs="Times New Roman"/>
          <w:sz w:val="23"/>
          <w:szCs w:val="23"/>
        </w:rPr>
        <w:fldChar w:fldCharType="separate"/>
      </w:r>
      <w:r w:rsidR="00CD434C">
        <w:rPr>
          <w:rFonts w:ascii="Times New Roman" w:hAnsi="Times New Roman" w:cs="Times New Roman"/>
          <w:noProof/>
          <w:sz w:val="23"/>
          <w:szCs w:val="23"/>
        </w:rPr>
        <w:t>(2)</w:t>
      </w:r>
      <w:r w:rsidRPr="00C86BFE">
        <w:rPr>
          <w:rFonts w:ascii="Times New Roman" w:hAnsi="Times New Roman" w:cs="Times New Roman"/>
          <w:sz w:val="23"/>
          <w:szCs w:val="23"/>
        </w:rPr>
        <w:fldChar w:fldCharType="end"/>
      </w:r>
      <w:r w:rsidRPr="00C86BFE">
        <w:rPr>
          <w:rFonts w:ascii="Times New Roman" w:hAnsi="Times New Roman" w:cs="Times New Roman"/>
          <w:sz w:val="23"/>
          <w:szCs w:val="23"/>
        </w:rPr>
        <w:t xml:space="preserve">. It is important to note that this ATF mechanism for FRR was discontinued in 1992 and is no longer active. </w:t>
      </w:r>
    </w:p>
    <w:p w14:paraId="1F9F1492" w14:textId="0B5FC970" w:rsidR="007F4296" w:rsidRPr="00C86BFE" w:rsidRDefault="007F4296" w:rsidP="00BF6494">
      <w:pPr>
        <w:spacing w:line="48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C86BFE">
        <w:rPr>
          <w:rFonts w:ascii="Times New Roman" w:hAnsi="Times New Roman" w:cs="Times New Roman"/>
          <w:sz w:val="23"/>
          <w:szCs w:val="23"/>
        </w:rPr>
        <w:t xml:space="preserve">Finally, the article in the New York Times described how many FRR cases were </w:t>
      </w:r>
      <w:r w:rsidR="00B93C53" w:rsidRPr="00C86BFE">
        <w:rPr>
          <w:rFonts w:ascii="Times New Roman" w:hAnsi="Times New Roman" w:cs="Times New Roman"/>
          <w:sz w:val="23"/>
          <w:szCs w:val="23"/>
        </w:rPr>
        <w:t>granted</w:t>
      </w:r>
      <w:r w:rsidRPr="00C86BFE">
        <w:rPr>
          <w:rFonts w:ascii="Times New Roman" w:hAnsi="Times New Roman" w:cs="Times New Roman"/>
          <w:sz w:val="23"/>
          <w:szCs w:val="23"/>
        </w:rPr>
        <w:t xml:space="preserve"> </w:t>
      </w:r>
      <w:r w:rsidR="00B93C53" w:rsidRPr="00C86BFE">
        <w:rPr>
          <w:rFonts w:ascii="Times New Roman" w:hAnsi="Times New Roman" w:cs="Times New Roman"/>
          <w:sz w:val="23"/>
          <w:szCs w:val="23"/>
        </w:rPr>
        <w:t>in the state of Washington</w:t>
      </w:r>
      <w:r w:rsidR="00C86BFE" w:rsidRPr="00C86BFE">
        <w:rPr>
          <w:rFonts w:ascii="Times New Roman" w:hAnsi="Times New Roman" w:cs="Times New Roman"/>
          <w:sz w:val="23"/>
          <w:szCs w:val="23"/>
        </w:rPr>
        <w:t xml:space="preserve"> from </w:t>
      </w:r>
      <w:r w:rsidR="00C86BFE" w:rsidRPr="00C86BFE">
        <w:rPr>
          <w:rFonts w:ascii="Times New Roman" w:hAnsi="Times New Roman" w:cs="Times New Roman"/>
          <w:sz w:val="23"/>
          <w:szCs w:val="23"/>
        </w:rPr>
        <w:t>1995-2010</w:t>
      </w:r>
      <w:r w:rsidR="00CF2BDD">
        <w:rPr>
          <w:rFonts w:ascii="Times New Roman" w:hAnsi="Times New Roman" w:cs="Times New Roman"/>
          <w:sz w:val="23"/>
          <w:szCs w:val="23"/>
        </w:rPr>
        <w:t xml:space="preserve"> </w:t>
      </w:r>
      <w:r w:rsidR="00CF2BDD">
        <w:rPr>
          <w:rFonts w:ascii="Times New Roman" w:hAnsi="Times New Roman" w:cs="Times New Roman"/>
          <w:sz w:val="23"/>
          <w:szCs w:val="23"/>
        </w:rPr>
        <w:fldChar w:fldCharType="begin"/>
      </w:r>
      <w:r w:rsidR="00CF2BDD">
        <w:rPr>
          <w:rFonts w:ascii="Times New Roman" w:hAnsi="Times New Roman" w:cs="Times New Roman"/>
          <w:sz w:val="23"/>
          <w:szCs w:val="23"/>
        </w:rPr>
        <w:instrText xml:space="preserve"> ADDIN EN.CITE &lt;EndNote&gt;&lt;Cite&gt;&lt;Author&gt;Luo&lt;/Author&gt;&lt;Year&gt;2011&lt;/Year&gt;&lt;RecNum&gt;1277&lt;/RecNum&gt;&lt;DisplayText&gt;(3)&lt;/DisplayText&gt;&lt;record&gt;&lt;rec-number&gt;1277&lt;/rec-number&gt;&lt;foreign-keys&gt;&lt;key app="EN" db-id="a5fsst5tqtt9s3edefoprxwarwwx55wr0xpd" timestamp="1660855398"&gt;1277&lt;/key&gt;&lt;/foreign-keys&gt;&lt;ref-type name="Newspaper Article"&gt;23&lt;/ref-type&gt;&lt;contributors&gt;&lt;authors&gt;&lt;author&gt;Luo, Michael&lt;/author&gt;&lt;/authors&gt;&lt;/contributors&gt;&lt;titles&gt;&lt;title&gt;Felons finding it easy to regain gun rights&lt;/title&gt;&lt;secondary-title&gt;New York Times&lt;/secondary-title&gt;&lt;/titles&gt;&lt;dates&gt;&lt;year&gt;2011&lt;/year&gt;&lt;/dates&gt;&lt;urls&gt;&lt;related-urls&gt;&lt;url&gt;https://www.nytimes.com/2011/11/14/us/felons-finding-it-easy-to-regain-gun-rights.html &lt;/url&gt;&lt;/related-urls&gt;&lt;/urls&gt;&lt;access-date&gt;August, 8 2022&lt;/access-date&gt;&lt;/record&gt;&lt;/Cite&gt;&lt;/EndNote&gt;</w:instrText>
      </w:r>
      <w:r w:rsidR="00CF2BDD">
        <w:rPr>
          <w:rFonts w:ascii="Times New Roman" w:hAnsi="Times New Roman" w:cs="Times New Roman"/>
          <w:sz w:val="23"/>
          <w:szCs w:val="23"/>
        </w:rPr>
        <w:fldChar w:fldCharType="separate"/>
      </w:r>
      <w:r w:rsidR="00CF2BDD">
        <w:rPr>
          <w:rFonts w:ascii="Times New Roman" w:hAnsi="Times New Roman" w:cs="Times New Roman"/>
          <w:noProof/>
          <w:sz w:val="23"/>
          <w:szCs w:val="23"/>
        </w:rPr>
        <w:t>(3)</w:t>
      </w:r>
      <w:r w:rsidR="00CF2BDD">
        <w:rPr>
          <w:rFonts w:ascii="Times New Roman" w:hAnsi="Times New Roman" w:cs="Times New Roman"/>
          <w:sz w:val="23"/>
          <w:szCs w:val="23"/>
        </w:rPr>
        <w:fldChar w:fldCharType="end"/>
      </w:r>
      <w:r w:rsidR="00C86BFE" w:rsidRPr="00C86BFE">
        <w:rPr>
          <w:rFonts w:ascii="Times New Roman" w:hAnsi="Times New Roman" w:cs="Times New Roman"/>
          <w:sz w:val="23"/>
          <w:szCs w:val="23"/>
        </w:rPr>
        <w:t xml:space="preserve">. Details on the findings are described in the main body of the brief report. </w:t>
      </w:r>
    </w:p>
    <w:p w14:paraId="6E890740" w14:textId="77777777" w:rsidR="00615DE9" w:rsidRDefault="00615DE9" w:rsidP="006C70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82E04" w14:textId="0E22F7CC" w:rsidR="006C7032" w:rsidRPr="006C7032" w:rsidRDefault="006C7032" w:rsidP="006C70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0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Sources:</w:t>
      </w:r>
    </w:p>
    <w:p w14:paraId="7411C445" w14:textId="77777777" w:rsidR="00CF2BDD" w:rsidRPr="00CF2BDD" w:rsidRDefault="006C7032" w:rsidP="00CF2BDD">
      <w:pPr>
        <w:pStyle w:val="EndNoteBibliography"/>
        <w:spacing w:after="24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CF2BDD" w:rsidRPr="00CF2BDD">
        <w:t>1.</w:t>
      </w:r>
      <w:r w:rsidR="00CF2BDD" w:rsidRPr="00CF2BDD">
        <w:tab/>
        <w:t>Ekstrand LE, Burton DR. Opportunities to Close Loopholes in the National Instant Criminal Background Check System. US General Accounting Office; 2002.  Contract No.: GAO-02-720.</w:t>
      </w:r>
    </w:p>
    <w:p w14:paraId="61543394" w14:textId="77777777" w:rsidR="00CF2BDD" w:rsidRPr="00CF2BDD" w:rsidRDefault="00CF2BDD" w:rsidP="00CF2BDD">
      <w:pPr>
        <w:pStyle w:val="EndNoteBibliography"/>
        <w:spacing w:after="240"/>
      </w:pPr>
      <w:r w:rsidRPr="00CF2BDD">
        <w:t>2.</w:t>
      </w:r>
      <w:r w:rsidRPr="00CF2BDD">
        <w:tab/>
        <w:t>Violence Policy Center. Guns for Felons. 2000.</w:t>
      </w:r>
    </w:p>
    <w:p w14:paraId="17049305" w14:textId="77777777" w:rsidR="00CF2BDD" w:rsidRPr="00CF2BDD" w:rsidRDefault="00CF2BDD" w:rsidP="00CF2BDD">
      <w:pPr>
        <w:pStyle w:val="EndNoteBibliography"/>
      </w:pPr>
      <w:r w:rsidRPr="00CF2BDD">
        <w:t>3.</w:t>
      </w:r>
      <w:r w:rsidRPr="00CF2BDD">
        <w:tab/>
        <w:t>Luo M. Felons finding it easy to regain gun rights. New York Times. 2011.</w:t>
      </w:r>
    </w:p>
    <w:p w14:paraId="21EBBCD9" w14:textId="4DFDA736" w:rsidR="006C7032" w:rsidRDefault="006C7032">
      <w:r>
        <w:fldChar w:fldCharType="end"/>
      </w:r>
    </w:p>
    <w:sectPr w:rsidR="006C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fsst5tqtt9s3edefoprxwarwwx55wr0xpd&quot;&gt;My EndNote Library&lt;record-ids&gt;&lt;item&gt;1277&lt;/item&gt;&lt;item&gt;1337&lt;/item&gt;&lt;item&gt;1373&lt;/item&gt;&lt;/record-ids&gt;&lt;/item&gt;&lt;/Libraries&gt;"/>
  </w:docVars>
  <w:rsids>
    <w:rsidRoot w:val="006C7032"/>
    <w:rsid w:val="001F6AA1"/>
    <w:rsid w:val="00615DE9"/>
    <w:rsid w:val="006C7032"/>
    <w:rsid w:val="007202E5"/>
    <w:rsid w:val="00794491"/>
    <w:rsid w:val="007F4296"/>
    <w:rsid w:val="00A81C17"/>
    <w:rsid w:val="00B93C53"/>
    <w:rsid w:val="00BF6494"/>
    <w:rsid w:val="00C86BFE"/>
    <w:rsid w:val="00CD434C"/>
    <w:rsid w:val="00CF2BDD"/>
    <w:rsid w:val="00DE49C8"/>
    <w:rsid w:val="00E0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0E76"/>
  <w15:chartTrackingRefBased/>
  <w15:docId w15:val="{E17B8573-9672-4F24-8EEA-53FE8C9B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3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70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7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7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032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C7032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703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6C7032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C7032"/>
    <w:rPr>
      <w:rFonts w:ascii="Times New Roman" w:hAnsi="Times New Roman" w:cs="Times New Roman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7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861</Words>
  <Characters>4914</Characters>
  <Application>Microsoft Office Word</Application>
  <DocSecurity>0</DocSecurity>
  <Lines>40</Lines>
  <Paragraphs>11</Paragraphs>
  <ScaleCrop>false</ScaleCrop>
  <Company>UW Medicine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M. Kafka</dc:creator>
  <cp:keywords/>
  <dc:description/>
  <cp:lastModifiedBy>Julie M. Kafka</cp:lastModifiedBy>
  <cp:revision>8</cp:revision>
  <dcterms:created xsi:type="dcterms:W3CDTF">2023-06-16T14:19:00Z</dcterms:created>
  <dcterms:modified xsi:type="dcterms:W3CDTF">2023-06-16T14:21:00Z</dcterms:modified>
</cp:coreProperties>
</file>