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E5D538" w14:textId="77777777" w:rsidR="009E4367" w:rsidRPr="00EE5771" w:rsidRDefault="009E4367" w:rsidP="009E4367">
      <w:pPr>
        <w:pStyle w:val="aa"/>
        <w:spacing w:before="168" w:beforeAutospacing="0" w:after="0" w:afterAutospacing="0" w:line="360" w:lineRule="auto"/>
        <w:rPr>
          <w:rFonts w:ascii="Times New Roman" w:hAnsi="Times New Roman" w:cs="Times New Roman"/>
          <w:lang w:val="en-GB"/>
        </w:rPr>
      </w:pPr>
      <w:r w:rsidRPr="003822C5">
        <w:rPr>
          <w:rFonts w:ascii="Times New Roman" w:hAnsi="Times New Roman" w:cs="Times New Roman"/>
          <w:b/>
          <w:lang w:val="en-GB"/>
        </w:rPr>
        <w:t xml:space="preserve">Table </w:t>
      </w:r>
      <w:r>
        <w:rPr>
          <w:rFonts w:ascii="Times New Roman" w:hAnsi="Times New Roman" w:cs="Times New Roman"/>
          <w:b/>
          <w:lang w:val="en-GB"/>
        </w:rPr>
        <w:t>5</w:t>
      </w:r>
      <w:r w:rsidRPr="003822C5">
        <w:rPr>
          <w:rFonts w:ascii="Times New Roman" w:hAnsi="Times New Roman" w:cs="Times New Roman"/>
          <w:b/>
          <w:lang w:val="en-GB"/>
        </w:rPr>
        <w:t>.</w:t>
      </w:r>
      <w:r w:rsidRPr="003822C5">
        <w:rPr>
          <w:rFonts w:ascii="Times New Roman" w:hAnsi="Times New Roman" w:cs="Times New Roman"/>
          <w:lang w:val="en-GB"/>
        </w:rPr>
        <w:t xml:space="preserve"> Characteristics of patients with</w:t>
      </w:r>
      <w:r w:rsidRPr="00D54879">
        <w:rPr>
          <w:rFonts w:ascii="Times New Roman" w:hAnsi="Times New Roman" w:cs="Times New Roman"/>
          <w:lang w:val="en-GB"/>
        </w:rPr>
        <w:t xml:space="preserve"> and without</w:t>
      </w:r>
      <w:r w:rsidRPr="003822C5">
        <w:rPr>
          <w:rFonts w:ascii="Times New Roman" w:hAnsi="Times New Roman" w:cs="Times New Roman"/>
          <w:lang w:val="en-GB"/>
        </w:rPr>
        <w:t xml:space="preserve"> </w:t>
      </w:r>
      <w:r w:rsidRPr="003822C5">
        <w:rPr>
          <w:rFonts w:ascii="Times New Roman" w:hAnsi="Times New Roman" w:cs="Times New Roman"/>
          <w:i/>
          <w:iCs/>
          <w:lang w:val="en-GB"/>
        </w:rPr>
        <w:t>NOTCH1</w:t>
      </w:r>
      <w:r w:rsidRPr="003822C5">
        <w:rPr>
          <w:rFonts w:ascii="Times New Roman" w:hAnsi="Times New Roman" w:cs="Times New Roman"/>
          <w:lang w:val="en-GB"/>
        </w:rPr>
        <w:t xml:space="preserve"> and/or </w:t>
      </w:r>
      <w:r w:rsidRPr="003822C5">
        <w:rPr>
          <w:rFonts w:ascii="Times New Roman" w:hAnsi="Times New Roman" w:cs="Times New Roman"/>
          <w:i/>
          <w:iCs/>
          <w:lang w:val="en-GB"/>
        </w:rPr>
        <w:t>FBXW7</w:t>
      </w:r>
      <w:r w:rsidRPr="003822C5">
        <w:rPr>
          <w:rFonts w:ascii="Times New Roman" w:hAnsi="Times New Roman" w:cs="Times New Roman"/>
          <w:lang w:val="en-GB"/>
        </w:rPr>
        <w:t xml:space="preserve"> mutations </w:t>
      </w:r>
      <w:bookmarkStart w:id="0" w:name="_GoBack"/>
      <w:bookmarkEnd w:id="0"/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984"/>
        <w:gridCol w:w="1701"/>
        <w:gridCol w:w="675"/>
      </w:tblGrid>
      <w:tr w:rsidR="009E4367" w14:paraId="77D5C1FF" w14:textId="77777777" w:rsidTr="00EF116B"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</w:tcPr>
          <w:p w14:paraId="5F31ACE5" w14:textId="77777777" w:rsidR="009E4367" w:rsidRPr="00EE5771" w:rsidRDefault="009E4367" w:rsidP="00EF116B">
            <w:pPr>
              <w:jc w:val="left"/>
              <w:rPr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FC2A83C" w14:textId="77777777" w:rsidR="009E4367" w:rsidRPr="00EE5771" w:rsidRDefault="009E4367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 xml:space="preserve">Patients with </w:t>
            </w:r>
            <w:r w:rsidRPr="003822C5">
              <w:rPr>
                <w:i/>
                <w:iCs/>
                <w:lang w:val="en-GB"/>
              </w:rPr>
              <w:t>NOTCH1</w:t>
            </w:r>
            <w:r w:rsidRPr="00EE5771">
              <w:rPr>
                <w:lang w:val="en-GB"/>
              </w:rPr>
              <w:t xml:space="preserve"> and/or </w:t>
            </w:r>
            <w:r w:rsidRPr="003822C5">
              <w:rPr>
                <w:i/>
                <w:iCs/>
                <w:lang w:val="en-GB"/>
              </w:rPr>
              <w:t>FBXW7</w:t>
            </w:r>
            <w:r w:rsidRPr="00EE5771">
              <w:rPr>
                <w:lang w:val="en-GB"/>
              </w:rPr>
              <w:t xml:space="preserve"> mutation (n=14)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9BCAD82" w14:textId="77777777" w:rsidR="009E4367" w:rsidRPr="00EE5771" w:rsidRDefault="009E4367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Patients without mutation (n=23)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16593869" w14:textId="77777777" w:rsidR="009E4367" w:rsidRPr="00981BE6" w:rsidRDefault="009E4367" w:rsidP="00EF116B">
            <w:pPr>
              <w:jc w:val="left"/>
              <w:rPr>
                <w:i/>
                <w:iCs/>
                <w:lang w:val="en-GB"/>
              </w:rPr>
            </w:pPr>
            <w:r w:rsidRPr="00981BE6">
              <w:rPr>
                <w:i/>
                <w:iCs/>
                <w:lang w:val="en-GB"/>
              </w:rPr>
              <w:t>p</w:t>
            </w:r>
          </w:p>
        </w:tc>
      </w:tr>
      <w:tr w:rsidR="009E4367" w14:paraId="274CFD2B" w14:textId="77777777" w:rsidTr="00EF116B">
        <w:tc>
          <w:tcPr>
            <w:tcW w:w="3936" w:type="dxa"/>
            <w:tcBorders>
              <w:top w:val="single" w:sz="4" w:space="0" w:color="auto"/>
            </w:tcBorders>
          </w:tcPr>
          <w:p w14:paraId="5E805A22" w14:textId="77777777" w:rsidR="009E4367" w:rsidRPr="00EE5771" w:rsidRDefault="009E4367" w:rsidP="00EF116B">
            <w:pPr>
              <w:jc w:val="left"/>
              <w:rPr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D0EA5FC" w14:textId="77777777" w:rsidR="009E4367" w:rsidRPr="00EE5771" w:rsidRDefault="009E4367" w:rsidP="00EF116B">
            <w:pPr>
              <w:jc w:val="left"/>
              <w:rPr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02BA5F" w14:textId="77777777" w:rsidR="009E4367" w:rsidRPr="00EE5771" w:rsidRDefault="009E4367" w:rsidP="00EF116B">
            <w:pPr>
              <w:jc w:val="left"/>
              <w:rPr>
                <w:lang w:val="en-GB"/>
              </w:rPr>
            </w:pPr>
          </w:p>
        </w:tc>
        <w:tc>
          <w:tcPr>
            <w:tcW w:w="675" w:type="dxa"/>
            <w:tcBorders>
              <w:top w:val="single" w:sz="4" w:space="0" w:color="auto"/>
            </w:tcBorders>
          </w:tcPr>
          <w:p w14:paraId="21B491E0" w14:textId="77777777" w:rsidR="009E4367" w:rsidRPr="00EE5771" w:rsidRDefault="009E4367" w:rsidP="00EF116B">
            <w:pPr>
              <w:jc w:val="left"/>
              <w:rPr>
                <w:b/>
                <w:lang w:val="en-GB"/>
              </w:rPr>
            </w:pPr>
          </w:p>
        </w:tc>
      </w:tr>
      <w:tr w:rsidR="009E4367" w14:paraId="31B16AB3" w14:textId="77777777" w:rsidTr="00EF116B">
        <w:tc>
          <w:tcPr>
            <w:tcW w:w="3936" w:type="dxa"/>
          </w:tcPr>
          <w:p w14:paraId="4F991657" w14:textId="77777777" w:rsidR="009E4367" w:rsidRPr="00EE5771" w:rsidRDefault="009E4367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Male, n (%)</w:t>
            </w:r>
          </w:p>
        </w:tc>
        <w:tc>
          <w:tcPr>
            <w:tcW w:w="1984" w:type="dxa"/>
          </w:tcPr>
          <w:p w14:paraId="3EFAD887" w14:textId="77777777" w:rsidR="009E4367" w:rsidRPr="00EE5771" w:rsidRDefault="009E4367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13 (92.9)</w:t>
            </w:r>
          </w:p>
        </w:tc>
        <w:tc>
          <w:tcPr>
            <w:tcW w:w="1701" w:type="dxa"/>
          </w:tcPr>
          <w:p w14:paraId="3851937A" w14:textId="77777777" w:rsidR="009E4367" w:rsidRPr="00EE5771" w:rsidRDefault="009E4367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14 (60.9)</w:t>
            </w:r>
          </w:p>
        </w:tc>
        <w:tc>
          <w:tcPr>
            <w:tcW w:w="675" w:type="dxa"/>
          </w:tcPr>
          <w:p w14:paraId="2C938065" w14:textId="77777777" w:rsidR="009E4367" w:rsidRPr="00EE5771" w:rsidRDefault="009E4367" w:rsidP="00EF116B">
            <w:pPr>
              <w:jc w:val="left"/>
              <w:rPr>
                <w:lang w:val="en-GB"/>
              </w:rPr>
            </w:pPr>
            <w:r w:rsidRPr="00EE5771">
              <w:rPr>
                <w:b/>
                <w:lang w:val="en-GB"/>
              </w:rPr>
              <w:t>0.04</w:t>
            </w:r>
          </w:p>
        </w:tc>
      </w:tr>
      <w:tr w:rsidR="009E4367" w14:paraId="01C73505" w14:textId="77777777" w:rsidTr="00EF116B">
        <w:tc>
          <w:tcPr>
            <w:tcW w:w="3936" w:type="dxa"/>
          </w:tcPr>
          <w:p w14:paraId="7E571DDB" w14:textId="77777777" w:rsidR="009E4367" w:rsidRPr="00EE5771" w:rsidRDefault="009E4367" w:rsidP="00EF116B">
            <w:pPr>
              <w:jc w:val="left"/>
              <w:rPr>
                <w:lang w:val="en-GB"/>
              </w:rPr>
            </w:pPr>
            <w:r w:rsidRPr="00EE5771">
              <w:rPr>
                <w:szCs w:val="21"/>
                <w:lang w:val="en-GB"/>
              </w:rPr>
              <w:t>Patient age, years, median (range)</w:t>
            </w:r>
          </w:p>
        </w:tc>
        <w:tc>
          <w:tcPr>
            <w:tcW w:w="1984" w:type="dxa"/>
          </w:tcPr>
          <w:p w14:paraId="6F2149AD" w14:textId="0EAEFB75" w:rsidR="009E4367" w:rsidRPr="00EE5771" w:rsidRDefault="009E4367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27 (20</w:t>
            </w:r>
            <w:r>
              <w:rPr>
                <w:lang w:val="en-GB"/>
              </w:rPr>
              <w:t>–</w:t>
            </w:r>
            <w:r w:rsidRPr="00EE5771">
              <w:rPr>
                <w:lang w:val="en-GB"/>
              </w:rPr>
              <w:t>57)</w:t>
            </w:r>
          </w:p>
        </w:tc>
        <w:tc>
          <w:tcPr>
            <w:tcW w:w="1701" w:type="dxa"/>
          </w:tcPr>
          <w:p w14:paraId="6B145A12" w14:textId="69F15DA4" w:rsidR="009E4367" w:rsidRPr="00EE5771" w:rsidRDefault="009E4367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26 (16</w:t>
            </w:r>
            <w:r>
              <w:rPr>
                <w:lang w:val="en-GB"/>
              </w:rPr>
              <w:t>–</w:t>
            </w:r>
            <w:r w:rsidRPr="00EE5771">
              <w:rPr>
                <w:lang w:val="en-GB"/>
              </w:rPr>
              <w:t>46)</w:t>
            </w:r>
          </w:p>
        </w:tc>
        <w:tc>
          <w:tcPr>
            <w:tcW w:w="675" w:type="dxa"/>
          </w:tcPr>
          <w:p w14:paraId="06D057DC" w14:textId="77777777" w:rsidR="009E4367" w:rsidRPr="00EE5771" w:rsidRDefault="009E4367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0.80</w:t>
            </w:r>
          </w:p>
        </w:tc>
      </w:tr>
      <w:tr w:rsidR="009E4367" w14:paraId="3BA64372" w14:textId="77777777" w:rsidTr="00EF116B">
        <w:tc>
          <w:tcPr>
            <w:tcW w:w="3936" w:type="dxa"/>
          </w:tcPr>
          <w:p w14:paraId="5249A6BB" w14:textId="77777777" w:rsidR="009E4367" w:rsidRPr="00EE5771" w:rsidRDefault="009E4367" w:rsidP="00EF116B">
            <w:pPr>
              <w:rPr>
                <w:lang w:val="en-GB"/>
              </w:rPr>
            </w:pPr>
            <w:r w:rsidRPr="003822C5">
              <w:rPr>
                <w:lang w:val="en-GB"/>
              </w:rPr>
              <w:t>Hyperleukocytosis at diagnosis</w:t>
            </w:r>
            <w:r w:rsidRPr="00EE5771">
              <w:rPr>
                <w:lang w:val="en-GB"/>
              </w:rPr>
              <w:t>, n (%)</w:t>
            </w:r>
          </w:p>
        </w:tc>
        <w:tc>
          <w:tcPr>
            <w:tcW w:w="1984" w:type="dxa"/>
          </w:tcPr>
          <w:p w14:paraId="6E8E2A53" w14:textId="77777777" w:rsidR="009E4367" w:rsidRPr="00EE5771" w:rsidRDefault="009E4367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0 (0)</w:t>
            </w:r>
          </w:p>
        </w:tc>
        <w:tc>
          <w:tcPr>
            <w:tcW w:w="1701" w:type="dxa"/>
          </w:tcPr>
          <w:p w14:paraId="5EFAB38D" w14:textId="77777777" w:rsidR="009E4367" w:rsidRPr="00EE5771" w:rsidRDefault="009E4367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6 (26.1)</w:t>
            </w:r>
          </w:p>
        </w:tc>
        <w:tc>
          <w:tcPr>
            <w:tcW w:w="675" w:type="dxa"/>
          </w:tcPr>
          <w:p w14:paraId="52C71CBC" w14:textId="77777777" w:rsidR="009E4367" w:rsidRPr="00EE5771" w:rsidRDefault="009E4367" w:rsidP="00EF116B">
            <w:pPr>
              <w:jc w:val="left"/>
              <w:rPr>
                <w:b/>
                <w:lang w:val="en-GB"/>
              </w:rPr>
            </w:pPr>
            <w:r w:rsidRPr="00EE5771">
              <w:rPr>
                <w:b/>
                <w:lang w:val="en-GB"/>
              </w:rPr>
              <w:t>0.04</w:t>
            </w:r>
          </w:p>
        </w:tc>
      </w:tr>
      <w:tr w:rsidR="009E4367" w14:paraId="6E1D52AA" w14:textId="77777777" w:rsidTr="00EF116B">
        <w:tc>
          <w:tcPr>
            <w:tcW w:w="3936" w:type="dxa"/>
          </w:tcPr>
          <w:p w14:paraId="74763C82" w14:textId="77777777" w:rsidR="009E4367" w:rsidRPr="00EE5771" w:rsidRDefault="009E4367" w:rsidP="00EF116B">
            <w:pPr>
              <w:jc w:val="left"/>
              <w:rPr>
                <w:szCs w:val="21"/>
                <w:lang w:val="en-GB"/>
              </w:rPr>
            </w:pPr>
            <w:r w:rsidRPr="00EE5771">
              <w:rPr>
                <w:szCs w:val="21"/>
                <w:lang w:val="en-GB"/>
              </w:rPr>
              <w:t>Median duration of follow-up, years</w:t>
            </w:r>
          </w:p>
        </w:tc>
        <w:tc>
          <w:tcPr>
            <w:tcW w:w="1984" w:type="dxa"/>
          </w:tcPr>
          <w:p w14:paraId="76FC4E18" w14:textId="77777777" w:rsidR="009E4367" w:rsidRPr="00EE5771" w:rsidRDefault="009E4367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1.05</w:t>
            </w:r>
          </w:p>
        </w:tc>
        <w:tc>
          <w:tcPr>
            <w:tcW w:w="1701" w:type="dxa"/>
          </w:tcPr>
          <w:p w14:paraId="484CED1F" w14:textId="77777777" w:rsidR="009E4367" w:rsidRPr="00EE5771" w:rsidRDefault="009E4367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2.24</w:t>
            </w:r>
          </w:p>
        </w:tc>
        <w:tc>
          <w:tcPr>
            <w:tcW w:w="675" w:type="dxa"/>
          </w:tcPr>
          <w:p w14:paraId="4A31A896" w14:textId="77777777" w:rsidR="009E4367" w:rsidRPr="00EE5771" w:rsidRDefault="009E4367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0.49</w:t>
            </w:r>
          </w:p>
        </w:tc>
      </w:tr>
      <w:tr w:rsidR="009E4367" w14:paraId="2B2CBEBB" w14:textId="77777777" w:rsidTr="00EF116B">
        <w:tc>
          <w:tcPr>
            <w:tcW w:w="3936" w:type="dxa"/>
          </w:tcPr>
          <w:p w14:paraId="75F92B3B" w14:textId="77777777" w:rsidR="009E4367" w:rsidRPr="00EE5771" w:rsidRDefault="009E4367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CR status at transplantation, n (%)</w:t>
            </w:r>
          </w:p>
        </w:tc>
        <w:tc>
          <w:tcPr>
            <w:tcW w:w="1984" w:type="dxa"/>
          </w:tcPr>
          <w:p w14:paraId="72FC70CA" w14:textId="77777777" w:rsidR="009E4367" w:rsidRPr="00EE5771" w:rsidRDefault="009E4367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13 (92.9)</w:t>
            </w:r>
          </w:p>
        </w:tc>
        <w:tc>
          <w:tcPr>
            <w:tcW w:w="1701" w:type="dxa"/>
          </w:tcPr>
          <w:p w14:paraId="597FE70C" w14:textId="77777777" w:rsidR="009E4367" w:rsidRPr="00EE5771" w:rsidRDefault="009E4367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20 (87.0)</w:t>
            </w:r>
          </w:p>
        </w:tc>
        <w:tc>
          <w:tcPr>
            <w:tcW w:w="675" w:type="dxa"/>
          </w:tcPr>
          <w:p w14:paraId="1ACFA655" w14:textId="77777777" w:rsidR="009E4367" w:rsidRPr="00EE5771" w:rsidRDefault="009E4367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0.51</w:t>
            </w:r>
          </w:p>
        </w:tc>
      </w:tr>
      <w:tr w:rsidR="009E4367" w14:paraId="74F92590" w14:textId="77777777" w:rsidTr="00EF116B">
        <w:tc>
          <w:tcPr>
            <w:tcW w:w="3936" w:type="dxa"/>
          </w:tcPr>
          <w:p w14:paraId="6E9DDA15" w14:textId="77777777" w:rsidR="009E4367" w:rsidRPr="00EE5771" w:rsidRDefault="009E4367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CR1 status at transplantation, n (%)</w:t>
            </w:r>
          </w:p>
        </w:tc>
        <w:tc>
          <w:tcPr>
            <w:tcW w:w="1984" w:type="dxa"/>
          </w:tcPr>
          <w:p w14:paraId="38C442C7" w14:textId="77777777" w:rsidR="009E4367" w:rsidRPr="00EE5771" w:rsidRDefault="009E4367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11 (84.6)</w:t>
            </w:r>
          </w:p>
        </w:tc>
        <w:tc>
          <w:tcPr>
            <w:tcW w:w="1701" w:type="dxa"/>
          </w:tcPr>
          <w:p w14:paraId="5C429C8A" w14:textId="77777777" w:rsidR="009E4367" w:rsidRPr="00EE5771" w:rsidRDefault="009E4367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10 (43.5)</w:t>
            </w:r>
          </w:p>
        </w:tc>
        <w:tc>
          <w:tcPr>
            <w:tcW w:w="675" w:type="dxa"/>
          </w:tcPr>
          <w:p w14:paraId="027C4895" w14:textId="77777777" w:rsidR="009E4367" w:rsidRPr="00EE5771" w:rsidRDefault="009E4367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0.07</w:t>
            </w:r>
          </w:p>
        </w:tc>
      </w:tr>
      <w:tr w:rsidR="009E4367" w14:paraId="6FAC143A" w14:textId="77777777" w:rsidTr="00EF116B">
        <w:tc>
          <w:tcPr>
            <w:tcW w:w="3936" w:type="dxa"/>
          </w:tcPr>
          <w:p w14:paraId="1522F051" w14:textId="77777777" w:rsidR="009E4367" w:rsidRPr="00EE5771" w:rsidRDefault="009E4367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2-year OS,</w:t>
            </w:r>
            <w:r w:rsidRPr="00D54879">
              <w:rPr>
                <w:lang w:val="en-GB"/>
              </w:rPr>
              <w:t xml:space="preserve"> </w:t>
            </w:r>
            <w:r w:rsidRPr="00EE5771">
              <w:rPr>
                <w:lang w:val="en-GB"/>
              </w:rPr>
              <w:t>%</w:t>
            </w:r>
          </w:p>
        </w:tc>
        <w:tc>
          <w:tcPr>
            <w:tcW w:w="1984" w:type="dxa"/>
          </w:tcPr>
          <w:p w14:paraId="786A064D" w14:textId="77777777" w:rsidR="009E4367" w:rsidRPr="00EE5771" w:rsidRDefault="009E4367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44.4</w:t>
            </w:r>
          </w:p>
        </w:tc>
        <w:tc>
          <w:tcPr>
            <w:tcW w:w="1701" w:type="dxa"/>
          </w:tcPr>
          <w:p w14:paraId="16809EA1" w14:textId="77777777" w:rsidR="009E4367" w:rsidRPr="00EE5771" w:rsidRDefault="009E4367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56.5</w:t>
            </w:r>
          </w:p>
        </w:tc>
        <w:tc>
          <w:tcPr>
            <w:tcW w:w="675" w:type="dxa"/>
          </w:tcPr>
          <w:p w14:paraId="5F523445" w14:textId="77777777" w:rsidR="009E4367" w:rsidRPr="00EE5771" w:rsidRDefault="009E4367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0.76</w:t>
            </w:r>
          </w:p>
        </w:tc>
      </w:tr>
      <w:tr w:rsidR="009E4367" w14:paraId="3469A5E8" w14:textId="77777777" w:rsidTr="00EF116B">
        <w:tc>
          <w:tcPr>
            <w:tcW w:w="3936" w:type="dxa"/>
          </w:tcPr>
          <w:p w14:paraId="3790FB1E" w14:textId="77777777" w:rsidR="009E4367" w:rsidRPr="00EE5771" w:rsidRDefault="009E4367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2-year LFS,</w:t>
            </w:r>
            <w:r w:rsidRPr="00D54879">
              <w:rPr>
                <w:lang w:val="en-GB"/>
              </w:rPr>
              <w:t xml:space="preserve"> </w:t>
            </w:r>
            <w:r w:rsidRPr="00EE5771">
              <w:rPr>
                <w:lang w:val="en-GB"/>
              </w:rPr>
              <w:t>%</w:t>
            </w:r>
          </w:p>
        </w:tc>
        <w:tc>
          <w:tcPr>
            <w:tcW w:w="1984" w:type="dxa"/>
          </w:tcPr>
          <w:p w14:paraId="4FFE8617" w14:textId="77777777" w:rsidR="009E4367" w:rsidRPr="00EE5771" w:rsidRDefault="009E4367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50.0</w:t>
            </w:r>
          </w:p>
        </w:tc>
        <w:tc>
          <w:tcPr>
            <w:tcW w:w="1701" w:type="dxa"/>
          </w:tcPr>
          <w:p w14:paraId="726AF22D" w14:textId="77777777" w:rsidR="009E4367" w:rsidRPr="00EE5771" w:rsidRDefault="009E4367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47.8</w:t>
            </w:r>
          </w:p>
        </w:tc>
        <w:tc>
          <w:tcPr>
            <w:tcW w:w="675" w:type="dxa"/>
          </w:tcPr>
          <w:p w14:paraId="0BD98FAD" w14:textId="77777777" w:rsidR="009E4367" w:rsidRPr="00EE5771" w:rsidRDefault="009E4367" w:rsidP="00EF116B">
            <w:pPr>
              <w:jc w:val="left"/>
              <w:rPr>
                <w:lang w:val="en-GB"/>
              </w:rPr>
            </w:pPr>
            <w:r w:rsidRPr="00EE5771">
              <w:rPr>
                <w:lang w:val="en-GB"/>
              </w:rPr>
              <w:t>0.87</w:t>
            </w:r>
          </w:p>
        </w:tc>
      </w:tr>
    </w:tbl>
    <w:p w14:paraId="540E88C0" w14:textId="77777777" w:rsidR="009E4367" w:rsidRPr="003822C5" w:rsidRDefault="009E4367" w:rsidP="009E4367">
      <w:pPr>
        <w:rPr>
          <w:lang w:val="en-GB"/>
        </w:rPr>
      </w:pPr>
      <w:r w:rsidRPr="003822C5">
        <w:rPr>
          <w:lang w:val="en-GB"/>
        </w:rPr>
        <w:t>CR, complete remission; CR1, first complete remission; OS, overall survival</w:t>
      </w:r>
      <w:r w:rsidRPr="00EE5771">
        <w:rPr>
          <w:lang w:val="en-GB"/>
        </w:rPr>
        <w:t>;</w:t>
      </w:r>
      <w:r w:rsidRPr="003822C5">
        <w:rPr>
          <w:lang w:val="en-GB"/>
        </w:rPr>
        <w:t xml:space="preserve"> LFS, leukaemia-free survival.</w:t>
      </w:r>
    </w:p>
    <w:p w14:paraId="57BEA495" w14:textId="77777777" w:rsidR="000876EC" w:rsidRPr="009E4367" w:rsidRDefault="000876EC" w:rsidP="009E4367">
      <w:pPr>
        <w:rPr>
          <w:lang w:val="en-GB"/>
        </w:rPr>
      </w:pPr>
    </w:p>
    <w:sectPr w:rsidR="000876EC" w:rsidRPr="009E43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4528F6" w16cex:dateUtc="2023-06-26T23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3C51DA4" w16cid:durableId="283C756B"/>
  <w16cid:commentId w16cid:paraId="7FE3A21A" w16cid:durableId="284528F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7415F5" w14:textId="77777777" w:rsidR="00313297" w:rsidRDefault="00313297" w:rsidP="00F945BF">
      <w:r>
        <w:separator/>
      </w:r>
    </w:p>
  </w:endnote>
  <w:endnote w:type="continuationSeparator" w:id="0">
    <w:p w14:paraId="07ED50F3" w14:textId="77777777" w:rsidR="00313297" w:rsidRDefault="00313297" w:rsidP="00F94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游明朝"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ゴシック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FC040E" w14:textId="77777777" w:rsidR="00313297" w:rsidRDefault="00313297" w:rsidP="00F945BF">
      <w:r>
        <w:separator/>
      </w:r>
    </w:p>
  </w:footnote>
  <w:footnote w:type="continuationSeparator" w:id="0">
    <w:p w14:paraId="04CE2CC5" w14:textId="77777777" w:rsidR="00313297" w:rsidRDefault="00313297" w:rsidP="00F945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6EC"/>
    <w:rsid w:val="000876EC"/>
    <w:rsid w:val="000D1CD0"/>
    <w:rsid w:val="00140765"/>
    <w:rsid w:val="00313297"/>
    <w:rsid w:val="00382406"/>
    <w:rsid w:val="005E5D0B"/>
    <w:rsid w:val="007B7CB2"/>
    <w:rsid w:val="007D65E3"/>
    <w:rsid w:val="008E0594"/>
    <w:rsid w:val="00981BE6"/>
    <w:rsid w:val="009E4367"/>
    <w:rsid w:val="00C408CD"/>
    <w:rsid w:val="00E14CDB"/>
    <w:rsid w:val="00F9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41AF11"/>
  <w15:chartTrackingRefBased/>
  <w15:docId w15:val="{014FF4C0-66D9-4F08-8AF6-E550B98F2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D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D0B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4"/>
      <w:lang w:val="en-US"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5E5D0B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:lang w:val="en-US" w:eastAsia="zh-CN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semiHidden/>
    <w:unhideWhenUsed/>
    <w:rsid w:val="005E5D0B"/>
    <w:rPr>
      <w:sz w:val="21"/>
      <w:szCs w:val="21"/>
    </w:rPr>
  </w:style>
  <w:style w:type="paragraph" w:styleId="a5">
    <w:name w:val="annotation text"/>
    <w:basedOn w:val="a"/>
    <w:link w:val="Char"/>
    <w:unhideWhenUsed/>
    <w:rsid w:val="005E5D0B"/>
    <w:pPr>
      <w:jc w:val="left"/>
    </w:pPr>
  </w:style>
  <w:style w:type="character" w:customStyle="1" w:styleId="Char">
    <w:name w:val="批注文字 Char"/>
    <w:basedOn w:val="a0"/>
    <w:link w:val="a5"/>
    <w:rsid w:val="005E5D0B"/>
    <w:rPr>
      <w:rFonts w:ascii="Times New Roman" w:eastAsia="宋体" w:hAnsi="Times New Roman" w:cs="Times New Roman"/>
      <w:sz w:val="21"/>
      <w:szCs w:val="24"/>
      <w:lang w:val="en-US" w:eastAsia="zh-CN"/>
      <w14:ligatures w14:val="none"/>
    </w:rPr>
  </w:style>
  <w:style w:type="paragraph" w:styleId="a6">
    <w:name w:val="Revision"/>
    <w:hidden/>
    <w:uiPriority w:val="99"/>
    <w:semiHidden/>
    <w:rsid w:val="005E5D0B"/>
    <w:pPr>
      <w:spacing w:after="0" w:line="240" w:lineRule="auto"/>
    </w:pPr>
    <w:rPr>
      <w:rFonts w:ascii="Times New Roman" w:eastAsia="宋体" w:hAnsi="Times New Roman" w:cs="Times New Roman"/>
      <w:sz w:val="21"/>
      <w:szCs w:val="24"/>
      <w:lang w:val="en-US" w:eastAsia="zh-CN"/>
      <w14:ligatures w14:val="none"/>
    </w:rPr>
  </w:style>
  <w:style w:type="paragraph" w:styleId="a7">
    <w:name w:val="annotation subject"/>
    <w:basedOn w:val="a5"/>
    <w:next w:val="a5"/>
    <w:link w:val="Char0"/>
    <w:uiPriority w:val="99"/>
    <w:semiHidden/>
    <w:unhideWhenUsed/>
    <w:rsid w:val="00382406"/>
    <w:pPr>
      <w:jc w:val="both"/>
    </w:pPr>
    <w:rPr>
      <w:b/>
      <w:bCs/>
      <w:sz w:val="20"/>
      <w:szCs w:val="20"/>
    </w:rPr>
  </w:style>
  <w:style w:type="character" w:customStyle="1" w:styleId="Char0">
    <w:name w:val="批注主题 Char"/>
    <w:basedOn w:val="Char"/>
    <w:link w:val="a7"/>
    <w:uiPriority w:val="99"/>
    <w:semiHidden/>
    <w:rsid w:val="00382406"/>
    <w:rPr>
      <w:rFonts w:ascii="Times New Roman" w:eastAsia="宋体" w:hAnsi="Times New Roman" w:cs="Times New Roman"/>
      <w:b/>
      <w:bCs/>
      <w:sz w:val="20"/>
      <w:szCs w:val="20"/>
      <w:lang w:val="en-US" w:eastAsia="zh-CN"/>
      <w14:ligatures w14:val="none"/>
    </w:rPr>
  </w:style>
  <w:style w:type="paragraph" w:styleId="a8">
    <w:name w:val="header"/>
    <w:basedOn w:val="a"/>
    <w:link w:val="Char1"/>
    <w:uiPriority w:val="99"/>
    <w:unhideWhenUsed/>
    <w:rsid w:val="00F945BF"/>
    <w:pPr>
      <w:tabs>
        <w:tab w:val="center" w:pos="4513"/>
        <w:tab w:val="right" w:pos="9026"/>
      </w:tabs>
    </w:pPr>
  </w:style>
  <w:style w:type="character" w:customStyle="1" w:styleId="Char1">
    <w:name w:val="页眉 Char"/>
    <w:basedOn w:val="a0"/>
    <w:link w:val="a8"/>
    <w:uiPriority w:val="99"/>
    <w:rsid w:val="00F945BF"/>
    <w:rPr>
      <w:rFonts w:ascii="Times New Roman" w:eastAsia="宋体" w:hAnsi="Times New Roman" w:cs="Times New Roman"/>
      <w:sz w:val="21"/>
      <w:szCs w:val="24"/>
      <w:lang w:val="en-US" w:eastAsia="zh-CN"/>
      <w14:ligatures w14:val="none"/>
    </w:rPr>
  </w:style>
  <w:style w:type="paragraph" w:styleId="a9">
    <w:name w:val="footer"/>
    <w:basedOn w:val="a"/>
    <w:link w:val="Char2"/>
    <w:uiPriority w:val="99"/>
    <w:unhideWhenUsed/>
    <w:rsid w:val="00F945BF"/>
    <w:pPr>
      <w:tabs>
        <w:tab w:val="center" w:pos="4513"/>
        <w:tab w:val="right" w:pos="9026"/>
      </w:tabs>
    </w:pPr>
  </w:style>
  <w:style w:type="character" w:customStyle="1" w:styleId="Char2">
    <w:name w:val="页脚 Char"/>
    <w:basedOn w:val="a0"/>
    <w:link w:val="a9"/>
    <w:uiPriority w:val="99"/>
    <w:rsid w:val="00F945BF"/>
    <w:rPr>
      <w:rFonts w:ascii="Times New Roman" w:eastAsia="宋体" w:hAnsi="Times New Roman" w:cs="Times New Roman"/>
      <w:sz w:val="21"/>
      <w:szCs w:val="24"/>
      <w:lang w:val="en-US" w:eastAsia="zh-CN"/>
      <w14:ligatures w14:val="none"/>
    </w:rPr>
  </w:style>
  <w:style w:type="paragraph" w:styleId="aa">
    <w:name w:val="Normal (Web)"/>
    <w:basedOn w:val="a"/>
    <w:link w:val="Char3"/>
    <w:uiPriority w:val="99"/>
    <w:unhideWhenUsed/>
    <w:qFormat/>
    <w:rsid w:val="00F945B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3">
    <w:name w:val="普通(网站) Char"/>
    <w:basedOn w:val="a0"/>
    <w:link w:val="aa"/>
    <w:uiPriority w:val="99"/>
    <w:qFormat/>
    <w:rsid w:val="00F945BF"/>
    <w:rPr>
      <w:rFonts w:ascii="宋体" w:eastAsia="宋体" w:hAnsi="宋体" w:cs="宋体"/>
      <w:kern w:val="0"/>
      <w:sz w:val="24"/>
      <w:szCs w:val="24"/>
      <w:lang w:val="en-US" w:eastAsia="zh-CN"/>
      <w14:ligatures w14:val="none"/>
    </w:rPr>
  </w:style>
  <w:style w:type="paragraph" w:styleId="ab">
    <w:name w:val="Balloon Text"/>
    <w:basedOn w:val="a"/>
    <w:link w:val="Char4"/>
    <w:uiPriority w:val="99"/>
    <w:semiHidden/>
    <w:unhideWhenUsed/>
    <w:rsid w:val="00981BE6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981BE6"/>
    <w:rPr>
      <w:rFonts w:ascii="Times New Roman" w:eastAsia="宋体" w:hAnsi="Times New Roman" w:cs="Times New Roman"/>
      <w:sz w:val="18"/>
      <w:szCs w:val="18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张晓婷</cp:lastModifiedBy>
  <cp:revision>10</cp:revision>
  <dcterms:created xsi:type="dcterms:W3CDTF">2023-07-31T11:14:00Z</dcterms:created>
  <dcterms:modified xsi:type="dcterms:W3CDTF">2023-08-17T15:12:00Z</dcterms:modified>
</cp:coreProperties>
</file>