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Arial" w:hAnsi="Arial" w:cs="Arial"/>
          <w:sz w:val="20"/>
        </w:rPr>
      </w:pPr>
    </w:p>
    <w:p>
      <w:pPr>
        <w:rPr>
          <w:rFonts w:ascii="Arial" w:hAnsi="Arial" w:cs="Arial"/>
          <w:sz w:val="20"/>
        </w:rPr>
      </w:pPr>
      <w:r>
        <w:rPr>
          <w:rFonts w:ascii="Arial" w:hAnsi="Arial" w:cs="Arial"/>
          <w:sz w:val="20"/>
        </w:rPr>
        <w:t>Supplementary Information for</w:t>
      </w:r>
    </w:p>
    <w:p>
      <w:pPr>
        <w:rPr>
          <w:rFonts w:ascii="Arial" w:hAnsi="Arial" w:cs="Arial"/>
          <w:sz w:val="20"/>
        </w:rPr>
      </w:pPr>
    </w:p>
    <w:p>
      <w:pPr>
        <w:rPr>
          <w:rFonts w:ascii="Arial" w:hAnsi="Arial" w:cs="Arial"/>
          <w:sz w:val="20"/>
        </w:rPr>
      </w:pPr>
      <w:r>
        <w:rPr>
          <w:rFonts w:hint="eastAsia" w:ascii="Arial" w:hAnsi="Arial" w:cs="Arial"/>
          <w:sz w:val="20"/>
        </w:rPr>
        <w:t>Spatial-temporal dynamics of disease burden attributable to PM2.5 exposure in China from 2000 to 2016</w:t>
      </w:r>
    </w:p>
    <w:p>
      <w:pPr>
        <w:rPr>
          <w:rFonts w:ascii="Arial" w:hAnsi="Arial" w:cs="Arial"/>
          <w:sz w:val="20"/>
        </w:rPr>
      </w:pPr>
      <w:bookmarkStart w:id="2" w:name="_GoBack"/>
      <w:bookmarkEnd w:id="2"/>
    </w:p>
    <w:p>
      <w:pPr>
        <w:rPr>
          <w:rFonts w:ascii="Arial" w:hAnsi="Arial" w:cs="Arial"/>
          <w:b/>
          <w:sz w:val="20"/>
        </w:rPr>
      </w:pPr>
    </w:p>
    <w:p>
      <w:pPr>
        <w:rPr>
          <w:rFonts w:ascii="Arial" w:hAnsi="Arial" w:cs="Arial"/>
          <w:sz w:val="20"/>
        </w:rPr>
      </w:pPr>
      <w:bookmarkStart w:id="0" w:name="Tables"/>
      <w:bookmarkEnd w:id="0"/>
      <w:bookmarkStart w:id="1" w:name="MaterialsMethods"/>
      <w:bookmarkEnd w:id="1"/>
    </w:p>
    <w:p>
      <w:pPr>
        <w:rPr>
          <w:rFonts w:ascii="Arial" w:hAnsi="Arial" w:cs="Arial"/>
          <w:sz w:val="20"/>
          <w:szCs w:val="20"/>
        </w:rPr>
      </w:pPr>
      <w:r>
        <w:rPr>
          <w:rFonts w:ascii="Arial" w:hAnsi="Arial" w:cs="Arial"/>
          <w:sz w:val="20"/>
          <w:szCs w:val="20"/>
          <w:lang w:eastAsia="zh-CN"/>
        </w:rPr>
        <w:drawing>
          <wp:inline distT="0" distB="0" distL="114300" distR="114300">
            <wp:extent cx="3130550" cy="2231390"/>
            <wp:effectExtent l="0" t="0" r="0" b="0"/>
            <wp:docPr id="5" name="图片 5" descr="Data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ata 11"/>
                    <pic:cNvPicPr>
                      <a:picLocks noChangeAspect="1"/>
                    </pic:cNvPicPr>
                  </pic:nvPicPr>
                  <pic:blipFill>
                    <a:blip r:embed="rId6"/>
                    <a:stretch>
                      <a:fillRect/>
                    </a:stretch>
                  </pic:blipFill>
                  <pic:spPr>
                    <a:xfrm>
                      <a:off x="0" y="0"/>
                      <a:ext cx="3130550" cy="2231390"/>
                    </a:xfrm>
                    <a:prstGeom prst="rect">
                      <a:avLst/>
                    </a:prstGeom>
                  </pic:spPr>
                </pic:pic>
              </a:graphicData>
            </a:graphic>
          </wp:inline>
        </w:drawing>
      </w:r>
    </w:p>
    <w:p>
      <w:pPr>
        <w:jc w:val="both"/>
        <w:rPr>
          <w:rFonts w:ascii="Arial" w:hAnsi="Arial" w:cs="Arial"/>
          <w:sz w:val="20"/>
          <w:szCs w:val="20"/>
        </w:rPr>
      </w:pPr>
      <w:r>
        <w:rPr>
          <w:rFonts w:ascii="Arial" w:hAnsi="Arial" w:cs="Arial"/>
          <w:b/>
          <w:bCs/>
          <w:sz w:val="20"/>
          <w:szCs w:val="20"/>
        </w:rPr>
        <w:t>Fig</w:t>
      </w:r>
      <w:r>
        <w:rPr>
          <w:rFonts w:ascii="Arial" w:hAnsi="Arial" w:eastAsia="宋体" w:cs="Arial"/>
          <w:b/>
          <w:bCs/>
          <w:sz w:val="20"/>
          <w:szCs w:val="20"/>
          <w:lang w:eastAsia="zh-CN"/>
        </w:rPr>
        <w:t>.</w:t>
      </w:r>
      <w:r>
        <w:rPr>
          <w:rFonts w:ascii="Arial" w:hAnsi="Arial" w:cs="Arial"/>
          <w:b/>
          <w:bCs/>
          <w:sz w:val="20"/>
          <w:szCs w:val="20"/>
        </w:rPr>
        <w:t xml:space="preserve"> </w:t>
      </w:r>
      <w:r>
        <w:rPr>
          <w:rFonts w:hint="eastAsia" w:ascii="Arial" w:hAnsi="Arial" w:cs="Arial"/>
          <w:b/>
          <w:bCs/>
          <w:sz w:val="20"/>
          <w:szCs w:val="20"/>
          <w:lang w:val="en-US" w:eastAsia="zh-CN"/>
        </w:rPr>
        <w:t>S1</w:t>
      </w:r>
      <w:r>
        <w:rPr>
          <w:rFonts w:ascii="Arial" w:hAnsi="Arial" w:cs="Arial"/>
          <w:sz w:val="20"/>
          <w:szCs w:val="20"/>
        </w:rPr>
        <w:t xml:space="preserve">. </w:t>
      </w:r>
      <w:r>
        <w:rPr>
          <w:rFonts w:ascii="Arial" w:hAnsi="Arial" w:eastAsia="宋体" w:cs="Arial"/>
          <w:sz w:val="20"/>
          <w:szCs w:val="20"/>
          <w:lang w:eastAsia="zh-CN"/>
        </w:rPr>
        <w:t>Comparison between the surveyed mean VSL and the theoretically estimated VSL (2016) in 9 Chinese cities. The horizontal coordinates (1)-(9) represent different cities, followed by Beijing, Nanjing, Xuzhou, Xi'an, Nanchang, Jinan, Taiyuan, Harbin, and Dalian.</w:t>
      </w:r>
    </w:p>
    <w:p>
      <w:pPr>
        <w:pStyle w:val="106"/>
        <w:rPr>
          <w:rFonts w:ascii="Arial" w:hAnsi="Arial" w:cs="Arial"/>
          <w:sz w:val="20"/>
        </w:rPr>
      </w:pPr>
    </w:p>
    <w:p>
      <w:pPr>
        <w:rPr>
          <w:rFonts w:ascii="Arial" w:hAnsi="Arial" w:cs="Arial"/>
          <w:sz w:val="20"/>
          <w:szCs w:val="20"/>
        </w:rPr>
      </w:pPr>
      <w:r>
        <w:rPr>
          <w:rFonts w:ascii="Arial" w:hAnsi="Arial" w:cs="Arial"/>
          <w:sz w:val="20"/>
          <w:szCs w:val="20"/>
        </w:rPr>
        <w:br w:type="page"/>
      </w:r>
    </w:p>
    <w:p>
      <w:pPr>
        <w:keepNext/>
        <w:spacing w:before="240" w:after="60"/>
        <w:contextualSpacing/>
        <w:rPr>
          <w:rFonts w:ascii="Arial" w:hAnsi="Arial" w:eastAsia="宋体" w:cs="Arial"/>
          <w:sz w:val="20"/>
          <w:szCs w:val="20"/>
          <w:lang w:eastAsia="zh-CN"/>
        </w:rPr>
      </w:pPr>
      <w:r>
        <w:rPr>
          <w:rFonts w:ascii="Arial" w:hAnsi="Arial" w:cs="Arial"/>
          <w:b/>
          <w:sz w:val="20"/>
          <w:szCs w:val="20"/>
        </w:rPr>
        <w:t xml:space="preserve">Table </w:t>
      </w:r>
      <w:r>
        <w:rPr>
          <w:rFonts w:hint="eastAsia" w:ascii="Arial" w:hAnsi="Arial" w:cs="Arial"/>
          <w:b/>
          <w:sz w:val="20"/>
          <w:szCs w:val="20"/>
          <w:lang w:val="en-US" w:eastAsia="zh-CN"/>
        </w:rPr>
        <w:t>S</w:t>
      </w:r>
      <w:r>
        <w:rPr>
          <w:rFonts w:ascii="Arial" w:hAnsi="Arial" w:cs="Arial"/>
          <w:b/>
          <w:sz w:val="20"/>
          <w:szCs w:val="20"/>
        </w:rPr>
        <w:t xml:space="preserve">1. </w:t>
      </w:r>
      <w:r>
        <w:rPr>
          <w:rFonts w:ascii="Arial" w:hAnsi="Arial" w:cs="Arial"/>
          <w:sz w:val="20"/>
          <w:szCs w:val="20"/>
        </w:rPr>
        <w:t>Exposure-response coefficients of PM</w:t>
      </w:r>
      <w:r>
        <w:rPr>
          <w:rFonts w:ascii="Arial" w:hAnsi="Arial" w:cs="Arial"/>
          <w:sz w:val="20"/>
          <w:szCs w:val="20"/>
          <w:vertAlign w:val="subscript"/>
        </w:rPr>
        <w:t>2.5</w:t>
      </w:r>
      <w:r>
        <w:rPr>
          <w:rFonts w:ascii="Arial" w:hAnsi="Arial" w:cs="Arial"/>
          <w:sz w:val="20"/>
          <w:szCs w:val="20"/>
        </w:rPr>
        <w:t>(per 10μg/m</w:t>
      </w:r>
      <w:r>
        <w:rPr>
          <w:rFonts w:ascii="Arial" w:hAnsi="Arial" w:cs="Arial"/>
          <w:sz w:val="20"/>
          <w:szCs w:val="20"/>
          <w:vertAlign w:val="superscript"/>
        </w:rPr>
        <w:t>3</w:t>
      </w:r>
      <w:r>
        <w:rPr>
          <w:rFonts w:ascii="Arial" w:hAnsi="Arial" w:cs="Arial"/>
          <w:sz w:val="20"/>
          <w:szCs w:val="20"/>
        </w:rPr>
        <w:t>) and incidence rates (%) of health endpoints, with references</w:t>
      </w:r>
    </w:p>
    <w:tbl>
      <w:tblPr>
        <w:tblStyle w:val="89"/>
        <w:tblW w:w="8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0"/>
        <w:gridCol w:w="2619"/>
        <w:gridCol w:w="3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2950" w:type="dxa"/>
            <w:tcBorders>
              <w:top w:val="single" w:color="auto" w:sz="12" w:space="0"/>
              <w:left w:val="nil"/>
              <w:bottom w:val="single" w:color="auto" w:sz="8" w:space="0"/>
              <w:right w:val="nil"/>
            </w:tcBorders>
            <w:shd w:val="clear" w:color="auto" w:fill="FFFFFF"/>
            <w:vAlign w:val="center"/>
          </w:tcPr>
          <w:p>
            <w:pPr>
              <w:widowControl w:val="0"/>
              <w:jc w:val="center"/>
              <w:rPr>
                <w:rFonts w:ascii="Arial" w:hAnsi="Arial" w:cs="Arial"/>
                <w:kern w:val="0"/>
                <w:sz w:val="18"/>
                <w:szCs w:val="18"/>
                <w:lang w:eastAsia="zh-CN"/>
              </w:rPr>
            </w:pPr>
            <w:r>
              <w:rPr>
                <w:rFonts w:ascii="Arial" w:hAnsi="Arial" w:cs="Arial"/>
                <w:kern w:val="0"/>
                <w:sz w:val="18"/>
                <w:szCs w:val="18"/>
              </w:rPr>
              <w:t xml:space="preserve">Health </w:t>
            </w:r>
            <w:r>
              <w:rPr>
                <w:rFonts w:ascii="Arial" w:hAnsi="Arial" w:cs="Arial"/>
                <w:kern w:val="0"/>
                <w:sz w:val="18"/>
                <w:szCs w:val="18"/>
                <w:lang w:eastAsia="zh-CN"/>
              </w:rPr>
              <w:t>endpoints</w:t>
            </w:r>
          </w:p>
        </w:tc>
        <w:tc>
          <w:tcPr>
            <w:tcW w:w="2619" w:type="dxa"/>
            <w:tcBorders>
              <w:top w:val="single" w:color="auto" w:sz="12" w:space="0"/>
              <w:left w:val="nil"/>
              <w:bottom w:val="single" w:color="auto" w:sz="8" w:space="0"/>
              <w:right w:val="nil"/>
            </w:tcBorders>
            <w:shd w:val="clear" w:color="auto" w:fill="FFFFFF"/>
            <w:vAlign w:val="center"/>
          </w:tcPr>
          <w:p>
            <w:pPr>
              <w:widowControl w:val="0"/>
              <w:jc w:val="center"/>
              <w:rPr>
                <w:rFonts w:ascii="Arial" w:hAnsi="Arial" w:cs="Arial" w:eastAsiaTheme="minorEastAsia"/>
                <w:kern w:val="0"/>
                <w:sz w:val="18"/>
                <w:szCs w:val="18"/>
                <w:lang w:eastAsia="zh-CN"/>
              </w:rPr>
            </w:pPr>
            <w:r>
              <w:rPr>
                <w:rFonts w:ascii="Arial" w:hAnsi="Arial" w:cs="Arial"/>
                <w:kern w:val="0"/>
                <w:sz w:val="18"/>
                <w:szCs w:val="18"/>
              </w:rPr>
              <w:t>Mean (95% CI)</w:t>
            </w:r>
          </w:p>
        </w:tc>
        <w:tc>
          <w:tcPr>
            <w:tcW w:w="3089" w:type="dxa"/>
            <w:tcBorders>
              <w:top w:val="single" w:color="auto" w:sz="12" w:space="0"/>
              <w:left w:val="nil"/>
              <w:bottom w:val="single" w:color="auto" w:sz="8" w:space="0"/>
              <w:right w:val="nil"/>
            </w:tcBorders>
            <w:shd w:val="clear" w:color="auto" w:fill="FFFFFF"/>
            <w:vAlign w:val="center"/>
          </w:tcPr>
          <w:p>
            <w:pPr>
              <w:widowControl w:val="0"/>
              <w:jc w:val="center"/>
              <w:rPr>
                <w:rFonts w:ascii="Arial" w:hAnsi="Arial" w:eastAsia="宋体" w:cs="Arial"/>
                <w:kern w:val="0"/>
                <w:sz w:val="18"/>
                <w:szCs w:val="18"/>
                <w:lang w:eastAsia="zh-CN"/>
              </w:rPr>
            </w:pPr>
            <w:r>
              <w:rPr>
                <w:rFonts w:ascii="Arial" w:hAnsi="Arial" w:eastAsia="宋体" w:cs="Arial"/>
                <w:kern w:val="0"/>
                <w:sz w:val="18"/>
                <w:szCs w:val="18"/>
              </w:rPr>
              <w:t>References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950" w:type="dxa"/>
            <w:tcBorders>
              <w:top w:val="nil"/>
              <w:left w:val="nil"/>
              <w:bottom w:val="nil"/>
              <w:right w:val="nil"/>
            </w:tcBorders>
            <w:shd w:val="clear" w:color="auto" w:fill="FFFFFF"/>
          </w:tcPr>
          <w:p>
            <w:pPr>
              <w:widowControl w:val="0"/>
              <w:jc w:val="center"/>
              <w:rPr>
                <w:rFonts w:ascii="Arial" w:hAnsi="Arial" w:cs="Arial" w:eastAsiaTheme="minorEastAsia"/>
                <w:kern w:val="0"/>
                <w:sz w:val="18"/>
                <w:szCs w:val="18"/>
                <w:lang w:eastAsia="zh-CN"/>
              </w:rPr>
            </w:pPr>
            <w:r>
              <w:rPr>
                <w:rFonts w:ascii="Arial" w:hAnsi="Arial" w:cs="Arial"/>
                <w:kern w:val="0"/>
                <w:sz w:val="18"/>
                <w:szCs w:val="18"/>
                <w:lang w:eastAsia="zh-CN"/>
              </w:rPr>
              <w:t>Respiratory mortality</w:t>
            </w:r>
          </w:p>
        </w:tc>
        <w:tc>
          <w:tcPr>
            <w:tcW w:w="2619"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1.43(0.85-2.01)</w:t>
            </w:r>
          </w:p>
        </w:tc>
        <w:tc>
          <w:tcPr>
            <w:tcW w:w="3089" w:type="dxa"/>
            <w:tcBorders>
              <w:top w:val="nil"/>
              <w:left w:val="nil"/>
              <w:bottom w:val="nil"/>
              <w:right w:val="nil"/>
            </w:tcBorders>
            <w:shd w:val="clear" w:color="auto" w:fill="FFFFFF"/>
          </w:tcPr>
          <w:p>
            <w:pPr>
              <w:widowControl w:val="0"/>
              <w:jc w:val="center"/>
              <w:rPr>
                <w:rFonts w:hint="default" w:ascii="Arial" w:hAnsi="Arial" w:cs="Arial" w:eastAsiaTheme="minorEastAsia"/>
                <w:kern w:val="0"/>
                <w:sz w:val="18"/>
                <w:szCs w:val="18"/>
                <w:vertAlign w:val="superscript"/>
                <w:lang w:val="en-US" w:eastAsia="zh-CN"/>
              </w:rPr>
            </w:pPr>
            <w:r>
              <w:rPr>
                <w:rFonts w:ascii="Arial" w:hAnsi="Arial" w:cs="Arial"/>
                <w:kern w:val="0"/>
                <w:sz w:val="18"/>
                <w:szCs w:val="18"/>
                <w:lang w:eastAsia="zh-CN"/>
              </w:rPr>
              <w:t>Xie et al(</w:t>
            </w:r>
            <w:r>
              <w:rPr>
                <w:rFonts w:ascii="Arial" w:hAnsi="Arial" w:cs="Arial"/>
                <w:kern w:val="0"/>
                <w:sz w:val="18"/>
                <w:szCs w:val="18"/>
              </w:rPr>
              <w:t>2009</w:t>
            </w:r>
            <w:r>
              <w:rPr>
                <w:rFonts w:ascii="Arial" w:hAnsi="Arial" w:cs="Arial"/>
                <w:kern w:val="0"/>
                <w:sz w:val="18"/>
                <w:szCs w:val="18"/>
                <w:lang w:eastAsia="zh-CN"/>
              </w:rPr>
              <w:t>)</w:t>
            </w:r>
            <w:r>
              <w:rPr>
                <w:rFonts w:hint="eastAsia" w:ascii="Arial" w:hAnsi="Arial" w:cs="Arial"/>
                <w:kern w:val="0"/>
                <w:sz w:val="18"/>
                <w:szCs w:val="18"/>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950" w:type="dxa"/>
            <w:tcBorders>
              <w:top w:val="nil"/>
              <w:left w:val="nil"/>
              <w:bottom w:val="nil"/>
              <w:right w:val="nil"/>
            </w:tcBorders>
            <w:shd w:val="clear" w:color="auto" w:fill="FFFFFF"/>
          </w:tcPr>
          <w:p>
            <w:pPr>
              <w:widowControl w:val="0"/>
              <w:jc w:val="center"/>
              <w:rPr>
                <w:rFonts w:ascii="Arial" w:hAnsi="Arial" w:cs="Arial" w:eastAsiaTheme="minorEastAsia"/>
                <w:kern w:val="0"/>
                <w:sz w:val="18"/>
                <w:szCs w:val="18"/>
                <w:lang w:eastAsia="zh-CN"/>
              </w:rPr>
            </w:pPr>
            <w:r>
              <w:rPr>
                <w:rFonts w:ascii="Arial" w:hAnsi="Arial" w:cs="Arial"/>
                <w:kern w:val="0"/>
                <w:sz w:val="18"/>
                <w:szCs w:val="18"/>
              </w:rPr>
              <w:t xml:space="preserve"> </w:t>
            </w:r>
            <w:r>
              <w:rPr>
                <w:rFonts w:ascii="Arial" w:hAnsi="Arial" w:cs="Arial"/>
                <w:kern w:val="0"/>
                <w:sz w:val="18"/>
                <w:szCs w:val="18"/>
                <w:lang w:eastAsia="zh-CN"/>
              </w:rPr>
              <w:t>C</w:t>
            </w:r>
            <w:r>
              <w:rPr>
                <w:rFonts w:ascii="Arial" w:hAnsi="Arial" w:cs="Arial"/>
                <w:kern w:val="0"/>
                <w:sz w:val="18"/>
                <w:szCs w:val="18"/>
              </w:rPr>
              <w:t>ardiovascular</w:t>
            </w:r>
            <w:r>
              <w:rPr>
                <w:rFonts w:ascii="Arial" w:hAnsi="Arial" w:cs="Arial"/>
                <w:kern w:val="0"/>
                <w:sz w:val="18"/>
                <w:szCs w:val="18"/>
                <w:lang w:eastAsia="zh-CN"/>
              </w:rPr>
              <w:t xml:space="preserve"> mortality</w:t>
            </w:r>
          </w:p>
        </w:tc>
        <w:tc>
          <w:tcPr>
            <w:tcW w:w="2619"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0.53(0.15-0.90)</w:t>
            </w:r>
          </w:p>
        </w:tc>
        <w:tc>
          <w:tcPr>
            <w:tcW w:w="3089" w:type="dxa"/>
            <w:tcBorders>
              <w:top w:val="nil"/>
              <w:left w:val="nil"/>
              <w:bottom w:val="nil"/>
              <w:right w:val="nil"/>
            </w:tcBorders>
            <w:shd w:val="clear" w:color="auto" w:fill="FFFFFF"/>
          </w:tcPr>
          <w:p>
            <w:pPr>
              <w:widowControl w:val="0"/>
              <w:jc w:val="center"/>
              <w:rPr>
                <w:rFonts w:hint="default" w:ascii="Arial" w:hAnsi="Arial" w:cs="Arial" w:eastAsiaTheme="minorEastAsia"/>
                <w:kern w:val="0"/>
                <w:sz w:val="18"/>
                <w:szCs w:val="18"/>
                <w:vertAlign w:val="superscript"/>
                <w:lang w:val="en-US" w:eastAsia="zh-CN"/>
              </w:rPr>
            </w:pPr>
            <w:r>
              <w:rPr>
                <w:rFonts w:ascii="Arial" w:hAnsi="Arial" w:cs="Arial"/>
                <w:kern w:val="0"/>
                <w:sz w:val="18"/>
                <w:szCs w:val="18"/>
                <w:lang w:eastAsia="zh-CN"/>
              </w:rPr>
              <w:t>Xie et al(</w:t>
            </w:r>
            <w:r>
              <w:rPr>
                <w:rFonts w:ascii="Arial" w:hAnsi="Arial" w:cs="Arial"/>
                <w:kern w:val="0"/>
                <w:sz w:val="18"/>
                <w:szCs w:val="18"/>
              </w:rPr>
              <w:t>2009</w:t>
            </w:r>
            <w:r>
              <w:rPr>
                <w:rFonts w:ascii="Arial" w:hAnsi="Arial" w:cs="Arial"/>
                <w:kern w:val="0"/>
                <w:sz w:val="18"/>
                <w:szCs w:val="18"/>
                <w:lang w:eastAsia="zh-CN"/>
              </w:rPr>
              <w:t>)</w:t>
            </w:r>
            <w:r>
              <w:rPr>
                <w:rFonts w:hint="eastAsia" w:ascii="Arial" w:hAnsi="Arial" w:cs="Arial"/>
                <w:kern w:val="0"/>
                <w:sz w:val="18"/>
                <w:szCs w:val="18"/>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950"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Respiratory hospital admission</w:t>
            </w:r>
          </w:p>
        </w:tc>
        <w:tc>
          <w:tcPr>
            <w:tcW w:w="2619"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1.09(0-2.21)</w:t>
            </w:r>
          </w:p>
        </w:tc>
        <w:tc>
          <w:tcPr>
            <w:tcW w:w="3089" w:type="dxa"/>
            <w:tcBorders>
              <w:top w:val="nil"/>
              <w:left w:val="nil"/>
              <w:bottom w:val="nil"/>
              <w:right w:val="nil"/>
            </w:tcBorders>
            <w:shd w:val="clear" w:color="auto" w:fill="FFFFFF"/>
          </w:tcPr>
          <w:p>
            <w:pPr>
              <w:widowControl w:val="0"/>
              <w:jc w:val="center"/>
              <w:rPr>
                <w:rFonts w:hint="default" w:ascii="Arial" w:hAnsi="Arial" w:cs="Arial" w:eastAsiaTheme="minorEastAsia"/>
                <w:kern w:val="0"/>
                <w:sz w:val="18"/>
                <w:szCs w:val="18"/>
                <w:vertAlign w:val="superscript"/>
                <w:lang w:val="en-US" w:eastAsia="zh-CN"/>
              </w:rPr>
            </w:pPr>
            <w:r>
              <w:rPr>
                <w:rFonts w:ascii="Arial" w:hAnsi="Arial" w:cs="Arial"/>
                <w:kern w:val="0"/>
                <w:sz w:val="18"/>
                <w:szCs w:val="18"/>
                <w:lang w:eastAsia="zh-CN"/>
              </w:rPr>
              <w:t>Liu et al(</w:t>
            </w:r>
            <w:r>
              <w:rPr>
                <w:rFonts w:ascii="Arial" w:hAnsi="Arial" w:cs="Arial"/>
                <w:kern w:val="0"/>
                <w:sz w:val="18"/>
                <w:szCs w:val="18"/>
              </w:rPr>
              <w:t>2010</w:t>
            </w:r>
            <w:r>
              <w:rPr>
                <w:rFonts w:ascii="Arial" w:hAnsi="Arial" w:cs="Arial"/>
                <w:kern w:val="0"/>
                <w:sz w:val="18"/>
                <w:szCs w:val="18"/>
                <w:lang w:eastAsia="zh-CN"/>
              </w:rPr>
              <w:t>)</w:t>
            </w:r>
            <w:r>
              <w:rPr>
                <w:rFonts w:hint="eastAsia" w:ascii="Arial" w:hAnsi="Arial" w:cs="Arial"/>
                <w:kern w:val="0"/>
                <w:sz w:val="18"/>
                <w:szCs w:val="18"/>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50"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Cardiovascular hospital admission</w:t>
            </w:r>
          </w:p>
        </w:tc>
        <w:tc>
          <w:tcPr>
            <w:tcW w:w="2619"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0.68</w:t>
            </w:r>
            <w:r>
              <w:rPr>
                <w:rFonts w:ascii="Arial" w:hAnsi="Arial" w:eastAsia="宋体" w:cs="Arial"/>
                <w:kern w:val="0"/>
                <w:sz w:val="18"/>
                <w:szCs w:val="18"/>
              </w:rPr>
              <w:t>（</w:t>
            </w:r>
            <w:r>
              <w:rPr>
                <w:rFonts w:ascii="Arial" w:hAnsi="Arial" w:cs="Arial"/>
                <w:kern w:val="0"/>
                <w:sz w:val="18"/>
                <w:szCs w:val="18"/>
              </w:rPr>
              <w:t>0.43-0.93</w:t>
            </w:r>
            <w:r>
              <w:rPr>
                <w:rFonts w:ascii="Arial" w:hAnsi="Arial" w:eastAsia="宋体" w:cs="Arial"/>
                <w:kern w:val="0"/>
                <w:sz w:val="18"/>
                <w:szCs w:val="18"/>
              </w:rPr>
              <w:t>）</w:t>
            </w:r>
          </w:p>
        </w:tc>
        <w:tc>
          <w:tcPr>
            <w:tcW w:w="3089" w:type="dxa"/>
            <w:tcBorders>
              <w:top w:val="nil"/>
              <w:left w:val="nil"/>
              <w:bottom w:val="nil"/>
              <w:right w:val="nil"/>
            </w:tcBorders>
            <w:shd w:val="clear" w:color="auto" w:fill="FFFFFF"/>
          </w:tcPr>
          <w:p>
            <w:pPr>
              <w:widowControl w:val="0"/>
              <w:jc w:val="center"/>
              <w:rPr>
                <w:rFonts w:hint="default" w:ascii="Arial" w:hAnsi="Arial" w:cs="Arial" w:eastAsiaTheme="minorEastAsia"/>
                <w:kern w:val="0"/>
                <w:sz w:val="18"/>
                <w:szCs w:val="18"/>
                <w:lang w:val="en-US" w:eastAsia="zh-CN"/>
              </w:rPr>
            </w:pPr>
            <w:r>
              <w:rPr>
                <w:rFonts w:ascii="Arial" w:hAnsi="Arial" w:cs="Arial"/>
                <w:kern w:val="0"/>
                <w:sz w:val="18"/>
                <w:szCs w:val="18"/>
                <w:lang w:eastAsia="zh-CN"/>
              </w:rPr>
              <w:t>Liu et al(</w:t>
            </w:r>
            <w:r>
              <w:rPr>
                <w:rFonts w:ascii="Arial" w:hAnsi="Arial" w:cs="Arial"/>
                <w:kern w:val="0"/>
                <w:sz w:val="18"/>
                <w:szCs w:val="18"/>
              </w:rPr>
              <w:t>2010</w:t>
            </w:r>
            <w:r>
              <w:rPr>
                <w:rFonts w:ascii="Arial" w:hAnsi="Arial" w:cs="Arial"/>
                <w:kern w:val="0"/>
                <w:sz w:val="18"/>
                <w:szCs w:val="18"/>
                <w:lang w:eastAsia="zh-CN"/>
              </w:rPr>
              <w:t>)</w:t>
            </w:r>
            <w:r>
              <w:rPr>
                <w:rFonts w:hint="eastAsia" w:ascii="Arial" w:hAnsi="Arial" w:cs="Arial"/>
                <w:kern w:val="0"/>
                <w:sz w:val="18"/>
                <w:szCs w:val="18"/>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2950"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Acute bronchitis</w:t>
            </w:r>
          </w:p>
        </w:tc>
        <w:tc>
          <w:tcPr>
            <w:tcW w:w="2619"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7.90(2.70-13.00</w:t>
            </w:r>
            <w:r>
              <w:rPr>
                <w:rFonts w:ascii="Arial" w:hAnsi="Arial" w:eastAsia="宋体" w:cs="Arial"/>
                <w:kern w:val="0"/>
                <w:sz w:val="18"/>
                <w:szCs w:val="18"/>
              </w:rPr>
              <w:t>）</w:t>
            </w:r>
          </w:p>
        </w:tc>
        <w:tc>
          <w:tcPr>
            <w:tcW w:w="3089" w:type="dxa"/>
            <w:tcBorders>
              <w:top w:val="nil"/>
              <w:left w:val="nil"/>
              <w:bottom w:val="nil"/>
              <w:right w:val="nil"/>
            </w:tcBorders>
            <w:shd w:val="clear" w:color="auto" w:fill="FFFFFF"/>
          </w:tcPr>
          <w:p>
            <w:pPr>
              <w:widowControl w:val="0"/>
              <w:jc w:val="center"/>
              <w:rPr>
                <w:rFonts w:hint="default" w:ascii="Arial" w:hAnsi="Arial" w:cs="Arial" w:eastAsiaTheme="minorEastAsia"/>
                <w:kern w:val="0"/>
                <w:sz w:val="18"/>
                <w:szCs w:val="18"/>
                <w:vertAlign w:val="superscript"/>
                <w:lang w:val="en-US" w:eastAsia="zh-CN"/>
              </w:rPr>
            </w:pPr>
            <w:r>
              <w:rPr>
                <w:rFonts w:ascii="Arial" w:hAnsi="Arial" w:cs="Arial"/>
                <w:kern w:val="0"/>
                <w:sz w:val="18"/>
                <w:szCs w:val="18"/>
                <w:lang w:eastAsia="zh-CN"/>
              </w:rPr>
              <w:t>Liu et al(</w:t>
            </w:r>
            <w:r>
              <w:rPr>
                <w:rFonts w:ascii="Arial" w:hAnsi="Arial" w:cs="Arial"/>
                <w:kern w:val="0"/>
                <w:sz w:val="18"/>
                <w:szCs w:val="18"/>
              </w:rPr>
              <w:t>2010</w:t>
            </w:r>
            <w:r>
              <w:rPr>
                <w:rFonts w:ascii="Arial" w:hAnsi="Arial" w:cs="Arial"/>
                <w:kern w:val="0"/>
                <w:sz w:val="18"/>
                <w:szCs w:val="18"/>
                <w:lang w:eastAsia="zh-CN"/>
              </w:rPr>
              <w:t>)</w:t>
            </w:r>
            <w:r>
              <w:rPr>
                <w:rFonts w:hint="eastAsia" w:ascii="Arial" w:hAnsi="Arial" w:cs="Arial"/>
                <w:kern w:val="0"/>
                <w:sz w:val="18"/>
                <w:szCs w:val="18"/>
                <w:vertAlign w:val="superscript"/>
                <w:lang w:val="en-US" w:eastAsia="zh-CN"/>
              </w:rPr>
              <w:t>2</w:t>
            </w:r>
            <w:r>
              <w:rPr>
                <w:rFonts w:ascii="Arial" w:hAnsi="Arial" w:cs="Arial"/>
                <w:kern w:val="0"/>
                <w:sz w:val="18"/>
                <w:szCs w:val="18"/>
              </w:rPr>
              <w:t>;</w:t>
            </w:r>
            <w:r>
              <w:rPr>
                <w:rFonts w:ascii="Arial" w:hAnsi="Arial" w:cs="Arial"/>
                <w:kern w:val="0"/>
                <w:sz w:val="18"/>
                <w:szCs w:val="18"/>
                <w:lang w:eastAsia="zh-CN"/>
              </w:rPr>
              <w:t>Huang et al.(</w:t>
            </w:r>
            <w:r>
              <w:rPr>
                <w:rFonts w:ascii="Arial" w:hAnsi="Arial" w:cs="Arial"/>
                <w:kern w:val="0"/>
                <w:sz w:val="18"/>
                <w:szCs w:val="18"/>
              </w:rPr>
              <w:t>2013</w:t>
            </w:r>
            <w:r>
              <w:rPr>
                <w:rFonts w:ascii="Arial" w:hAnsi="Arial" w:cs="Arial"/>
                <w:kern w:val="0"/>
                <w:sz w:val="18"/>
                <w:szCs w:val="18"/>
                <w:lang w:eastAsia="zh-CN"/>
              </w:rPr>
              <w:t>)</w:t>
            </w:r>
            <w:r>
              <w:rPr>
                <w:rFonts w:hint="eastAsia" w:ascii="Arial" w:hAnsi="Arial" w:cs="Arial"/>
                <w:kern w:val="0"/>
                <w:sz w:val="18"/>
                <w:szCs w:val="18"/>
                <w:vertAlign w:val="superscript"/>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2950"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Chronic bronchitis</w:t>
            </w:r>
          </w:p>
        </w:tc>
        <w:tc>
          <w:tcPr>
            <w:tcW w:w="2619"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10.09(3.66-15.59)</w:t>
            </w:r>
          </w:p>
        </w:tc>
        <w:tc>
          <w:tcPr>
            <w:tcW w:w="3089" w:type="dxa"/>
            <w:tcBorders>
              <w:top w:val="nil"/>
              <w:left w:val="nil"/>
              <w:bottom w:val="nil"/>
              <w:right w:val="nil"/>
            </w:tcBorders>
            <w:shd w:val="clear" w:color="auto" w:fill="FFFFFF"/>
          </w:tcPr>
          <w:p>
            <w:pPr>
              <w:widowControl w:val="0"/>
              <w:jc w:val="center"/>
              <w:rPr>
                <w:rFonts w:hint="default" w:ascii="Arial" w:hAnsi="Arial" w:cs="Arial" w:eastAsiaTheme="minorEastAsia"/>
                <w:kern w:val="0"/>
                <w:sz w:val="18"/>
                <w:szCs w:val="18"/>
                <w:vertAlign w:val="superscript"/>
                <w:lang w:val="en-US" w:eastAsia="zh-CN"/>
              </w:rPr>
            </w:pPr>
            <w:r>
              <w:rPr>
                <w:rFonts w:ascii="Arial" w:hAnsi="Arial" w:cs="Arial"/>
                <w:kern w:val="0"/>
                <w:sz w:val="18"/>
                <w:szCs w:val="18"/>
                <w:lang w:eastAsia="zh-CN"/>
              </w:rPr>
              <w:t>Huang et al.(</w:t>
            </w:r>
            <w:r>
              <w:rPr>
                <w:rFonts w:ascii="Arial" w:hAnsi="Arial" w:cs="Arial"/>
                <w:kern w:val="0"/>
                <w:sz w:val="18"/>
                <w:szCs w:val="18"/>
              </w:rPr>
              <w:t>2013</w:t>
            </w:r>
            <w:r>
              <w:rPr>
                <w:rFonts w:ascii="Arial" w:hAnsi="Arial" w:cs="Arial"/>
                <w:kern w:val="0"/>
                <w:sz w:val="18"/>
                <w:szCs w:val="18"/>
                <w:lang w:eastAsia="zh-CN"/>
              </w:rPr>
              <w:t>)</w:t>
            </w:r>
            <w:r>
              <w:rPr>
                <w:rFonts w:hint="eastAsia" w:ascii="Arial" w:hAnsi="Arial" w:cs="Arial"/>
                <w:kern w:val="0"/>
                <w:sz w:val="18"/>
                <w:szCs w:val="18"/>
                <w:vertAlign w:val="superscript"/>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950"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Asthma attack</w:t>
            </w:r>
          </w:p>
        </w:tc>
        <w:tc>
          <w:tcPr>
            <w:tcW w:w="2619"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2.10(1.45-2.74)</w:t>
            </w:r>
          </w:p>
        </w:tc>
        <w:tc>
          <w:tcPr>
            <w:tcW w:w="3089" w:type="dxa"/>
            <w:tcBorders>
              <w:top w:val="nil"/>
              <w:left w:val="nil"/>
              <w:bottom w:val="nil"/>
              <w:right w:val="nil"/>
            </w:tcBorders>
            <w:shd w:val="clear" w:color="auto" w:fill="FFFFFF"/>
          </w:tcPr>
          <w:p>
            <w:pPr>
              <w:widowControl w:val="0"/>
              <w:jc w:val="center"/>
              <w:rPr>
                <w:rFonts w:hint="default" w:ascii="Arial" w:hAnsi="Arial" w:cs="Arial"/>
                <w:kern w:val="0"/>
                <w:sz w:val="18"/>
                <w:szCs w:val="18"/>
                <w:vertAlign w:val="superscript"/>
                <w:lang w:val="en-US"/>
              </w:rPr>
            </w:pPr>
            <w:r>
              <w:rPr>
                <w:rFonts w:ascii="Arial" w:hAnsi="Arial" w:cs="Arial"/>
                <w:kern w:val="0"/>
                <w:sz w:val="18"/>
                <w:szCs w:val="18"/>
                <w:lang w:eastAsia="zh-CN"/>
              </w:rPr>
              <w:t>Liu et al(</w:t>
            </w:r>
            <w:r>
              <w:rPr>
                <w:rFonts w:ascii="Arial" w:hAnsi="Arial" w:cs="Arial"/>
                <w:kern w:val="0"/>
                <w:sz w:val="18"/>
                <w:szCs w:val="18"/>
              </w:rPr>
              <w:t>2010</w:t>
            </w:r>
            <w:r>
              <w:rPr>
                <w:rFonts w:ascii="Arial" w:hAnsi="Arial" w:cs="Arial"/>
                <w:kern w:val="0"/>
                <w:sz w:val="18"/>
                <w:szCs w:val="18"/>
                <w:lang w:eastAsia="zh-CN"/>
              </w:rPr>
              <w:t>)</w:t>
            </w:r>
            <w:r>
              <w:rPr>
                <w:rFonts w:hint="eastAsia" w:ascii="Arial" w:hAnsi="Arial" w:cs="Arial"/>
                <w:kern w:val="0"/>
                <w:sz w:val="18"/>
                <w:szCs w:val="18"/>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950"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Outpatient visits</w:t>
            </w:r>
            <w:r>
              <w:rPr>
                <w:rFonts w:ascii="Arial" w:hAnsi="Arial" w:cs="Arial"/>
                <w:kern w:val="0"/>
                <w:sz w:val="18"/>
                <w:szCs w:val="18"/>
                <w:lang w:eastAsia="zh-CN"/>
              </w:rPr>
              <w:t>-</w:t>
            </w:r>
            <w:r>
              <w:rPr>
                <w:rFonts w:ascii="Arial" w:hAnsi="Arial" w:cs="Arial"/>
                <w:kern w:val="0"/>
                <w:sz w:val="18"/>
                <w:szCs w:val="18"/>
              </w:rPr>
              <w:t xml:space="preserve">internal medicine </w:t>
            </w:r>
            <w:r>
              <w:rPr>
                <w:rFonts w:ascii="Arial" w:hAnsi="Arial" w:eastAsia="宋体" w:cs="Arial"/>
                <w:kern w:val="0"/>
                <w:sz w:val="18"/>
                <w:szCs w:val="18"/>
              </w:rPr>
              <w:t>（</w:t>
            </w:r>
            <w:r>
              <w:rPr>
                <w:rFonts w:ascii="Arial" w:hAnsi="Arial" w:cs="Arial"/>
                <w:kern w:val="0"/>
                <w:sz w:val="18"/>
                <w:szCs w:val="18"/>
              </w:rPr>
              <w:t>≥15</w:t>
            </w:r>
            <w:r>
              <w:rPr>
                <w:rFonts w:ascii="Arial" w:hAnsi="Arial" w:cs="Arial"/>
                <w:kern w:val="0"/>
                <w:sz w:val="18"/>
                <w:szCs w:val="18"/>
                <w:lang w:eastAsia="zh-CN"/>
              </w:rPr>
              <w:t>years</w:t>
            </w:r>
            <w:r>
              <w:rPr>
                <w:rFonts w:ascii="Arial" w:hAnsi="Arial" w:eastAsia="宋体" w:cs="Arial"/>
                <w:kern w:val="0"/>
                <w:sz w:val="18"/>
                <w:szCs w:val="18"/>
              </w:rPr>
              <w:t>）</w:t>
            </w:r>
          </w:p>
        </w:tc>
        <w:tc>
          <w:tcPr>
            <w:tcW w:w="2619" w:type="dxa"/>
            <w:tcBorders>
              <w:top w:val="nil"/>
              <w:left w:val="nil"/>
              <w:bottom w:val="nil"/>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0.49(0.27-0.70)</w:t>
            </w:r>
          </w:p>
        </w:tc>
        <w:tc>
          <w:tcPr>
            <w:tcW w:w="3089" w:type="dxa"/>
            <w:tcBorders>
              <w:top w:val="nil"/>
              <w:left w:val="nil"/>
              <w:bottom w:val="nil"/>
              <w:right w:val="nil"/>
            </w:tcBorders>
            <w:shd w:val="clear" w:color="auto" w:fill="FFFFFF"/>
          </w:tcPr>
          <w:p>
            <w:pPr>
              <w:widowControl w:val="0"/>
              <w:jc w:val="center"/>
              <w:rPr>
                <w:rFonts w:hint="default" w:ascii="Arial" w:hAnsi="Arial" w:cs="Arial"/>
                <w:kern w:val="0"/>
                <w:sz w:val="18"/>
                <w:szCs w:val="18"/>
                <w:vertAlign w:val="superscript"/>
                <w:lang w:val="en-US"/>
              </w:rPr>
            </w:pPr>
            <w:r>
              <w:rPr>
                <w:rFonts w:ascii="Arial" w:hAnsi="Arial" w:cs="Arial"/>
                <w:kern w:val="0"/>
                <w:sz w:val="18"/>
                <w:szCs w:val="18"/>
                <w:lang w:eastAsia="zh-CN"/>
              </w:rPr>
              <w:t>Liu et al(</w:t>
            </w:r>
            <w:r>
              <w:rPr>
                <w:rFonts w:ascii="Arial" w:hAnsi="Arial" w:cs="Arial"/>
                <w:kern w:val="0"/>
                <w:sz w:val="18"/>
                <w:szCs w:val="18"/>
              </w:rPr>
              <w:t>2010</w:t>
            </w:r>
            <w:r>
              <w:rPr>
                <w:rFonts w:ascii="Arial" w:hAnsi="Arial" w:cs="Arial"/>
                <w:kern w:val="0"/>
                <w:sz w:val="18"/>
                <w:szCs w:val="18"/>
                <w:lang w:eastAsia="zh-CN"/>
              </w:rPr>
              <w:t>)</w:t>
            </w:r>
            <w:r>
              <w:rPr>
                <w:rFonts w:hint="eastAsia" w:ascii="Arial" w:hAnsi="Arial" w:cs="Arial"/>
                <w:kern w:val="0"/>
                <w:sz w:val="18"/>
                <w:szCs w:val="18"/>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950" w:type="dxa"/>
            <w:tcBorders>
              <w:top w:val="nil"/>
              <w:left w:val="nil"/>
              <w:bottom w:val="single" w:color="auto" w:sz="12" w:space="0"/>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Outpatient visits—pediatrics</w:t>
            </w:r>
            <w:r>
              <w:rPr>
                <w:rFonts w:ascii="Arial" w:hAnsi="Arial" w:eastAsia="宋体" w:cs="Arial"/>
                <w:kern w:val="0"/>
                <w:sz w:val="18"/>
                <w:szCs w:val="18"/>
              </w:rPr>
              <w:t>（</w:t>
            </w:r>
            <w:r>
              <w:rPr>
                <w:rFonts w:ascii="Arial" w:hAnsi="Arial" w:cs="Arial"/>
                <w:kern w:val="0"/>
                <w:sz w:val="18"/>
                <w:szCs w:val="18"/>
                <w:lang w:eastAsia="zh-CN"/>
              </w:rPr>
              <w:t>0-14years</w:t>
            </w:r>
            <w:r>
              <w:rPr>
                <w:rFonts w:ascii="Arial" w:hAnsi="Arial" w:eastAsia="宋体" w:cs="Arial"/>
                <w:kern w:val="0"/>
                <w:sz w:val="18"/>
                <w:szCs w:val="18"/>
              </w:rPr>
              <w:t>）</w:t>
            </w:r>
          </w:p>
        </w:tc>
        <w:tc>
          <w:tcPr>
            <w:tcW w:w="2619" w:type="dxa"/>
            <w:tcBorders>
              <w:top w:val="nil"/>
              <w:left w:val="nil"/>
              <w:bottom w:val="single" w:color="auto" w:sz="12" w:space="0"/>
              <w:right w:val="nil"/>
            </w:tcBorders>
            <w:shd w:val="clear" w:color="auto" w:fill="FFFFFF"/>
          </w:tcPr>
          <w:p>
            <w:pPr>
              <w:widowControl w:val="0"/>
              <w:jc w:val="center"/>
              <w:rPr>
                <w:rFonts w:ascii="Arial" w:hAnsi="Arial" w:cs="Arial"/>
                <w:kern w:val="0"/>
                <w:sz w:val="18"/>
                <w:szCs w:val="18"/>
              </w:rPr>
            </w:pPr>
            <w:r>
              <w:rPr>
                <w:rFonts w:ascii="Arial" w:hAnsi="Arial" w:cs="Arial"/>
                <w:kern w:val="0"/>
                <w:sz w:val="18"/>
                <w:szCs w:val="18"/>
              </w:rPr>
              <w:t>0.56(0.20-0.90)</w:t>
            </w:r>
          </w:p>
        </w:tc>
        <w:tc>
          <w:tcPr>
            <w:tcW w:w="3089" w:type="dxa"/>
            <w:tcBorders>
              <w:top w:val="nil"/>
              <w:left w:val="nil"/>
              <w:bottom w:val="single" w:color="auto" w:sz="12" w:space="0"/>
              <w:right w:val="nil"/>
            </w:tcBorders>
            <w:shd w:val="clear" w:color="auto" w:fill="FFFFFF"/>
          </w:tcPr>
          <w:p>
            <w:pPr>
              <w:widowControl w:val="0"/>
              <w:jc w:val="center"/>
              <w:rPr>
                <w:rFonts w:hint="default" w:ascii="Arial" w:hAnsi="Arial" w:cs="Arial"/>
                <w:kern w:val="0"/>
                <w:sz w:val="18"/>
                <w:szCs w:val="18"/>
                <w:vertAlign w:val="superscript"/>
                <w:lang w:val="en-US"/>
              </w:rPr>
            </w:pPr>
            <w:r>
              <w:rPr>
                <w:rFonts w:ascii="Arial" w:hAnsi="Arial" w:cs="Arial"/>
                <w:kern w:val="0"/>
                <w:sz w:val="18"/>
                <w:szCs w:val="18"/>
                <w:lang w:eastAsia="zh-CN"/>
              </w:rPr>
              <w:t>Liu et al(</w:t>
            </w:r>
            <w:r>
              <w:rPr>
                <w:rFonts w:ascii="Arial" w:hAnsi="Arial" w:cs="Arial"/>
                <w:kern w:val="0"/>
                <w:sz w:val="18"/>
                <w:szCs w:val="18"/>
              </w:rPr>
              <w:t>2010</w:t>
            </w:r>
            <w:r>
              <w:rPr>
                <w:rFonts w:ascii="Arial" w:hAnsi="Arial" w:cs="Arial"/>
                <w:kern w:val="0"/>
                <w:sz w:val="18"/>
                <w:szCs w:val="18"/>
                <w:lang w:eastAsia="zh-CN"/>
              </w:rPr>
              <w:t>)</w:t>
            </w:r>
            <w:r>
              <w:rPr>
                <w:rFonts w:hint="eastAsia" w:ascii="Arial" w:hAnsi="Arial" w:cs="Arial"/>
                <w:kern w:val="0"/>
                <w:sz w:val="18"/>
                <w:szCs w:val="18"/>
                <w:vertAlign w:val="superscript"/>
                <w:lang w:val="en-US" w:eastAsia="zh-CN"/>
              </w:rPr>
              <w:t>2</w:t>
            </w:r>
          </w:p>
        </w:tc>
      </w:tr>
    </w:tbl>
    <w:p>
      <w:pPr>
        <w:rPr>
          <w:rFonts w:ascii="Arial" w:hAnsi="Arial" w:eastAsia="宋体" w:cs="Arial"/>
          <w:sz w:val="20"/>
          <w:szCs w:val="20"/>
          <w:lang w:eastAsia="zh-CN"/>
        </w:rPr>
      </w:pPr>
      <w:r>
        <w:rPr>
          <w:rFonts w:ascii="Arial" w:hAnsi="Arial" w:eastAsia="宋体" w:cs="Arial"/>
          <w:sz w:val="20"/>
          <w:szCs w:val="20"/>
          <w:lang w:eastAsia="zh-CN"/>
        </w:rPr>
        <w:t>Exposure-response coefficients and 95% confidence intervals for different health endpoints. The e</w:t>
      </w:r>
      <w:r>
        <w:rPr>
          <w:rFonts w:ascii="Arial" w:hAnsi="Arial" w:cs="Arial"/>
          <w:sz w:val="20"/>
          <w:szCs w:val="20"/>
        </w:rPr>
        <w:t>xposure</w:t>
      </w:r>
      <w:r>
        <w:rPr>
          <w:rFonts w:ascii="Arial" w:hAnsi="Arial" w:eastAsia="宋体" w:cs="Arial"/>
          <w:sz w:val="20"/>
          <w:szCs w:val="20"/>
          <w:lang w:eastAsia="zh-CN"/>
        </w:rPr>
        <w:t>-</w:t>
      </w:r>
      <w:r>
        <w:rPr>
          <w:rFonts w:ascii="Arial" w:hAnsi="Arial" w:cs="Arial"/>
          <w:sz w:val="20"/>
          <w:szCs w:val="20"/>
        </w:rPr>
        <w:t>response coefficient indicates that for</w:t>
      </w:r>
      <w:r>
        <w:rPr>
          <w:rFonts w:ascii="Arial" w:hAnsi="Arial" w:eastAsia="宋体" w:cs="Arial"/>
          <w:sz w:val="20"/>
          <w:szCs w:val="20"/>
          <w:lang w:eastAsia="zh-CN"/>
        </w:rPr>
        <w:t xml:space="preserve"> per</w:t>
      </w:r>
      <w:r>
        <w:rPr>
          <w:rFonts w:ascii="Arial" w:hAnsi="Arial" w:cs="Arial"/>
          <w:sz w:val="20"/>
          <w:szCs w:val="20"/>
        </w:rPr>
        <w:t xml:space="preserve"> 10μg/m</w:t>
      </w:r>
      <w:r>
        <w:rPr>
          <w:rFonts w:ascii="Arial" w:hAnsi="Arial" w:cs="Arial"/>
          <w:sz w:val="20"/>
          <w:szCs w:val="20"/>
          <w:vertAlign w:val="superscript"/>
        </w:rPr>
        <w:t>3</w:t>
      </w:r>
      <w:r>
        <w:rPr>
          <w:rFonts w:ascii="Arial" w:hAnsi="Arial" w:cs="Arial"/>
          <w:sz w:val="20"/>
          <w:szCs w:val="20"/>
        </w:rPr>
        <w:t xml:space="preserve"> </w:t>
      </w:r>
      <w:r>
        <w:rPr>
          <w:rFonts w:ascii="Arial" w:hAnsi="Arial" w:eastAsia="宋体" w:cs="Arial"/>
          <w:sz w:val="20"/>
          <w:szCs w:val="20"/>
          <w:lang w:eastAsia="zh-CN"/>
        </w:rPr>
        <w:t xml:space="preserve">change </w:t>
      </w:r>
      <w:r>
        <w:rPr>
          <w:rFonts w:ascii="Arial" w:hAnsi="Arial" w:cs="Arial"/>
          <w:sz w:val="20"/>
          <w:szCs w:val="20"/>
        </w:rPr>
        <w:t>of PM</w:t>
      </w:r>
      <w:r>
        <w:rPr>
          <w:rFonts w:ascii="Arial" w:hAnsi="Arial" w:cs="Arial"/>
          <w:sz w:val="20"/>
          <w:szCs w:val="20"/>
          <w:vertAlign w:val="subscript"/>
        </w:rPr>
        <w:t>2.5</w:t>
      </w:r>
      <w:r>
        <w:rPr>
          <w:rFonts w:ascii="Arial" w:hAnsi="Arial" w:cs="Arial"/>
          <w:sz w:val="20"/>
          <w:szCs w:val="20"/>
        </w:rPr>
        <w:t xml:space="preserve"> concentration increase, the </w:t>
      </w:r>
      <w:r>
        <w:rPr>
          <w:rFonts w:ascii="Arial" w:hAnsi="Arial" w:eastAsia="宋体" w:cs="Arial"/>
          <w:sz w:val="20"/>
          <w:szCs w:val="20"/>
          <w:lang w:eastAsia="zh-CN"/>
        </w:rPr>
        <w:t>percentage change</w:t>
      </w:r>
      <w:r>
        <w:rPr>
          <w:rFonts w:ascii="Arial" w:hAnsi="Arial" w:cs="Arial"/>
          <w:sz w:val="20"/>
          <w:szCs w:val="20"/>
        </w:rPr>
        <w:t xml:space="preserve"> of corresponding health effects</w:t>
      </w:r>
      <w:r>
        <w:rPr>
          <w:rFonts w:ascii="Arial" w:hAnsi="Arial" w:eastAsia="宋体" w:cs="Arial"/>
          <w:sz w:val="20"/>
          <w:szCs w:val="20"/>
          <w:lang w:eastAsia="zh-CN"/>
        </w:rPr>
        <w:t xml:space="preserve"> incidence rates.</w:t>
      </w:r>
    </w:p>
    <w:p>
      <w:pPr>
        <w:spacing w:after="0"/>
        <w:rPr>
          <w:rFonts w:ascii="Arial" w:hAnsi="Arial" w:eastAsia="宋体" w:cs="Arial"/>
          <w:sz w:val="20"/>
          <w:szCs w:val="20"/>
          <w:lang w:eastAsia="zh-CN"/>
        </w:rPr>
      </w:pPr>
      <w:r>
        <w:rPr>
          <w:rFonts w:ascii="Arial" w:hAnsi="Arial" w:eastAsia="宋体" w:cs="Arial"/>
          <w:sz w:val="20"/>
          <w:szCs w:val="20"/>
          <w:lang w:eastAsia="zh-CN"/>
        </w:rPr>
        <w:br w:type="page"/>
      </w:r>
    </w:p>
    <w:p>
      <w:pPr>
        <w:pStyle w:val="106"/>
        <w:rPr>
          <w:rFonts w:ascii="Arial" w:hAnsi="Arial" w:cs="Arial"/>
          <w:sz w:val="20"/>
        </w:rPr>
      </w:pPr>
    </w:p>
    <w:p>
      <w:pPr>
        <w:keepNext/>
        <w:spacing w:before="240" w:after="60"/>
        <w:contextualSpacing/>
        <w:rPr>
          <w:rFonts w:ascii="Arial" w:hAnsi="Arial" w:cs="Arial"/>
          <w:sz w:val="20"/>
          <w:szCs w:val="20"/>
        </w:rPr>
      </w:pPr>
      <w:r>
        <w:rPr>
          <w:rFonts w:ascii="Arial" w:hAnsi="Arial" w:cs="Arial"/>
          <w:b/>
          <w:sz w:val="20"/>
          <w:szCs w:val="20"/>
        </w:rPr>
        <w:t xml:space="preserve">Table </w:t>
      </w:r>
      <w:r>
        <w:rPr>
          <w:rFonts w:hint="eastAsia" w:ascii="Arial" w:hAnsi="Arial" w:cs="Arial"/>
          <w:b/>
          <w:sz w:val="20"/>
          <w:szCs w:val="20"/>
          <w:lang w:val="en-US" w:eastAsia="zh-CN"/>
        </w:rPr>
        <w:t>S</w:t>
      </w:r>
      <w:r>
        <w:rPr>
          <w:rFonts w:ascii="Arial" w:hAnsi="Arial" w:cs="Arial"/>
          <w:b/>
          <w:sz w:val="20"/>
          <w:szCs w:val="20"/>
        </w:rPr>
        <w:t>2.</w:t>
      </w:r>
      <w:r>
        <w:rPr>
          <w:rFonts w:ascii="Arial" w:hAnsi="Arial" w:cs="Arial"/>
          <w:sz w:val="20"/>
          <w:szCs w:val="20"/>
        </w:rPr>
        <w:t xml:space="preserve"> China’s unit values(CNY¥) for health endpoints in 2016</w:t>
      </w:r>
    </w:p>
    <w:tbl>
      <w:tblPr>
        <w:tblStyle w:val="88"/>
        <w:tblW w:w="8778" w:type="dxa"/>
        <w:jc w:val="center"/>
        <w:tblLayout w:type="fixed"/>
        <w:tblCellMar>
          <w:top w:w="0" w:type="dxa"/>
          <w:left w:w="0" w:type="dxa"/>
          <w:bottom w:w="0" w:type="dxa"/>
          <w:right w:w="0" w:type="dxa"/>
        </w:tblCellMar>
      </w:tblPr>
      <w:tblGrid>
        <w:gridCol w:w="971"/>
        <w:gridCol w:w="570"/>
        <w:gridCol w:w="1545"/>
        <w:gridCol w:w="1335"/>
        <w:gridCol w:w="1272"/>
        <w:gridCol w:w="1305"/>
        <w:gridCol w:w="1780"/>
      </w:tblGrid>
      <w:tr>
        <w:tblPrEx>
          <w:tblCellMar>
            <w:top w:w="0" w:type="dxa"/>
            <w:left w:w="0" w:type="dxa"/>
            <w:bottom w:w="0" w:type="dxa"/>
            <w:right w:w="0" w:type="dxa"/>
          </w:tblCellMar>
        </w:tblPrEx>
        <w:trPr>
          <w:trHeight w:val="288" w:hRule="atLeast"/>
          <w:jc w:val="center"/>
        </w:trPr>
        <w:tc>
          <w:tcPr>
            <w:tcW w:w="971" w:type="dxa"/>
            <w:tcBorders>
              <w:top w:val="single" w:color="auto" w:sz="12" w:space="0"/>
              <w:left w:val="nil"/>
              <w:bottom w:val="single" w:color="auto" w:sz="8" w:space="0"/>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lang w:eastAsia="zh-CN"/>
              </w:rPr>
              <w:t>City</w:t>
            </w:r>
          </w:p>
        </w:tc>
        <w:tc>
          <w:tcPr>
            <w:tcW w:w="570" w:type="dxa"/>
            <w:tcBorders>
              <w:top w:val="single" w:color="auto" w:sz="12" w:space="0"/>
              <w:left w:val="nil"/>
              <w:bottom w:val="single" w:color="auto" w:sz="8" w:space="0"/>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rPr>
              <w:t>VSL</w:t>
            </w:r>
          </w:p>
        </w:tc>
        <w:tc>
          <w:tcPr>
            <w:tcW w:w="1545" w:type="dxa"/>
            <w:tcBorders>
              <w:top w:val="single" w:color="auto" w:sz="12" w:space="0"/>
              <w:left w:val="nil"/>
              <w:bottom w:val="single" w:color="auto" w:sz="8" w:space="0"/>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rPr>
              <w:t>Chronic bronchitis</w:t>
            </w:r>
          </w:p>
        </w:tc>
        <w:tc>
          <w:tcPr>
            <w:tcW w:w="1335" w:type="dxa"/>
            <w:tcBorders>
              <w:top w:val="single" w:color="auto" w:sz="12" w:space="0"/>
              <w:left w:val="nil"/>
              <w:bottom w:val="single" w:color="auto" w:sz="8" w:space="0"/>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rPr>
              <w:t>Acute bronchitis</w:t>
            </w:r>
          </w:p>
        </w:tc>
        <w:tc>
          <w:tcPr>
            <w:tcW w:w="1272" w:type="dxa"/>
            <w:tcBorders>
              <w:top w:val="single" w:color="auto" w:sz="12" w:space="0"/>
              <w:left w:val="nil"/>
              <w:bottom w:val="single" w:color="auto" w:sz="8" w:space="0"/>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rPr>
              <w:t>Asthma attack</w:t>
            </w:r>
          </w:p>
        </w:tc>
        <w:tc>
          <w:tcPr>
            <w:tcW w:w="1305" w:type="dxa"/>
            <w:tcBorders>
              <w:top w:val="single" w:color="auto" w:sz="12" w:space="0"/>
              <w:left w:val="nil"/>
              <w:bottom w:val="single" w:color="auto" w:sz="8" w:space="0"/>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rPr>
              <w:t>Outpatient visits</w:t>
            </w:r>
          </w:p>
        </w:tc>
        <w:tc>
          <w:tcPr>
            <w:tcW w:w="1780" w:type="dxa"/>
            <w:tcBorders>
              <w:top w:val="single" w:color="auto" w:sz="12" w:space="0"/>
              <w:left w:val="nil"/>
              <w:bottom w:val="single" w:color="auto" w:sz="8" w:space="0"/>
              <w:right w:val="nil"/>
            </w:tcBorders>
            <w:noWrap/>
            <w:tcMar>
              <w:top w:w="12" w:type="dxa"/>
              <w:left w:w="12" w:type="dxa"/>
              <w:right w:w="12" w:type="dxa"/>
            </w:tcMar>
            <w:vAlign w:val="center"/>
          </w:tcPr>
          <w:p>
            <w:pPr>
              <w:ind w:firstLine="180" w:firstLineChars="100"/>
              <w:jc w:val="center"/>
              <w:textAlignment w:val="center"/>
              <w:rPr>
                <w:rFonts w:ascii="Arial" w:hAnsi="Arial" w:cs="Arial" w:eastAsiaTheme="minorEastAsia"/>
                <w:sz w:val="18"/>
                <w:szCs w:val="18"/>
                <w:lang w:eastAsia="zh-CN"/>
              </w:rPr>
            </w:pPr>
            <w:r>
              <w:rPr>
                <w:rFonts w:ascii="Arial" w:hAnsi="Arial" w:cs="Arial"/>
                <w:sz w:val="18"/>
                <w:szCs w:val="18"/>
              </w:rPr>
              <w:t>Hospital</w:t>
            </w:r>
            <w:r>
              <w:rPr>
                <w:rFonts w:ascii="Arial" w:hAnsi="Arial" w:cs="Arial"/>
                <w:sz w:val="18"/>
                <w:szCs w:val="18"/>
                <w:lang w:eastAsia="zh-CN"/>
              </w:rPr>
              <w:t xml:space="preserve"> </w:t>
            </w:r>
            <w:r>
              <w:rPr>
                <w:rFonts w:ascii="Arial" w:hAnsi="Arial" w:cs="Arial"/>
                <w:sz w:val="18"/>
                <w:szCs w:val="18"/>
              </w:rPr>
              <w:t>admission</w:t>
            </w:r>
          </w:p>
        </w:tc>
      </w:tr>
      <w:tr>
        <w:tblPrEx>
          <w:tblCellMar>
            <w:top w:w="0" w:type="dxa"/>
            <w:left w:w="0" w:type="dxa"/>
            <w:bottom w:w="0" w:type="dxa"/>
            <w:right w:w="0" w:type="dxa"/>
          </w:tblCellMar>
        </w:tblPrEx>
        <w:trPr>
          <w:trHeight w:val="288" w:hRule="atLeast"/>
          <w:jc w:val="center"/>
        </w:trPr>
        <w:tc>
          <w:tcPr>
            <w:tcW w:w="971" w:type="dxa"/>
            <w:tcBorders>
              <w:top w:val="single" w:color="auto" w:sz="8" w:space="0"/>
              <w:left w:val="nil"/>
              <w:bottom w:val="nil"/>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lang w:eastAsia="zh-CN"/>
              </w:rPr>
              <w:t>Shanghai</w:t>
            </w:r>
          </w:p>
        </w:tc>
        <w:tc>
          <w:tcPr>
            <w:tcW w:w="570" w:type="dxa"/>
            <w:tcBorders>
              <w:top w:val="single" w:color="auto" w:sz="8" w:space="0"/>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w:t>
            </w:r>
            <w:r>
              <w:rPr>
                <w:rFonts w:ascii="Arial" w:hAnsi="Arial" w:cs="Arial"/>
                <w:sz w:val="18"/>
                <w:szCs w:val="18"/>
                <w:lang w:eastAsia="zh-CN"/>
              </w:rPr>
              <w:t>.</w:t>
            </w:r>
            <w:r>
              <w:rPr>
                <w:rFonts w:ascii="Arial" w:hAnsi="Arial" w:cs="Arial"/>
                <w:sz w:val="18"/>
                <w:szCs w:val="18"/>
              </w:rPr>
              <w:t>334</w:t>
            </w:r>
          </w:p>
        </w:tc>
        <w:tc>
          <w:tcPr>
            <w:tcW w:w="1545" w:type="dxa"/>
            <w:tcBorders>
              <w:top w:val="single" w:color="auto" w:sz="8" w:space="0"/>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w:t>
            </w:r>
            <w:r>
              <w:rPr>
                <w:rFonts w:ascii="Arial" w:hAnsi="Arial" w:cs="Arial"/>
                <w:sz w:val="18"/>
                <w:szCs w:val="18"/>
                <w:lang w:eastAsia="zh-CN"/>
              </w:rPr>
              <w:t>.</w:t>
            </w:r>
            <w:r>
              <w:rPr>
                <w:rFonts w:ascii="Arial" w:hAnsi="Arial" w:cs="Arial"/>
                <w:sz w:val="18"/>
                <w:szCs w:val="18"/>
              </w:rPr>
              <w:t>067</w:t>
            </w:r>
          </w:p>
        </w:tc>
        <w:tc>
          <w:tcPr>
            <w:tcW w:w="1335" w:type="dxa"/>
            <w:tcBorders>
              <w:top w:val="single" w:color="auto" w:sz="8" w:space="0"/>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5394.4</w:t>
            </w:r>
          </w:p>
        </w:tc>
        <w:tc>
          <w:tcPr>
            <w:tcW w:w="1272" w:type="dxa"/>
            <w:tcBorders>
              <w:top w:val="single" w:color="auto" w:sz="8" w:space="0"/>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3970.8</w:t>
            </w:r>
          </w:p>
        </w:tc>
        <w:tc>
          <w:tcPr>
            <w:tcW w:w="1305" w:type="dxa"/>
            <w:tcBorders>
              <w:top w:val="single" w:color="auto" w:sz="8" w:space="0"/>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553.2</w:t>
            </w:r>
          </w:p>
        </w:tc>
        <w:tc>
          <w:tcPr>
            <w:tcW w:w="1780" w:type="dxa"/>
            <w:tcBorders>
              <w:top w:val="single" w:color="auto" w:sz="8" w:space="0"/>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12100.28</w:t>
            </w:r>
          </w:p>
        </w:tc>
      </w:tr>
      <w:tr>
        <w:tblPrEx>
          <w:tblCellMar>
            <w:top w:w="0" w:type="dxa"/>
            <w:left w:w="0" w:type="dxa"/>
            <w:bottom w:w="0" w:type="dxa"/>
            <w:right w:w="0" w:type="dxa"/>
          </w:tblCellMar>
        </w:tblPrEx>
        <w:trPr>
          <w:trHeight w:val="288" w:hRule="atLeast"/>
          <w:jc w:val="center"/>
        </w:trPr>
        <w:tc>
          <w:tcPr>
            <w:tcW w:w="971"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lang w:eastAsia="zh-CN"/>
              </w:rPr>
              <w:t>Beijing</w:t>
            </w:r>
          </w:p>
        </w:tc>
        <w:tc>
          <w:tcPr>
            <w:tcW w:w="57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w:t>
            </w:r>
            <w:r>
              <w:rPr>
                <w:rFonts w:ascii="Arial" w:hAnsi="Arial" w:cs="Arial"/>
                <w:sz w:val="18"/>
                <w:szCs w:val="18"/>
                <w:lang w:eastAsia="zh-CN"/>
              </w:rPr>
              <w:t>.</w:t>
            </w:r>
            <w:r>
              <w:rPr>
                <w:rFonts w:ascii="Arial" w:hAnsi="Arial" w:cs="Arial"/>
                <w:sz w:val="18"/>
                <w:szCs w:val="18"/>
              </w:rPr>
              <w:t>309</w:t>
            </w:r>
          </w:p>
        </w:tc>
        <w:tc>
          <w:tcPr>
            <w:tcW w:w="154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w:t>
            </w:r>
            <w:r>
              <w:rPr>
                <w:rFonts w:ascii="Arial" w:hAnsi="Arial" w:cs="Arial"/>
                <w:sz w:val="18"/>
                <w:szCs w:val="18"/>
                <w:lang w:eastAsia="zh-CN"/>
              </w:rPr>
              <w:t>.</w:t>
            </w:r>
            <w:r>
              <w:rPr>
                <w:rFonts w:ascii="Arial" w:hAnsi="Arial" w:cs="Arial"/>
                <w:sz w:val="18"/>
                <w:szCs w:val="18"/>
              </w:rPr>
              <w:t>059</w:t>
            </w:r>
          </w:p>
        </w:tc>
        <w:tc>
          <w:tcPr>
            <w:tcW w:w="133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5355.4</w:t>
            </w:r>
          </w:p>
        </w:tc>
        <w:tc>
          <w:tcPr>
            <w:tcW w:w="127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3942.1</w:t>
            </w:r>
          </w:p>
        </w:tc>
        <w:tc>
          <w:tcPr>
            <w:tcW w:w="130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557.7</w:t>
            </w:r>
          </w:p>
        </w:tc>
        <w:tc>
          <w:tcPr>
            <w:tcW w:w="178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12154.06</w:t>
            </w:r>
          </w:p>
        </w:tc>
      </w:tr>
      <w:tr>
        <w:tblPrEx>
          <w:tblCellMar>
            <w:top w:w="0" w:type="dxa"/>
            <w:left w:w="0" w:type="dxa"/>
            <w:bottom w:w="0" w:type="dxa"/>
            <w:right w:w="0" w:type="dxa"/>
          </w:tblCellMar>
        </w:tblPrEx>
        <w:trPr>
          <w:trHeight w:val="288" w:hRule="atLeast"/>
          <w:jc w:val="center"/>
        </w:trPr>
        <w:tc>
          <w:tcPr>
            <w:tcW w:w="971"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lang w:eastAsia="zh-CN"/>
              </w:rPr>
              <w:t>Suzhou</w:t>
            </w:r>
          </w:p>
        </w:tc>
        <w:tc>
          <w:tcPr>
            <w:tcW w:w="57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w:t>
            </w:r>
            <w:r>
              <w:rPr>
                <w:rFonts w:ascii="Arial" w:hAnsi="Arial" w:cs="Arial"/>
                <w:sz w:val="18"/>
                <w:szCs w:val="18"/>
                <w:lang w:eastAsia="zh-CN"/>
              </w:rPr>
              <w:t>.</w:t>
            </w:r>
            <w:r>
              <w:rPr>
                <w:rFonts w:ascii="Arial" w:hAnsi="Arial" w:cs="Arial"/>
                <w:sz w:val="18"/>
                <w:szCs w:val="18"/>
              </w:rPr>
              <w:t>140</w:t>
            </w:r>
          </w:p>
        </w:tc>
        <w:tc>
          <w:tcPr>
            <w:tcW w:w="154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w:t>
            </w:r>
            <w:r>
              <w:rPr>
                <w:rFonts w:ascii="Arial" w:hAnsi="Arial" w:cs="Arial"/>
                <w:sz w:val="18"/>
                <w:szCs w:val="18"/>
                <w:lang w:eastAsia="zh-CN"/>
              </w:rPr>
              <w:t>.</w:t>
            </w:r>
            <w:r>
              <w:rPr>
                <w:rFonts w:ascii="Arial" w:hAnsi="Arial" w:cs="Arial"/>
                <w:sz w:val="18"/>
                <w:szCs w:val="18"/>
              </w:rPr>
              <w:t>005</w:t>
            </w:r>
          </w:p>
        </w:tc>
        <w:tc>
          <w:tcPr>
            <w:tcW w:w="133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5081.1</w:t>
            </w:r>
          </w:p>
        </w:tc>
        <w:tc>
          <w:tcPr>
            <w:tcW w:w="127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3740.1</w:t>
            </w:r>
          </w:p>
        </w:tc>
        <w:tc>
          <w:tcPr>
            <w:tcW w:w="130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632.7</w:t>
            </w:r>
          </w:p>
        </w:tc>
        <w:tc>
          <w:tcPr>
            <w:tcW w:w="178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13053.50</w:t>
            </w:r>
          </w:p>
        </w:tc>
      </w:tr>
      <w:tr>
        <w:tblPrEx>
          <w:tblCellMar>
            <w:top w:w="0" w:type="dxa"/>
            <w:left w:w="0" w:type="dxa"/>
            <w:bottom w:w="0" w:type="dxa"/>
            <w:right w:w="0" w:type="dxa"/>
          </w:tblCellMar>
        </w:tblPrEx>
        <w:trPr>
          <w:trHeight w:val="288" w:hRule="atLeast"/>
          <w:jc w:val="center"/>
        </w:trPr>
        <w:tc>
          <w:tcPr>
            <w:tcW w:w="971"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lang w:eastAsia="zh-CN"/>
              </w:rPr>
              <w:t>Hangzhou</w:t>
            </w:r>
          </w:p>
        </w:tc>
        <w:tc>
          <w:tcPr>
            <w:tcW w:w="57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w:t>
            </w:r>
            <w:r>
              <w:rPr>
                <w:rFonts w:ascii="Arial" w:hAnsi="Arial" w:cs="Arial"/>
                <w:sz w:val="18"/>
                <w:szCs w:val="18"/>
                <w:lang w:eastAsia="zh-CN"/>
              </w:rPr>
              <w:t>.</w:t>
            </w:r>
            <w:r>
              <w:rPr>
                <w:rFonts w:ascii="Arial" w:hAnsi="Arial" w:cs="Arial"/>
                <w:sz w:val="18"/>
                <w:szCs w:val="18"/>
              </w:rPr>
              <w:t>016</w:t>
            </w:r>
          </w:p>
        </w:tc>
        <w:tc>
          <w:tcPr>
            <w:tcW w:w="154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eastAsia="zh-CN"/>
              </w:rPr>
              <w:t>0.</w:t>
            </w:r>
            <w:r>
              <w:rPr>
                <w:rFonts w:ascii="Arial" w:hAnsi="Arial" w:cs="Arial"/>
                <w:sz w:val="18"/>
                <w:szCs w:val="18"/>
              </w:rPr>
              <w:t>965</w:t>
            </w:r>
          </w:p>
        </w:tc>
        <w:tc>
          <w:tcPr>
            <w:tcW w:w="133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4879.5</w:t>
            </w:r>
          </w:p>
        </w:tc>
        <w:tc>
          <w:tcPr>
            <w:tcW w:w="127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3591.7</w:t>
            </w:r>
          </w:p>
        </w:tc>
        <w:tc>
          <w:tcPr>
            <w:tcW w:w="130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574.4</w:t>
            </w:r>
          </w:p>
        </w:tc>
        <w:tc>
          <w:tcPr>
            <w:tcW w:w="178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12354.22</w:t>
            </w:r>
          </w:p>
        </w:tc>
      </w:tr>
      <w:tr>
        <w:tblPrEx>
          <w:tblCellMar>
            <w:top w:w="0" w:type="dxa"/>
            <w:left w:w="0" w:type="dxa"/>
            <w:bottom w:w="0" w:type="dxa"/>
            <w:right w:w="0" w:type="dxa"/>
          </w:tblCellMar>
        </w:tblPrEx>
        <w:trPr>
          <w:trHeight w:val="288" w:hRule="atLeast"/>
          <w:jc w:val="center"/>
        </w:trPr>
        <w:tc>
          <w:tcPr>
            <w:tcW w:w="971"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lang w:eastAsia="zh-CN"/>
              </w:rPr>
              <w:t>Ningbo</w:t>
            </w:r>
          </w:p>
        </w:tc>
        <w:tc>
          <w:tcPr>
            <w:tcW w:w="57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w:t>
            </w:r>
            <w:r>
              <w:rPr>
                <w:rFonts w:ascii="Arial" w:hAnsi="Arial" w:cs="Arial"/>
                <w:sz w:val="18"/>
                <w:szCs w:val="18"/>
                <w:lang w:eastAsia="zh-CN"/>
              </w:rPr>
              <w:t>.</w:t>
            </w:r>
            <w:r>
              <w:rPr>
                <w:rFonts w:ascii="Arial" w:hAnsi="Arial" w:cs="Arial"/>
                <w:sz w:val="18"/>
                <w:szCs w:val="18"/>
              </w:rPr>
              <w:t>979</w:t>
            </w:r>
          </w:p>
        </w:tc>
        <w:tc>
          <w:tcPr>
            <w:tcW w:w="154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eastAsia="zh-CN"/>
              </w:rPr>
              <w:t>0.</w:t>
            </w:r>
            <w:r>
              <w:rPr>
                <w:rFonts w:ascii="Arial" w:hAnsi="Arial" w:cs="Arial"/>
                <w:sz w:val="18"/>
                <w:szCs w:val="18"/>
              </w:rPr>
              <w:t>953</w:t>
            </w:r>
          </w:p>
        </w:tc>
        <w:tc>
          <w:tcPr>
            <w:tcW w:w="133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4821.0</w:t>
            </w:r>
          </w:p>
        </w:tc>
        <w:tc>
          <w:tcPr>
            <w:tcW w:w="127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3548.7</w:t>
            </w:r>
          </w:p>
        </w:tc>
        <w:tc>
          <w:tcPr>
            <w:tcW w:w="130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537.1</w:t>
            </w:r>
          </w:p>
        </w:tc>
        <w:tc>
          <w:tcPr>
            <w:tcW w:w="178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11906.11</w:t>
            </w:r>
          </w:p>
        </w:tc>
      </w:tr>
      <w:tr>
        <w:tblPrEx>
          <w:tblCellMar>
            <w:top w:w="0" w:type="dxa"/>
            <w:left w:w="0" w:type="dxa"/>
            <w:bottom w:w="0" w:type="dxa"/>
            <w:right w:w="0" w:type="dxa"/>
          </w:tblCellMar>
        </w:tblPrEx>
        <w:trPr>
          <w:trHeight w:val="288" w:hRule="atLeast"/>
          <w:jc w:val="center"/>
        </w:trPr>
        <w:tc>
          <w:tcPr>
            <w:tcW w:w="971"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lang w:eastAsia="zh-CN"/>
              </w:rPr>
              <w:t>Guangzhou</w:t>
            </w:r>
          </w:p>
        </w:tc>
        <w:tc>
          <w:tcPr>
            <w:tcW w:w="57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w:t>
            </w:r>
            <w:r>
              <w:rPr>
                <w:rFonts w:ascii="Arial" w:hAnsi="Arial" w:cs="Arial"/>
                <w:sz w:val="18"/>
                <w:szCs w:val="18"/>
                <w:lang w:eastAsia="zh-CN"/>
              </w:rPr>
              <w:t>.</w:t>
            </w:r>
            <w:r>
              <w:rPr>
                <w:rFonts w:ascii="Arial" w:hAnsi="Arial" w:cs="Arial"/>
                <w:sz w:val="18"/>
                <w:szCs w:val="18"/>
              </w:rPr>
              <w:t>944</w:t>
            </w:r>
          </w:p>
        </w:tc>
        <w:tc>
          <w:tcPr>
            <w:tcW w:w="154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eastAsia="zh-CN"/>
              </w:rPr>
              <w:t>0.</w:t>
            </w:r>
            <w:r>
              <w:rPr>
                <w:rFonts w:ascii="Arial" w:hAnsi="Arial" w:cs="Arial"/>
                <w:sz w:val="18"/>
                <w:szCs w:val="18"/>
              </w:rPr>
              <w:t>942</w:t>
            </w:r>
          </w:p>
        </w:tc>
        <w:tc>
          <w:tcPr>
            <w:tcW w:w="133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4763.2</w:t>
            </w:r>
          </w:p>
        </w:tc>
        <w:tc>
          <w:tcPr>
            <w:tcW w:w="127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3506.1</w:t>
            </w:r>
          </w:p>
        </w:tc>
        <w:tc>
          <w:tcPr>
            <w:tcW w:w="130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622.8</w:t>
            </w:r>
          </w:p>
        </w:tc>
        <w:tc>
          <w:tcPr>
            <w:tcW w:w="178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12934.39</w:t>
            </w:r>
          </w:p>
        </w:tc>
      </w:tr>
      <w:tr>
        <w:tblPrEx>
          <w:tblCellMar>
            <w:top w:w="0" w:type="dxa"/>
            <w:left w:w="0" w:type="dxa"/>
            <w:bottom w:w="0" w:type="dxa"/>
            <w:right w:w="0" w:type="dxa"/>
          </w:tblCellMar>
        </w:tblPrEx>
        <w:trPr>
          <w:trHeight w:val="288" w:hRule="atLeast"/>
          <w:jc w:val="center"/>
        </w:trPr>
        <w:tc>
          <w:tcPr>
            <w:tcW w:w="971"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lang w:eastAsia="zh-CN"/>
              </w:rPr>
              <w:t>Shaoxing</w:t>
            </w:r>
          </w:p>
        </w:tc>
        <w:tc>
          <w:tcPr>
            <w:tcW w:w="57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w:t>
            </w:r>
            <w:r>
              <w:rPr>
                <w:rFonts w:ascii="Arial" w:hAnsi="Arial" w:cs="Arial"/>
                <w:sz w:val="18"/>
                <w:szCs w:val="18"/>
                <w:lang w:eastAsia="zh-CN"/>
              </w:rPr>
              <w:t>.</w:t>
            </w:r>
            <w:r>
              <w:rPr>
                <w:rFonts w:ascii="Arial" w:hAnsi="Arial" w:cs="Arial"/>
                <w:sz w:val="18"/>
                <w:szCs w:val="18"/>
              </w:rPr>
              <w:t>907</w:t>
            </w:r>
          </w:p>
        </w:tc>
        <w:tc>
          <w:tcPr>
            <w:tcW w:w="154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lang w:eastAsia="zh-CN"/>
              </w:rPr>
              <w:t>0.</w:t>
            </w:r>
            <w:r>
              <w:rPr>
                <w:rFonts w:ascii="Arial" w:hAnsi="Arial" w:cs="Arial"/>
                <w:sz w:val="18"/>
                <w:szCs w:val="18"/>
              </w:rPr>
              <w:t>93</w:t>
            </w:r>
            <w:r>
              <w:rPr>
                <w:rFonts w:ascii="Arial" w:hAnsi="Arial" w:cs="Arial"/>
                <w:sz w:val="18"/>
                <w:szCs w:val="18"/>
                <w:lang w:eastAsia="zh-CN"/>
              </w:rPr>
              <w:t>0</w:t>
            </w:r>
          </w:p>
        </w:tc>
        <w:tc>
          <w:tcPr>
            <w:tcW w:w="133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4703.7</w:t>
            </w:r>
          </w:p>
        </w:tc>
        <w:tc>
          <w:tcPr>
            <w:tcW w:w="127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3462.3</w:t>
            </w:r>
          </w:p>
        </w:tc>
        <w:tc>
          <w:tcPr>
            <w:tcW w:w="130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497.5</w:t>
            </w:r>
          </w:p>
        </w:tc>
        <w:tc>
          <w:tcPr>
            <w:tcW w:w="178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11430.97</w:t>
            </w:r>
          </w:p>
        </w:tc>
      </w:tr>
      <w:tr>
        <w:tblPrEx>
          <w:tblCellMar>
            <w:top w:w="0" w:type="dxa"/>
            <w:left w:w="0" w:type="dxa"/>
            <w:bottom w:w="0" w:type="dxa"/>
            <w:right w:w="0" w:type="dxa"/>
          </w:tblCellMar>
        </w:tblPrEx>
        <w:trPr>
          <w:trHeight w:val="288" w:hRule="atLeast"/>
          <w:jc w:val="center"/>
        </w:trPr>
        <w:tc>
          <w:tcPr>
            <w:tcW w:w="971"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lang w:eastAsia="zh-CN"/>
              </w:rPr>
              <w:t>Nanjing</w:t>
            </w:r>
          </w:p>
        </w:tc>
        <w:tc>
          <w:tcPr>
            <w:tcW w:w="57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w:t>
            </w:r>
            <w:r>
              <w:rPr>
                <w:rFonts w:ascii="Arial" w:hAnsi="Arial" w:cs="Arial"/>
                <w:sz w:val="18"/>
                <w:szCs w:val="18"/>
                <w:lang w:eastAsia="zh-CN"/>
              </w:rPr>
              <w:t>.</w:t>
            </w:r>
            <w:r>
              <w:rPr>
                <w:rFonts w:ascii="Arial" w:hAnsi="Arial" w:cs="Arial"/>
                <w:sz w:val="18"/>
                <w:szCs w:val="18"/>
              </w:rPr>
              <w:t>889</w:t>
            </w:r>
          </w:p>
        </w:tc>
        <w:tc>
          <w:tcPr>
            <w:tcW w:w="154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eastAsia="zh-CN"/>
              </w:rPr>
              <w:t>0.</w:t>
            </w:r>
            <w:r>
              <w:rPr>
                <w:rFonts w:ascii="Arial" w:hAnsi="Arial" w:cs="Arial"/>
                <w:sz w:val="18"/>
                <w:szCs w:val="18"/>
              </w:rPr>
              <w:t>925</w:t>
            </w:r>
          </w:p>
        </w:tc>
        <w:tc>
          <w:tcPr>
            <w:tcW w:w="133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4674.9</w:t>
            </w:r>
          </w:p>
        </w:tc>
        <w:tc>
          <w:tcPr>
            <w:tcW w:w="127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3441.2</w:t>
            </w:r>
          </w:p>
        </w:tc>
        <w:tc>
          <w:tcPr>
            <w:tcW w:w="130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582.6</w:t>
            </w:r>
          </w:p>
        </w:tc>
        <w:tc>
          <w:tcPr>
            <w:tcW w:w="178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12452.12</w:t>
            </w:r>
          </w:p>
        </w:tc>
      </w:tr>
      <w:tr>
        <w:tblPrEx>
          <w:tblCellMar>
            <w:top w:w="0" w:type="dxa"/>
            <w:left w:w="0" w:type="dxa"/>
            <w:bottom w:w="0" w:type="dxa"/>
            <w:right w:w="0" w:type="dxa"/>
          </w:tblCellMar>
        </w:tblPrEx>
        <w:trPr>
          <w:trHeight w:val="288" w:hRule="atLeast"/>
          <w:jc w:val="center"/>
        </w:trPr>
        <w:tc>
          <w:tcPr>
            <w:tcW w:w="971"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lang w:eastAsia="zh-CN"/>
              </w:rPr>
              <w:t>Jiaxing</w:t>
            </w:r>
          </w:p>
        </w:tc>
        <w:tc>
          <w:tcPr>
            <w:tcW w:w="57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w:t>
            </w:r>
            <w:r>
              <w:rPr>
                <w:rFonts w:ascii="Arial" w:hAnsi="Arial" w:cs="Arial"/>
                <w:sz w:val="18"/>
                <w:szCs w:val="18"/>
                <w:lang w:eastAsia="zh-CN"/>
              </w:rPr>
              <w:t>.</w:t>
            </w:r>
            <w:r>
              <w:rPr>
                <w:rFonts w:ascii="Arial" w:hAnsi="Arial" w:cs="Arial"/>
                <w:sz w:val="18"/>
                <w:szCs w:val="18"/>
              </w:rPr>
              <w:t>827</w:t>
            </w:r>
          </w:p>
        </w:tc>
        <w:tc>
          <w:tcPr>
            <w:tcW w:w="154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eastAsia="zh-CN"/>
              </w:rPr>
              <w:t>0.</w:t>
            </w:r>
            <w:r>
              <w:rPr>
                <w:rFonts w:ascii="Arial" w:hAnsi="Arial" w:cs="Arial"/>
                <w:sz w:val="18"/>
                <w:szCs w:val="18"/>
              </w:rPr>
              <w:t>905</w:t>
            </w:r>
          </w:p>
        </w:tc>
        <w:tc>
          <w:tcPr>
            <w:tcW w:w="133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4574.8</w:t>
            </w:r>
          </w:p>
        </w:tc>
        <w:tc>
          <w:tcPr>
            <w:tcW w:w="127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3367.4</w:t>
            </w:r>
          </w:p>
        </w:tc>
        <w:tc>
          <w:tcPr>
            <w:tcW w:w="130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463.9</w:t>
            </w:r>
          </w:p>
        </w:tc>
        <w:tc>
          <w:tcPr>
            <w:tcW w:w="1780"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11028.69</w:t>
            </w:r>
          </w:p>
        </w:tc>
      </w:tr>
      <w:tr>
        <w:tblPrEx>
          <w:tblCellMar>
            <w:top w:w="0" w:type="dxa"/>
            <w:left w:w="0" w:type="dxa"/>
            <w:bottom w:w="0" w:type="dxa"/>
            <w:right w:w="0" w:type="dxa"/>
          </w:tblCellMar>
        </w:tblPrEx>
        <w:trPr>
          <w:trHeight w:val="288" w:hRule="atLeast"/>
          <w:jc w:val="center"/>
        </w:trPr>
        <w:tc>
          <w:tcPr>
            <w:tcW w:w="971"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Arial" w:hAnsi="Arial" w:cs="Arial" w:eastAsiaTheme="minorEastAsia"/>
                <w:sz w:val="18"/>
                <w:szCs w:val="18"/>
                <w:lang w:eastAsia="zh-CN"/>
              </w:rPr>
            </w:pPr>
            <w:r>
              <w:rPr>
                <w:rFonts w:ascii="Arial" w:hAnsi="Arial" w:cs="Arial"/>
                <w:sz w:val="18"/>
                <w:szCs w:val="18"/>
                <w:lang w:eastAsia="zh-CN"/>
              </w:rPr>
              <w:t>Shenzhen</w:t>
            </w:r>
          </w:p>
        </w:tc>
        <w:tc>
          <w:tcPr>
            <w:tcW w:w="570"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w:t>
            </w:r>
            <w:r>
              <w:rPr>
                <w:rFonts w:ascii="Arial" w:hAnsi="Arial" w:cs="Arial"/>
                <w:sz w:val="18"/>
                <w:szCs w:val="18"/>
                <w:lang w:eastAsia="zh-CN"/>
              </w:rPr>
              <w:t>.</w:t>
            </w:r>
            <w:r>
              <w:rPr>
                <w:rFonts w:ascii="Arial" w:hAnsi="Arial" w:cs="Arial"/>
                <w:sz w:val="18"/>
                <w:szCs w:val="18"/>
              </w:rPr>
              <w:t>814</w:t>
            </w:r>
          </w:p>
        </w:tc>
        <w:tc>
          <w:tcPr>
            <w:tcW w:w="1545"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eastAsia="zh-CN"/>
              </w:rPr>
              <w:t>0.</w:t>
            </w:r>
            <w:r>
              <w:rPr>
                <w:rFonts w:ascii="Arial" w:hAnsi="Arial" w:cs="Arial"/>
                <w:sz w:val="18"/>
                <w:szCs w:val="18"/>
              </w:rPr>
              <w:t>900</w:t>
            </w:r>
          </w:p>
        </w:tc>
        <w:tc>
          <w:tcPr>
            <w:tcW w:w="1335"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4553.2</w:t>
            </w:r>
          </w:p>
        </w:tc>
        <w:tc>
          <w:tcPr>
            <w:tcW w:w="1272"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3351.5</w:t>
            </w:r>
          </w:p>
        </w:tc>
        <w:tc>
          <w:tcPr>
            <w:tcW w:w="1305"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692.6</w:t>
            </w:r>
          </w:p>
        </w:tc>
        <w:tc>
          <w:tcPr>
            <w:tcW w:w="1780"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13772.02</w:t>
            </w:r>
          </w:p>
        </w:tc>
      </w:tr>
    </w:tbl>
    <w:p>
      <w:pPr>
        <w:contextualSpacing/>
        <w:jc w:val="both"/>
        <w:rPr>
          <w:rFonts w:ascii="Arial" w:hAnsi="Arial" w:eastAsia="宋体" w:cs="Arial"/>
          <w:sz w:val="20"/>
          <w:szCs w:val="20"/>
          <w:lang w:eastAsia="zh-CN"/>
        </w:rPr>
      </w:pPr>
      <w:r>
        <w:rPr>
          <w:rFonts w:ascii="Arial" w:hAnsi="Arial" w:cs="Arial"/>
          <w:sz w:val="20"/>
          <w:szCs w:val="20"/>
        </w:rPr>
        <w:t>The unit value of</w:t>
      </w:r>
      <w:r>
        <w:rPr>
          <w:rFonts w:ascii="Arial" w:hAnsi="Arial" w:eastAsia="宋体" w:cs="Arial"/>
          <w:sz w:val="20"/>
          <w:szCs w:val="20"/>
          <w:lang w:eastAsia="zh-CN"/>
        </w:rPr>
        <w:t xml:space="preserve"> various</w:t>
      </w:r>
      <w:r>
        <w:rPr>
          <w:rFonts w:ascii="Arial" w:hAnsi="Arial" w:cs="Arial"/>
          <w:sz w:val="20"/>
          <w:szCs w:val="20"/>
        </w:rPr>
        <w:t xml:space="preserve"> health endpoints in different cities, VSL represents the economic loss of premature death</w:t>
      </w:r>
      <w:r>
        <w:rPr>
          <w:rFonts w:ascii="Arial" w:hAnsi="Arial" w:eastAsia="宋体" w:cs="Arial"/>
          <w:sz w:val="20"/>
          <w:szCs w:val="20"/>
          <w:lang w:eastAsia="zh-CN"/>
        </w:rPr>
        <w:t xml:space="preserve">, which is calculated based on the 2010 Beijing VSL. </w:t>
      </w:r>
      <w:r>
        <w:rPr>
          <w:rFonts w:ascii="Arial" w:hAnsi="Arial" w:cs="Arial"/>
          <w:sz w:val="20"/>
          <w:szCs w:val="20"/>
        </w:rPr>
        <w:t xml:space="preserve">Unit cost for the treatment of </w:t>
      </w:r>
      <w:r>
        <w:rPr>
          <w:rFonts w:ascii="Arial" w:hAnsi="Arial" w:eastAsia="宋体" w:cs="Arial"/>
          <w:sz w:val="20"/>
          <w:szCs w:val="20"/>
          <w:lang w:eastAsia="zh-CN"/>
        </w:rPr>
        <w:t>c</w:t>
      </w:r>
      <w:r>
        <w:rPr>
          <w:rFonts w:ascii="Arial" w:hAnsi="Arial" w:cs="Arial"/>
          <w:sz w:val="20"/>
          <w:szCs w:val="20"/>
        </w:rPr>
        <w:t xml:space="preserve">hronic bronchitis, </w:t>
      </w:r>
      <w:r>
        <w:rPr>
          <w:rFonts w:ascii="Arial" w:hAnsi="Arial" w:eastAsia="宋体" w:cs="Arial"/>
          <w:sz w:val="20"/>
          <w:szCs w:val="20"/>
          <w:lang w:eastAsia="zh-CN"/>
        </w:rPr>
        <w:t>ac</w:t>
      </w:r>
      <w:r>
        <w:rPr>
          <w:rFonts w:ascii="Arial" w:hAnsi="Arial" w:cs="Arial"/>
          <w:sz w:val="20"/>
          <w:szCs w:val="20"/>
        </w:rPr>
        <w:t xml:space="preserve">ute bronchitis and </w:t>
      </w:r>
      <w:r>
        <w:rPr>
          <w:rFonts w:ascii="Arial" w:hAnsi="Arial" w:eastAsia="宋体" w:cs="Arial"/>
          <w:sz w:val="20"/>
          <w:szCs w:val="20"/>
          <w:lang w:eastAsia="zh-CN"/>
        </w:rPr>
        <w:t>a</w:t>
      </w:r>
      <w:r>
        <w:rPr>
          <w:rFonts w:ascii="Arial" w:hAnsi="Arial" w:cs="Arial"/>
          <w:sz w:val="20"/>
          <w:szCs w:val="20"/>
        </w:rPr>
        <w:t xml:space="preserve">sthma attack diseases, </w:t>
      </w:r>
      <w:r>
        <w:rPr>
          <w:rFonts w:ascii="Arial" w:hAnsi="Arial" w:eastAsia="宋体" w:cs="Arial"/>
          <w:sz w:val="20"/>
          <w:szCs w:val="20"/>
          <w:lang w:eastAsia="zh-CN"/>
        </w:rPr>
        <w:t>and</w:t>
      </w:r>
      <w:r>
        <w:rPr>
          <w:rFonts w:ascii="Arial" w:hAnsi="Arial" w:cs="Arial"/>
          <w:sz w:val="20"/>
          <w:szCs w:val="20"/>
        </w:rPr>
        <w:t xml:space="preserve"> the unit cost of hospitalization and outpatient</w:t>
      </w:r>
      <w:r>
        <w:rPr>
          <w:rFonts w:ascii="Arial" w:hAnsi="Arial" w:eastAsia="宋体" w:cs="Arial"/>
          <w:sz w:val="20"/>
          <w:szCs w:val="20"/>
          <w:lang w:eastAsia="zh-CN"/>
        </w:rPr>
        <w:t>, obtain from the China Health Statistics Yearbook.</w:t>
      </w:r>
    </w:p>
    <w:p>
      <w:pPr>
        <w:rPr>
          <w:rFonts w:ascii="Arial" w:hAnsi="Arial" w:cs="Arial"/>
          <w:color w:val="333333"/>
          <w:sz w:val="20"/>
          <w:szCs w:val="20"/>
        </w:rPr>
      </w:pPr>
      <w:r>
        <w:rPr>
          <w:rFonts w:ascii="Arial" w:hAnsi="Arial" w:cs="Arial"/>
          <w:sz w:val="20"/>
          <w:szCs w:val="20"/>
        </w:rPr>
        <w:br w:type="page"/>
      </w:r>
    </w:p>
    <w:p>
      <w:pPr>
        <w:spacing w:after="0"/>
        <w:rPr>
          <w:rFonts w:ascii="Arial" w:hAnsi="Arial" w:cs="Arial" w:eastAsiaTheme="minorEastAsia"/>
          <w:b/>
          <w:bCs/>
          <w:sz w:val="20"/>
          <w:szCs w:val="20"/>
          <w:lang w:eastAsia="zh-CN"/>
        </w:rPr>
      </w:pPr>
      <w:r>
        <w:rPr>
          <w:rFonts w:ascii="Arial" w:hAnsi="Arial" w:cs="Arial"/>
          <w:b/>
          <w:bCs/>
          <w:sz w:val="20"/>
          <w:szCs w:val="20"/>
          <w:lang w:eastAsia="zh-CN"/>
        </w:rPr>
        <w:t xml:space="preserve">Table </w:t>
      </w:r>
      <w:r>
        <w:rPr>
          <w:rFonts w:hint="eastAsia" w:ascii="Arial" w:hAnsi="Arial" w:cs="Arial"/>
          <w:b/>
          <w:bCs/>
          <w:sz w:val="20"/>
          <w:szCs w:val="20"/>
          <w:lang w:val="en-US" w:eastAsia="zh-CN"/>
        </w:rPr>
        <w:t>S3</w:t>
      </w:r>
      <w:r>
        <w:rPr>
          <w:rFonts w:ascii="Arial" w:hAnsi="Arial" w:cs="Arial"/>
          <w:b/>
          <w:bCs/>
          <w:sz w:val="20"/>
          <w:szCs w:val="20"/>
          <w:lang w:eastAsia="zh-CN"/>
        </w:rPr>
        <w:t>.</w:t>
      </w:r>
      <w:r>
        <w:rPr>
          <w:rFonts w:ascii="Arial" w:hAnsi="Arial" w:cs="Arial"/>
          <w:b/>
          <w:bCs/>
          <w:sz w:val="20"/>
          <w:szCs w:val="20"/>
        </w:rPr>
        <w:t xml:space="preserve"> </w:t>
      </w:r>
      <w:r>
        <w:rPr>
          <w:rFonts w:ascii="Arial" w:hAnsi="Arial" w:cs="Arial"/>
          <w:sz w:val="20"/>
          <w:szCs w:val="20"/>
        </w:rPr>
        <w:t xml:space="preserve">Estimated number of cases attributable to </w:t>
      </w:r>
      <w:r>
        <w:rPr>
          <w:rFonts w:ascii="Arial" w:hAnsi="Arial" w:cs="Arial"/>
          <w:sz w:val="20"/>
          <w:szCs w:val="20"/>
          <w:lang w:eastAsia="zh-CN"/>
        </w:rPr>
        <w:t>PM</w:t>
      </w:r>
      <w:r>
        <w:rPr>
          <w:rFonts w:ascii="Arial" w:hAnsi="Arial" w:cs="Arial"/>
          <w:sz w:val="20"/>
          <w:szCs w:val="20"/>
          <w:vertAlign w:val="subscript"/>
          <w:lang w:eastAsia="zh-CN"/>
        </w:rPr>
        <w:t>2.5</w:t>
      </w:r>
      <w:r>
        <w:rPr>
          <w:rFonts w:ascii="Arial" w:hAnsi="Arial" w:cs="Arial"/>
          <w:sz w:val="20"/>
          <w:szCs w:val="20"/>
        </w:rPr>
        <w:t xml:space="preserve"> </w:t>
      </w:r>
      <w:r>
        <w:rPr>
          <w:rFonts w:ascii="Arial" w:hAnsi="Arial" w:cs="Arial"/>
          <w:sz w:val="20"/>
          <w:szCs w:val="20"/>
          <w:lang w:eastAsia="zh-CN"/>
        </w:rPr>
        <w:t xml:space="preserve">in </w:t>
      </w:r>
      <w:r>
        <w:rPr>
          <w:rFonts w:ascii="Arial" w:hAnsi="Arial" w:cs="Arial"/>
          <w:sz w:val="20"/>
          <w:szCs w:val="20"/>
        </w:rPr>
        <w:t>north and south cities</w:t>
      </w:r>
      <w:r>
        <w:rPr>
          <w:rFonts w:ascii="Arial" w:hAnsi="Arial" w:cs="Arial"/>
          <w:sz w:val="20"/>
          <w:szCs w:val="20"/>
          <w:lang w:eastAsia="zh-CN"/>
        </w:rPr>
        <w:t>(in ten thousand)</w:t>
      </w:r>
    </w:p>
    <w:tbl>
      <w:tblPr>
        <w:tblStyle w:val="88"/>
        <w:tblW w:w="8595" w:type="dxa"/>
        <w:jc w:val="center"/>
        <w:tblBorders>
          <w:top w:val="single" w:color="auto" w:sz="12" w:space="0"/>
          <w:left w:val="none" w:color="auto" w:sz="4" w:space="0"/>
          <w:bottom w:val="single" w:color="auto" w:sz="12" w:space="0"/>
          <w:right w:val="none" w:color="auto" w:sz="4" w:space="0"/>
          <w:insideH w:val="none" w:color="auto" w:sz="4" w:space="0"/>
          <w:insideV w:val="none" w:color="auto" w:sz="4" w:space="0"/>
        </w:tblBorders>
        <w:tblLayout w:type="fixed"/>
        <w:tblCellMar>
          <w:top w:w="0" w:type="dxa"/>
          <w:left w:w="0" w:type="dxa"/>
          <w:bottom w:w="0" w:type="dxa"/>
          <w:right w:w="0" w:type="dxa"/>
        </w:tblCellMar>
      </w:tblPr>
      <w:tblGrid>
        <w:gridCol w:w="2845"/>
        <w:gridCol w:w="1598"/>
        <w:gridCol w:w="795"/>
        <w:gridCol w:w="1192"/>
        <w:gridCol w:w="967"/>
        <w:gridCol w:w="1198"/>
      </w:tblGrid>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left w:val="nil"/>
              <w:bottom w:val="single" w:color="auto" w:sz="8" w:space="0"/>
              <w:right w:val="nil"/>
            </w:tcBorders>
            <w:noWrap/>
            <w:tcMar>
              <w:top w:w="12" w:type="dxa"/>
              <w:left w:w="12" w:type="dxa"/>
              <w:right w:w="12" w:type="dxa"/>
            </w:tcMar>
            <w:vAlign w:val="center"/>
          </w:tcPr>
          <w:p>
            <w:pPr>
              <w:textAlignment w:val="center"/>
              <w:rPr>
                <w:rFonts w:ascii="Arial" w:hAnsi="Arial" w:cs="Arial" w:eastAsiaTheme="minorEastAsia"/>
                <w:sz w:val="18"/>
                <w:szCs w:val="18"/>
                <w:lang w:eastAsia="zh-CN"/>
              </w:rPr>
            </w:pPr>
            <w:r>
              <w:rPr>
                <w:rFonts w:ascii="Arial" w:hAnsi="Arial" w:cs="Arial"/>
                <w:sz w:val="18"/>
                <w:szCs w:val="18"/>
                <w:lang w:eastAsia="zh-CN"/>
              </w:rPr>
              <w:t>Health endpoints</w:t>
            </w:r>
          </w:p>
        </w:tc>
        <w:tc>
          <w:tcPr>
            <w:tcW w:w="1598" w:type="dxa"/>
            <w:tcBorders>
              <w:left w:val="nil"/>
              <w:bottom w:val="single" w:color="auto" w:sz="8"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2000</w:t>
            </w:r>
          </w:p>
        </w:tc>
        <w:tc>
          <w:tcPr>
            <w:tcW w:w="795" w:type="dxa"/>
            <w:tcBorders>
              <w:left w:val="nil"/>
              <w:bottom w:val="single" w:color="auto" w:sz="8"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2005</w:t>
            </w:r>
          </w:p>
        </w:tc>
        <w:tc>
          <w:tcPr>
            <w:tcW w:w="1192" w:type="dxa"/>
            <w:tcBorders>
              <w:left w:val="nil"/>
              <w:bottom w:val="single" w:color="auto" w:sz="8"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2010</w:t>
            </w:r>
          </w:p>
        </w:tc>
        <w:tc>
          <w:tcPr>
            <w:tcW w:w="967" w:type="dxa"/>
            <w:tcBorders>
              <w:left w:val="nil"/>
              <w:bottom w:val="single" w:color="auto" w:sz="8"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2015</w:t>
            </w:r>
          </w:p>
        </w:tc>
        <w:tc>
          <w:tcPr>
            <w:tcW w:w="1198" w:type="dxa"/>
            <w:tcBorders>
              <w:left w:val="nil"/>
              <w:bottom w:val="single" w:color="auto" w:sz="8"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2016</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single" w:color="auto" w:sz="8" w:space="0"/>
              <w:left w:val="nil"/>
              <w:bottom w:val="nil"/>
              <w:right w:val="nil"/>
            </w:tcBorders>
            <w:noWrap/>
            <w:tcMar>
              <w:top w:w="12" w:type="dxa"/>
              <w:left w:w="12" w:type="dxa"/>
              <w:right w:w="12" w:type="dxa"/>
            </w:tcMar>
            <w:vAlign w:val="center"/>
          </w:tcPr>
          <w:p>
            <w:pPr>
              <w:textAlignment w:val="center"/>
              <w:rPr>
                <w:rFonts w:ascii="Arial" w:hAnsi="Arial" w:cs="Arial"/>
                <w:b/>
                <w:bCs/>
                <w:sz w:val="18"/>
                <w:szCs w:val="18"/>
              </w:rPr>
            </w:pPr>
            <w:r>
              <w:rPr>
                <w:rFonts w:ascii="Arial" w:hAnsi="Arial" w:cs="Arial"/>
                <w:sz w:val="18"/>
                <w:szCs w:val="18"/>
              </w:rPr>
              <w:t>Mortality</w:t>
            </w:r>
          </w:p>
        </w:tc>
        <w:tc>
          <w:tcPr>
            <w:tcW w:w="1598" w:type="dxa"/>
            <w:tcBorders>
              <w:top w:val="single" w:color="auto" w:sz="8" w:space="0"/>
              <w:left w:val="nil"/>
              <w:bottom w:val="nil"/>
              <w:right w:val="nil"/>
            </w:tcBorders>
            <w:noWrap/>
            <w:tcMar>
              <w:top w:w="12" w:type="dxa"/>
              <w:left w:w="12" w:type="dxa"/>
              <w:right w:w="12" w:type="dxa"/>
            </w:tcMar>
            <w:vAlign w:val="center"/>
          </w:tcPr>
          <w:p>
            <w:pPr>
              <w:jc w:val="center"/>
              <w:rPr>
                <w:rFonts w:ascii="Arial" w:hAnsi="Arial" w:cs="Arial"/>
                <w:b/>
                <w:bCs/>
                <w:sz w:val="18"/>
                <w:szCs w:val="18"/>
              </w:rPr>
            </w:pPr>
          </w:p>
        </w:tc>
        <w:tc>
          <w:tcPr>
            <w:tcW w:w="795" w:type="dxa"/>
            <w:tcBorders>
              <w:top w:val="single" w:color="auto" w:sz="8" w:space="0"/>
              <w:left w:val="nil"/>
              <w:bottom w:val="nil"/>
              <w:right w:val="nil"/>
            </w:tcBorders>
            <w:noWrap/>
            <w:tcMar>
              <w:top w:w="12" w:type="dxa"/>
              <w:left w:w="12" w:type="dxa"/>
              <w:right w:w="12" w:type="dxa"/>
            </w:tcMar>
            <w:vAlign w:val="center"/>
          </w:tcPr>
          <w:p>
            <w:pPr>
              <w:jc w:val="center"/>
              <w:rPr>
                <w:rFonts w:ascii="Arial" w:hAnsi="Arial" w:cs="Arial"/>
                <w:b/>
                <w:bCs/>
                <w:sz w:val="18"/>
                <w:szCs w:val="18"/>
              </w:rPr>
            </w:pPr>
          </w:p>
        </w:tc>
        <w:tc>
          <w:tcPr>
            <w:tcW w:w="1192" w:type="dxa"/>
            <w:tcBorders>
              <w:top w:val="single" w:color="auto" w:sz="8" w:space="0"/>
              <w:left w:val="nil"/>
              <w:bottom w:val="nil"/>
              <w:right w:val="nil"/>
            </w:tcBorders>
            <w:noWrap/>
            <w:tcMar>
              <w:top w:w="12" w:type="dxa"/>
              <w:left w:w="12" w:type="dxa"/>
              <w:right w:w="12" w:type="dxa"/>
            </w:tcMar>
            <w:vAlign w:val="center"/>
          </w:tcPr>
          <w:p>
            <w:pPr>
              <w:jc w:val="center"/>
              <w:rPr>
                <w:rFonts w:ascii="Arial" w:hAnsi="Arial" w:cs="Arial"/>
                <w:b/>
                <w:bCs/>
                <w:sz w:val="18"/>
                <w:szCs w:val="18"/>
              </w:rPr>
            </w:pPr>
          </w:p>
        </w:tc>
        <w:tc>
          <w:tcPr>
            <w:tcW w:w="967" w:type="dxa"/>
            <w:tcBorders>
              <w:top w:val="single" w:color="auto" w:sz="8" w:space="0"/>
              <w:left w:val="nil"/>
              <w:bottom w:val="nil"/>
              <w:right w:val="nil"/>
            </w:tcBorders>
            <w:noWrap/>
            <w:tcMar>
              <w:top w:w="12" w:type="dxa"/>
              <w:left w:w="12" w:type="dxa"/>
              <w:right w:w="12" w:type="dxa"/>
            </w:tcMar>
            <w:vAlign w:val="center"/>
          </w:tcPr>
          <w:p>
            <w:pPr>
              <w:jc w:val="center"/>
              <w:rPr>
                <w:rFonts w:ascii="Arial" w:hAnsi="Arial" w:cs="Arial"/>
                <w:b/>
                <w:bCs/>
                <w:sz w:val="18"/>
                <w:szCs w:val="18"/>
              </w:rPr>
            </w:pPr>
          </w:p>
        </w:tc>
        <w:tc>
          <w:tcPr>
            <w:tcW w:w="1198" w:type="dxa"/>
            <w:tcBorders>
              <w:top w:val="single" w:color="auto" w:sz="8" w:space="0"/>
              <w:left w:val="nil"/>
              <w:bottom w:val="nil"/>
              <w:right w:val="nil"/>
            </w:tcBorders>
            <w:noWrap/>
            <w:tcMar>
              <w:top w:w="12" w:type="dxa"/>
              <w:left w:w="12" w:type="dxa"/>
              <w:right w:w="12" w:type="dxa"/>
            </w:tcMar>
            <w:vAlign w:val="center"/>
          </w:tcPr>
          <w:p>
            <w:pPr>
              <w:jc w:val="center"/>
              <w:rPr>
                <w:rFonts w:ascii="Arial" w:hAnsi="Arial" w:cs="Arial"/>
                <w:b/>
                <w:bCs/>
                <w:sz w:val="18"/>
                <w:szCs w:val="18"/>
              </w:rPr>
            </w:pP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jc w:val="both"/>
              <w:textAlignment w:val="center"/>
              <w:rPr>
                <w:rFonts w:ascii="Arial" w:hAnsi="Arial" w:cs="Arial" w:eastAsiaTheme="minorEastAsia"/>
                <w:sz w:val="18"/>
                <w:szCs w:val="18"/>
                <w:lang w:eastAsia="zh-CN"/>
              </w:rPr>
            </w:pPr>
            <w:r>
              <w:rPr>
                <w:rFonts w:ascii="Arial" w:hAnsi="Arial" w:cs="Arial"/>
                <w:sz w:val="18"/>
                <w:szCs w:val="18"/>
              </w:rPr>
              <w:t xml:space="preserve">Respiratory </w:t>
            </w:r>
            <w:r>
              <w:rPr>
                <w:rFonts w:ascii="Arial" w:hAnsi="Arial" w:cs="Arial"/>
                <w:sz w:val="18"/>
                <w:szCs w:val="18"/>
                <w:lang w:eastAsia="zh-CN"/>
              </w:rPr>
              <w:t>m</w:t>
            </w:r>
            <w:r>
              <w:rPr>
                <w:rFonts w:ascii="Arial" w:hAnsi="Arial" w:cs="Arial"/>
                <w:sz w:val="18"/>
                <w:szCs w:val="18"/>
              </w:rPr>
              <w:t>ortality</w:t>
            </w:r>
          </w:p>
        </w:tc>
        <w:tc>
          <w:tcPr>
            <w:tcW w:w="15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795"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2"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967"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eastAsiaTheme="minorEastAsia"/>
                <w:sz w:val="18"/>
                <w:szCs w:val="18"/>
                <w:lang w:eastAsia="zh-CN"/>
              </w:rPr>
            </w:pPr>
            <w:r>
              <w:rPr>
                <w:rFonts w:ascii="Arial" w:hAnsi="Arial" w:cs="Arial"/>
                <w:sz w:val="18"/>
                <w:szCs w:val="18"/>
              </w:rPr>
              <w:t xml:space="preserve">              </w:t>
            </w:r>
            <w:r>
              <w:rPr>
                <w:rFonts w:ascii="Arial" w:hAnsi="Arial" w:cs="Arial"/>
                <w:sz w:val="18"/>
                <w:szCs w:val="18"/>
                <w:lang w:eastAsia="zh-CN"/>
              </w:rPr>
              <w:t>South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0.378</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0.638</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0.699</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0.682</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0.704</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eastAsiaTheme="minorEastAsia"/>
                <w:sz w:val="18"/>
                <w:szCs w:val="18"/>
                <w:lang w:eastAsia="zh-CN"/>
              </w:rPr>
            </w:pPr>
            <w:r>
              <w:rPr>
                <w:rFonts w:ascii="Arial" w:hAnsi="Arial" w:cs="Arial"/>
                <w:sz w:val="18"/>
                <w:szCs w:val="18"/>
              </w:rPr>
              <w:t xml:space="preserve">              </w:t>
            </w:r>
            <w:r>
              <w:rPr>
                <w:rFonts w:ascii="Arial" w:hAnsi="Arial" w:cs="Arial"/>
                <w:sz w:val="18"/>
                <w:szCs w:val="18"/>
                <w:lang w:eastAsia="zh-CN"/>
              </w:rPr>
              <w:t>North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0.447</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0.642</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0.792</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0.871</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0.918</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lang w:eastAsia="zh-CN"/>
              </w:rPr>
              <w:t>C</w:t>
            </w:r>
            <w:r>
              <w:rPr>
                <w:rFonts w:ascii="Arial" w:hAnsi="Arial" w:cs="Arial"/>
                <w:sz w:val="18"/>
                <w:szCs w:val="18"/>
              </w:rPr>
              <w:t>ardiovascu</w:t>
            </w:r>
            <w:r>
              <w:rPr>
                <w:rFonts w:ascii="Arial" w:hAnsi="Arial" w:cs="Arial"/>
                <w:sz w:val="18"/>
                <w:szCs w:val="18"/>
                <w:lang w:eastAsia="zh-CN"/>
              </w:rPr>
              <w:t>l</w:t>
            </w:r>
            <w:r>
              <w:rPr>
                <w:rFonts w:ascii="Arial" w:hAnsi="Arial" w:cs="Arial"/>
                <w:sz w:val="18"/>
                <w:szCs w:val="18"/>
              </w:rPr>
              <w:t>ar</w:t>
            </w:r>
            <w:r>
              <w:rPr>
                <w:rFonts w:ascii="Arial" w:hAnsi="Arial" w:cs="Arial"/>
                <w:sz w:val="18"/>
                <w:szCs w:val="18"/>
                <w:lang w:eastAsia="zh-CN"/>
              </w:rPr>
              <w:t xml:space="preserve"> mortality</w:t>
            </w:r>
          </w:p>
        </w:tc>
        <w:tc>
          <w:tcPr>
            <w:tcW w:w="15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795"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2"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967"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eastAsiaTheme="minorEastAsia"/>
                <w:sz w:val="18"/>
                <w:szCs w:val="18"/>
                <w:lang w:eastAsia="zh-CN"/>
              </w:rPr>
            </w:pPr>
            <w:r>
              <w:rPr>
                <w:rFonts w:ascii="Arial" w:hAnsi="Arial" w:cs="Arial"/>
                <w:sz w:val="18"/>
                <w:szCs w:val="18"/>
              </w:rPr>
              <w:t xml:space="preserve">              </w:t>
            </w:r>
            <w:r>
              <w:rPr>
                <w:rFonts w:ascii="Arial" w:hAnsi="Arial" w:cs="Arial"/>
                <w:sz w:val="18"/>
                <w:szCs w:val="18"/>
                <w:lang w:eastAsia="zh-CN"/>
              </w:rPr>
              <w:t>South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0.397</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0.703</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0.882</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0.859</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1.075</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eastAsiaTheme="minorEastAsia"/>
                <w:sz w:val="18"/>
                <w:szCs w:val="18"/>
                <w:lang w:eastAsia="zh-CN"/>
              </w:rPr>
            </w:pPr>
            <w:r>
              <w:rPr>
                <w:rFonts w:ascii="Arial" w:hAnsi="Arial" w:cs="Arial"/>
                <w:sz w:val="18"/>
                <w:szCs w:val="18"/>
              </w:rPr>
              <w:t xml:space="preserve">              </w:t>
            </w:r>
            <w:r>
              <w:rPr>
                <w:rFonts w:ascii="Arial" w:hAnsi="Arial" w:cs="Arial"/>
                <w:sz w:val="18"/>
                <w:szCs w:val="18"/>
                <w:lang w:eastAsia="zh-CN"/>
              </w:rPr>
              <w:t>North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0.474</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0.708</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1.013</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1.121</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1.452</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eastAsiaTheme="minorEastAsia"/>
                <w:sz w:val="18"/>
                <w:szCs w:val="18"/>
                <w:lang w:eastAsia="zh-CN"/>
              </w:rPr>
            </w:pPr>
            <w:r>
              <w:rPr>
                <w:rFonts w:ascii="Arial" w:hAnsi="Arial" w:cs="Arial"/>
                <w:sz w:val="18"/>
                <w:szCs w:val="18"/>
                <w:lang w:eastAsia="zh-CN"/>
              </w:rPr>
              <w:t>Total</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South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bidi="ar"/>
              </w:rPr>
              <w:t>0.775</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bidi="ar"/>
              </w:rPr>
              <w:t>1.341</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bidi="ar"/>
              </w:rPr>
              <w:t>1.581</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bidi="ar"/>
              </w:rPr>
              <w:t>1.541</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bidi="ar"/>
              </w:rPr>
              <w:t>1.779</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North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bidi="ar"/>
              </w:rPr>
              <w:t>0.921</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bidi="ar"/>
              </w:rPr>
              <w:t>1.350</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bidi="ar"/>
              </w:rPr>
              <w:t>1.805</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bidi="ar"/>
              </w:rPr>
              <w:t>1.992</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lang w:bidi="ar"/>
              </w:rPr>
              <w:t>2.370</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Disease</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Respiratory hospital admission</w:t>
            </w:r>
          </w:p>
        </w:tc>
        <w:tc>
          <w:tcPr>
            <w:tcW w:w="15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795"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2"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967"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South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2.163</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5.789</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6.184</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eastAsia="宋体" w:cs="Arial"/>
                <w:sz w:val="18"/>
                <w:szCs w:val="18"/>
                <w:lang w:eastAsia="zh-CN"/>
              </w:rPr>
            </w:pPr>
            <w:r>
              <w:rPr>
                <w:rFonts w:ascii="Arial" w:hAnsi="Arial" w:cs="Arial"/>
                <w:sz w:val="18"/>
                <w:szCs w:val="18"/>
              </w:rPr>
              <w:t>5.98</w:t>
            </w:r>
            <w:r>
              <w:rPr>
                <w:rFonts w:ascii="Arial" w:hAnsi="Arial" w:cs="Arial"/>
                <w:sz w:val="18"/>
                <w:szCs w:val="18"/>
                <w:lang w:eastAsia="zh-CN"/>
              </w:rPr>
              <w:t>0</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6.235</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North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2.925</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5.844</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7.318</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8.263</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8.819</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Cardiovascular hospital admission</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South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2.541</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6.891</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7.361</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7.119</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5.877</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North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3.454</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6.959</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8.733</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9.868</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8.328</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Internal medicine</w:t>
            </w:r>
          </w:p>
        </w:tc>
        <w:tc>
          <w:tcPr>
            <w:tcW w:w="15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795"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2"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967"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South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19.64</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53.84</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77.23</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111.52</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116.41</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North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27.24</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54.4</w:t>
            </w:r>
            <w:r>
              <w:rPr>
                <w:rFonts w:ascii="Arial" w:hAnsi="Arial" w:cs="Arial"/>
                <w:sz w:val="18"/>
                <w:szCs w:val="18"/>
                <w:lang w:eastAsia="zh-CN"/>
              </w:rPr>
              <w:t>0</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92.07</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155.89</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166.62</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lang w:eastAsia="zh-CN"/>
              </w:rPr>
              <w:t>Pediatrics</w:t>
            </w:r>
          </w:p>
        </w:tc>
        <w:tc>
          <w:tcPr>
            <w:tcW w:w="15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795" w:type="dxa"/>
            <w:tcBorders>
              <w:top w:val="nil"/>
              <w:left w:val="nil"/>
              <w:bottom w:val="nil"/>
              <w:right w:val="nil"/>
            </w:tcBorders>
            <w:noWrap/>
            <w:tcMar>
              <w:top w:w="12" w:type="dxa"/>
              <w:left w:w="12" w:type="dxa"/>
              <w:right w:w="12" w:type="dxa"/>
            </w:tcMar>
            <w:vAlign w:val="center"/>
          </w:tcPr>
          <w:p>
            <w:pPr>
              <w:jc w:val="center"/>
              <w:rPr>
                <w:rFonts w:ascii="Arial" w:hAnsi="Arial" w:eastAsia="宋体" w:cs="Arial"/>
                <w:sz w:val="18"/>
                <w:szCs w:val="18"/>
                <w:lang w:eastAsia="zh-CN"/>
              </w:rPr>
            </w:pPr>
          </w:p>
        </w:tc>
        <w:tc>
          <w:tcPr>
            <w:tcW w:w="1192"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967"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South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5.15</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16.36</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30.07</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48.37</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50.49</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North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7.09</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16.53</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35.81</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67.55</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72.19</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lang w:eastAsia="zh-CN"/>
              </w:rPr>
              <w:t>Acute bronchitis</w:t>
            </w:r>
          </w:p>
        </w:tc>
        <w:tc>
          <w:tcPr>
            <w:tcW w:w="15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795"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2"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967"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South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4.62</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12.04</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12.94</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12.48</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13.03</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North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6.20</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12.06</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14.94</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16.85</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17.99</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Chronic bronchitis</w:t>
            </w:r>
          </w:p>
        </w:tc>
        <w:tc>
          <w:tcPr>
            <w:tcW w:w="15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795"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2"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967"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South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10.31</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26.79</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28.86</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27.81</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29.05</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North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13.85</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26.79</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33.08</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37.31</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39.83</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Asthma attack</w:t>
            </w:r>
          </w:p>
        </w:tc>
        <w:tc>
          <w:tcPr>
            <w:tcW w:w="15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795"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2"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967"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c>
          <w:tcPr>
            <w:tcW w:w="1198" w:type="dxa"/>
            <w:tcBorders>
              <w:top w:val="nil"/>
              <w:left w:val="nil"/>
              <w:bottom w:val="nil"/>
              <w:right w:val="nil"/>
            </w:tcBorders>
            <w:noWrap/>
            <w:tcMar>
              <w:top w:w="12" w:type="dxa"/>
              <w:left w:w="12" w:type="dxa"/>
              <w:right w:w="12" w:type="dxa"/>
            </w:tcMar>
            <w:vAlign w:val="center"/>
          </w:tcPr>
          <w:p>
            <w:pPr>
              <w:jc w:val="center"/>
              <w:rPr>
                <w:rFonts w:ascii="Arial" w:hAnsi="Arial" w:cs="Arial"/>
                <w:sz w:val="18"/>
                <w:szCs w:val="18"/>
              </w:rPr>
            </w:pP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South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3.26</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8.84</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9.46</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9.14</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9.53</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North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4.44</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8.91</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11.16</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12.61</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13.47</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lang w:eastAsia="zh-CN"/>
              </w:rPr>
              <w:t>Total</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nil"/>
              <w:right w:val="nil"/>
            </w:tcBorders>
            <w:noWrap/>
            <w:tcMar>
              <w:top w:w="12" w:type="dxa"/>
              <w:left w:w="12" w:type="dxa"/>
              <w:right w:w="12" w:type="dxa"/>
            </w:tcMar>
            <w:vAlign w:val="center"/>
          </w:tcPr>
          <w:p>
            <w:pPr>
              <w:textAlignment w:val="center"/>
              <w:rPr>
                <w:rFonts w:ascii="Arial" w:hAnsi="Arial" w:cs="Arial" w:eastAsiaTheme="minorEastAsia"/>
                <w:sz w:val="18"/>
                <w:szCs w:val="18"/>
                <w:lang w:eastAsia="zh-CN"/>
              </w:rPr>
            </w:pPr>
            <w:r>
              <w:rPr>
                <w:rFonts w:ascii="Arial" w:hAnsi="Arial" w:cs="Arial"/>
                <w:sz w:val="18"/>
                <w:szCs w:val="18"/>
              </w:rPr>
              <w:t xml:space="preserve">              </w:t>
            </w:r>
            <w:r>
              <w:rPr>
                <w:rFonts w:ascii="Arial" w:hAnsi="Arial" w:cs="Arial"/>
                <w:sz w:val="18"/>
                <w:szCs w:val="18"/>
                <w:lang w:eastAsia="zh-CN"/>
              </w:rPr>
              <w:t>South</w:t>
            </w:r>
          </w:p>
        </w:tc>
        <w:tc>
          <w:tcPr>
            <w:tcW w:w="15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47.684</w:t>
            </w:r>
          </w:p>
        </w:tc>
        <w:tc>
          <w:tcPr>
            <w:tcW w:w="795"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130.55</w:t>
            </w:r>
          </w:p>
        </w:tc>
        <w:tc>
          <w:tcPr>
            <w:tcW w:w="1192"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172.105</w:t>
            </w:r>
          </w:p>
        </w:tc>
        <w:tc>
          <w:tcPr>
            <w:tcW w:w="967"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222.419</w:t>
            </w:r>
          </w:p>
        </w:tc>
        <w:tc>
          <w:tcPr>
            <w:tcW w:w="1198" w:type="dxa"/>
            <w:tcBorders>
              <w:top w:val="nil"/>
              <w:left w:val="nil"/>
              <w:bottom w:val="nil"/>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230.622</w:t>
            </w:r>
          </w:p>
        </w:tc>
      </w:tr>
      <w:tr>
        <w:tblPrEx>
          <w:tblBorders>
            <w:top w:val="single" w:color="auto" w:sz="12" w:space="0"/>
            <w:left w:val="none" w:color="auto" w:sz="4" w:space="0"/>
            <w:bottom w:val="single" w:color="auto" w:sz="12" w:space="0"/>
            <w:right w:val="none" w:color="auto" w:sz="4" w:space="0"/>
            <w:insideH w:val="none" w:color="auto" w:sz="4" w:space="0"/>
            <w:insideV w:val="none" w:color="auto" w:sz="4" w:space="0"/>
          </w:tblBorders>
          <w:tblCellMar>
            <w:top w:w="0" w:type="dxa"/>
            <w:left w:w="0" w:type="dxa"/>
            <w:bottom w:w="0" w:type="dxa"/>
            <w:right w:w="0" w:type="dxa"/>
          </w:tblCellMar>
        </w:tblPrEx>
        <w:trPr>
          <w:trHeight w:val="283" w:hRule="atLeast"/>
          <w:jc w:val="center"/>
        </w:trPr>
        <w:tc>
          <w:tcPr>
            <w:tcW w:w="2845" w:type="dxa"/>
            <w:tcBorders>
              <w:top w:val="nil"/>
              <w:left w:val="nil"/>
              <w:bottom w:val="single" w:color="auto" w:sz="12" w:space="0"/>
              <w:right w:val="nil"/>
            </w:tcBorders>
            <w:noWrap/>
            <w:tcMar>
              <w:top w:w="12" w:type="dxa"/>
              <w:left w:w="12" w:type="dxa"/>
              <w:right w:w="12" w:type="dxa"/>
            </w:tcMar>
            <w:vAlign w:val="center"/>
          </w:tcPr>
          <w:p>
            <w:pPr>
              <w:textAlignment w:val="center"/>
              <w:rPr>
                <w:rFonts w:ascii="Arial" w:hAnsi="Arial" w:cs="Arial"/>
                <w:sz w:val="18"/>
                <w:szCs w:val="18"/>
              </w:rPr>
            </w:pPr>
            <w:r>
              <w:rPr>
                <w:rFonts w:ascii="Arial" w:hAnsi="Arial" w:cs="Arial"/>
                <w:sz w:val="18"/>
                <w:szCs w:val="18"/>
              </w:rPr>
              <w:t xml:space="preserve">              </w:t>
            </w:r>
            <w:r>
              <w:rPr>
                <w:rFonts w:ascii="Arial" w:hAnsi="Arial" w:cs="Arial"/>
                <w:sz w:val="18"/>
                <w:szCs w:val="18"/>
                <w:lang w:eastAsia="zh-CN"/>
              </w:rPr>
              <w:t>North</w:t>
            </w:r>
          </w:p>
        </w:tc>
        <w:tc>
          <w:tcPr>
            <w:tcW w:w="1598"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65.199</w:t>
            </w:r>
          </w:p>
        </w:tc>
        <w:tc>
          <w:tcPr>
            <w:tcW w:w="795"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131.493</w:t>
            </w:r>
          </w:p>
        </w:tc>
        <w:tc>
          <w:tcPr>
            <w:tcW w:w="1192"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203.111</w:t>
            </w:r>
          </w:p>
        </w:tc>
        <w:tc>
          <w:tcPr>
            <w:tcW w:w="967"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308.341</w:t>
            </w:r>
          </w:p>
        </w:tc>
        <w:tc>
          <w:tcPr>
            <w:tcW w:w="1198"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Arial" w:hAnsi="Arial" w:cs="Arial"/>
                <w:sz w:val="18"/>
                <w:szCs w:val="18"/>
              </w:rPr>
            </w:pPr>
            <w:r>
              <w:rPr>
                <w:rFonts w:ascii="Arial" w:hAnsi="Arial" w:cs="Arial"/>
                <w:sz w:val="18"/>
                <w:szCs w:val="18"/>
              </w:rPr>
              <w:t>327.247</w:t>
            </w:r>
          </w:p>
        </w:tc>
      </w:tr>
    </w:tbl>
    <w:p>
      <w:pPr>
        <w:rPr>
          <w:rFonts w:ascii="Arial" w:hAnsi="Arial" w:cs="Arial"/>
          <w:sz w:val="20"/>
          <w:szCs w:val="20"/>
          <w:lang w:eastAsia="zh-CN"/>
        </w:rPr>
      </w:pPr>
      <w:r>
        <w:rPr>
          <w:rFonts w:ascii="Arial" w:hAnsi="Arial" w:cs="Arial"/>
          <w:sz w:val="20"/>
          <w:szCs w:val="20"/>
          <w:lang w:eastAsia="zh-CN"/>
        </w:rPr>
        <w:t>Each cell in the table represents the numbers of health effects. Compare the quantitative differences in various health effects caused by PM</w:t>
      </w:r>
      <w:r>
        <w:rPr>
          <w:rFonts w:ascii="Arial" w:hAnsi="Arial" w:cs="Arial"/>
          <w:sz w:val="20"/>
          <w:szCs w:val="20"/>
          <w:vertAlign w:val="subscript"/>
          <w:lang w:eastAsia="zh-CN"/>
        </w:rPr>
        <w:t>2.5</w:t>
      </w:r>
      <w:r>
        <w:rPr>
          <w:rFonts w:ascii="Arial" w:hAnsi="Arial" w:cs="Arial"/>
          <w:sz w:val="20"/>
          <w:szCs w:val="20"/>
          <w:lang w:eastAsia="zh-CN"/>
        </w:rPr>
        <w:t xml:space="preserve"> exposure in the North and the South. The division of north and south cities is defined by the line formed by the Huai River and Qinling Mountain range.</w:t>
      </w:r>
    </w:p>
    <w:p>
      <w:pPr>
        <w:rPr>
          <w:rFonts w:ascii="Arial" w:hAnsi="Arial" w:cs="Arial"/>
          <w:color w:val="333333"/>
          <w:sz w:val="20"/>
          <w:szCs w:val="20"/>
        </w:rPr>
      </w:pPr>
      <w:r>
        <w:rPr>
          <w:rFonts w:ascii="Arial" w:hAnsi="Arial" w:cs="Arial"/>
          <w:color w:val="333333"/>
          <w:sz w:val="20"/>
          <w:szCs w:val="20"/>
        </w:rPr>
        <w:br w:type="page"/>
      </w:r>
    </w:p>
    <w:p>
      <w:pPr>
        <w:spacing w:after="0"/>
        <w:rPr>
          <w:rFonts w:ascii="Arial" w:hAnsi="Arial" w:eastAsia="宋体" w:cs="Arial"/>
          <w:sz w:val="20"/>
          <w:szCs w:val="20"/>
          <w:lang w:eastAsia="zh-CN"/>
        </w:rPr>
      </w:pPr>
      <w:r>
        <w:rPr>
          <w:rFonts w:ascii="Arial" w:hAnsi="Arial" w:eastAsia="宋体" w:cs="Arial"/>
          <w:b/>
          <w:bCs/>
          <w:sz w:val="20"/>
          <w:szCs w:val="20"/>
          <w:lang w:eastAsia="zh-CN"/>
        </w:rPr>
        <w:t xml:space="preserve">Table </w:t>
      </w:r>
      <w:r>
        <w:rPr>
          <w:rFonts w:hint="eastAsia" w:ascii="Arial" w:hAnsi="Arial" w:eastAsia="宋体" w:cs="Arial"/>
          <w:b/>
          <w:bCs/>
          <w:sz w:val="20"/>
          <w:szCs w:val="20"/>
          <w:lang w:val="en-US" w:eastAsia="zh-CN"/>
        </w:rPr>
        <w:t>S4</w:t>
      </w:r>
      <w:r>
        <w:rPr>
          <w:rFonts w:ascii="Arial" w:hAnsi="Arial" w:eastAsia="宋体" w:cs="Arial"/>
          <w:b/>
          <w:bCs/>
          <w:sz w:val="20"/>
          <w:szCs w:val="20"/>
          <w:lang w:eastAsia="zh-CN"/>
        </w:rPr>
        <w:t xml:space="preserve">. </w:t>
      </w:r>
      <w:r>
        <w:rPr>
          <w:rFonts w:ascii="Arial" w:hAnsi="Arial" w:eastAsia="宋体" w:cs="Arial"/>
          <w:sz w:val="20"/>
          <w:szCs w:val="20"/>
          <w:lang w:eastAsia="zh-CN"/>
        </w:rPr>
        <w:t>Estimated number of deaths attributable to PM</w:t>
      </w:r>
      <w:r>
        <w:rPr>
          <w:rFonts w:ascii="Arial" w:hAnsi="Arial" w:eastAsia="宋体" w:cs="Arial"/>
          <w:sz w:val="20"/>
          <w:szCs w:val="20"/>
          <w:vertAlign w:val="subscript"/>
          <w:lang w:eastAsia="zh-CN"/>
        </w:rPr>
        <w:t>2.5</w:t>
      </w:r>
      <w:r>
        <w:rPr>
          <w:rFonts w:ascii="Arial" w:hAnsi="Arial" w:eastAsia="宋体" w:cs="Arial"/>
          <w:sz w:val="20"/>
          <w:szCs w:val="20"/>
          <w:lang w:eastAsia="zh-CN"/>
        </w:rPr>
        <w:t xml:space="preserve"> in Seven regions</w:t>
      </w:r>
      <w:r>
        <w:rPr>
          <w:rFonts w:ascii="Arial" w:hAnsi="Arial" w:cs="Arial"/>
          <w:sz w:val="20"/>
          <w:szCs w:val="20"/>
          <w:lang w:eastAsia="zh-CN"/>
        </w:rPr>
        <w:t>(in ten thousand)</w:t>
      </w:r>
    </w:p>
    <w:tbl>
      <w:tblPr>
        <w:tblStyle w:val="88"/>
        <w:tblW w:w="8183" w:type="dxa"/>
        <w:tblInd w:w="0" w:type="dxa"/>
        <w:tblLayout w:type="fixed"/>
        <w:tblCellMar>
          <w:top w:w="0" w:type="dxa"/>
          <w:left w:w="0" w:type="dxa"/>
          <w:bottom w:w="0" w:type="dxa"/>
          <w:right w:w="0" w:type="dxa"/>
        </w:tblCellMar>
      </w:tblPr>
      <w:tblGrid>
        <w:gridCol w:w="1697"/>
        <w:gridCol w:w="1247"/>
        <w:gridCol w:w="1247"/>
        <w:gridCol w:w="1248"/>
        <w:gridCol w:w="1248"/>
        <w:gridCol w:w="1496"/>
      </w:tblGrid>
      <w:tr>
        <w:tblPrEx>
          <w:tblCellMar>
            <w:top w:w="0" w:type="dxa"/>
            <w:left w:w="0" w:type="dxa"/>
            <w:bottom w:w="0" w:type="dxa"/>
            <w:right w:w="0" w:type="dxa"/>
          </w:tblCellMar>
        </w:tblPrEx>
        <w:trPr>
          <w:trHeight w:val="283" w:hRule="atLeast"/>
        </w:trPr>
        <w:tc>
          <w:tcPr>
            <w:tcW w:w="1697" w:type="dxa"/>
            <w:tcBorders>
              <w:top w:val="single" w:color="auto" w:sz="12" w:space="0"/>
              <w:left w:val="nil"/>
              <w:bottom w:val="single" w:color="auto" w:sz="8" w:space="0"/>
              <w:right w:val="nil"/>
            </w:tcBorders>
            <w:noWrap/>
            <w:tcMar>
              <w:top w:w="15" w:type="dxa"/>
              <w:left w:w="15" w:type="dxa"/>
              <w:right w:w="15" w:type="dxa"/>
            </w:tcMar>
            <w:vAlign w:val="center"/>
          </w:tcPr>
          <w:p>
            <w:pPr>
              <w:spacing w:line="240" w:lineRule="atLeast"/>
              <w:jc w:val="center"/>
              <w:textAlignment w:val="center"/>
              <w:rPr>
                <w:rFonts w:ascii="Arial" w:hAnsi="Arial" w:cs="Arial" w:eastAsiaTheme="minorEastAsia"/>
                <w:sz w:val="20"/>
                <w:szCs w:val="20"/>
                <w:lang w:eastAsia="zh-CN"/>
              </w:rPr>
            </w:pPr>
            <w:r>
              <w:rPr>
                <w:rFonts w:ascii="Arial" w:hAnsi="Arial" w:cs="Arial"/>
                <w:sz w:val="20"/>
                <w:szCs w:val="20"/>
                <w:lang w:eastAsia="zh-CN"/>
              </w:rPr>
              <w:t xml:space="preserve"> Region</w:t>
            </w:r>
          </w:p>
        </w:tc>
        <w:tc>
          <w:tcPr>
            <w:tcW w:w="1247" w:type="dxa"/>
            <w:tcBorders>
              <w:top w:val="single" w:color="auto" w:sz="12" w:space="0"/>
              <w:left w:val="nil"/>
              <w:bottom w:val="single" w:color="auto" w:sz="8" w:space="0"/>
              <w:right w:val="nil"/>
            </w:tcBorders>
            <w:noWrap/>
            <w:tcMar>
              <w:top w:w="15" w:type="dxa"/>
              <w:left w:w="15" w:type="dxa"/>
              <w:right w:w="15" w:type="dxa"/>
            </w:tcMar>
            <w:vAlign w:val="center"/>
          </w:tcPr>
          <w:p>
            <w:pPr>
              <w:spacing w:line="240" w:lineRule="atLeast"/>
              <w:jc w:val="center"/>
              <w:textAlignment w:val="center"/>
              <w:rPr>
                <w:rFonts w:ascii="Arial" w:hAnsi="Arial" w:cs="Arial"/>
                <w:sz w:val="20"/>
                <w:szCs w:val="20"/>
              </w:rPr>
            </w:pPr>
            <w:r>
              <w:rPr>
                <w:rFonts w:ascii="Arial" w:hAnsi="Arial" w:cs="Arial"/>
                <w:sz w:val="20"/>
                <w:szCs w:val="20"/>
              </w:rPr>
              <w:t>2000</w:t>
            </w:r>
          </w:p>
        </w:tc>
        <w:tc>
          <w:tcPr>
            <w:tcW w:w="1247" w:type="dxa"/>
            <w:tcBorders>
              <w:top w:val="single" w:color="auto" w:sz="12" w:space="0"/>
              <w:left w:val="nil"/>
              <w:bottom w:val="single" w:color="auto" w:sz="8" w:space="0"/>
              <w:right w:val="nil"/>
            </w:tcBorders>
            <w:noWrap/>
            <w:tcMar>
              <w:top w:w="15" w:type="dxa"/>
              <w:left w:w="15" w:type="dxa"/>
              <w:right w:w="15" w:type="dxa"/>
            </w:tcMar>
            <w:vAlign w:val="center"/>
          </w:tcPr>
          <w:p>
            <w:pPr>
              <w:spacing w:line="240" w:lineRule="atLeast"/>
              <w:jc w:val="center"/>
              <w:textAlignment w:val="center"/>
              <w:rPr>
                <w:rFonts w:ascii="Arial" w:hAnsi="Arial" w:cs="Arial"/>
                <w:sz w:val="20"/>
                <w:szCs w:val="20"/>
              </w:rPr>
            </w:pPr>
            <w:r>
              <w:rPr>
                <w:rFonts w:ascii="Arial" w:hAnsi="Arial" w:cs="Arial"/>
                <w:sz w:val="20"/>
                <w:szCs w:val="20"/>
              </w:rPr>
              <w:t>2005</w:t>
            </w:r>
          </w:p>
        </w:tc>
        <w:tc>
          <w:tcPr>
            <w:tcW w:w="1248" w:type="dxa"/>
            <w:tcBorders>
              <w:top w:val="single" w:color="auto" w:sz="12" w:space="0"/>
              <w:left w:val="nil"/>
              <w:bottom w:val="single" w:color="auto" w:sz="8" w:space="0"/>
              <w:right w:val="nil"/>
            </w:tcBorders>
            <w:noWrap/>
            <w:tcMar>
              <w:top w:w="15" w:type="dxa"/>
              <w:left w:w="15" w:type="dxa"/>
              <w:right w:w="15" w:type="dxa"/>
            </w:tcMar>
            <w:vAlign w:val="center"/>
          </w:tcPr>
          <w:p>
            <w:pPr>
              <w:spacing w:line="240" w:lineRule="atLeast"/>
              <w:jc w:val="center"/>
              <w:textAlignment w:val="center"/>
              <w:rPr>
                <w:rFonts w:ascii="Arial" w:hAnsi="Arial" w:cs="Arial"/>
                <w:sz w:val="20"/>
                <w:szCs w:val="20"/>
              </w:rPr>
            </w:pPr>
            <w:r>
              <w:rPr>
                <w:rFonts w:ascii="Arial" w:hAnsi="Arial" w:cs="Arial"/>
                <w:sz w:val="20"/>
                <w:szCs w:val="20"/>
              </w:rPr>
              <w:t>2010</w:t>
            </w:r>
          </w:p>
        </w:tc>
        <w:tc>
          <w:tcPr>
            <w:tcW w:w="1248" w:type="dxa"/>
            <w:tcBorders>
              <w:top w:val="single" w:color="auto" w:sz="12" w:space="0"/>
              <w:left w:val="nil"/>
              <w:bottom w:val="single" w:color="auto" w:sz="8" w:space="0"/>
              <w:right w:val="nil"/>
            </w:tcBorders>
            <w:noWrap/>
            <w:tcMar>
              <w:top w:w="15" w:type="dxa"/>
              <w:left w:w="15" w:type="dxa"/>
              <w:right w:w="15" w:type="dxa"/>
            </w:tcMar>
            <w:vAlign w:val="center"/>
          </w:tcPr>
          <w:p>
            <w:pPr>
              <w:spacing w:line="240" w:lineRule="atLeast"/>
              <w:jc w:val="center"/>
              <w:textAlignment w:val="center"/>
              <w:rPr>
                <w:rFonts w:ascii="Arial" w:hAnsi="Arial" w:cs="Arial"/>
                <w:sz w:val="20"/>
                <w:szCs w:val="20"/>
              </w:rPr>
            </w:pPr>
            <w:r>
              <w:rPr>
                <w:rFonts w:ascii="Arial" w:hAnsi="Arial" w:cs="Arial"/>
                <w:sz w:val="20"/>
                <w:szCs w:val="20"/>
              </w:rPr>
              <w:t>2015</w:t>
            </w:r>
          </w:p>
        </w:tc>
        <w:tc>
          <w:tcPr>
            <w:tcW w:w="1496" w:type="dxa"/>
            <w:tcBorders>
              <w:top w:val="single" w:color="auto" w:sz="12" w:space="0"/>
              <w:left w:val="nil"/>
              <w:bottom w:val="single" w:color="auto" w:sz="8" w:space="0"/>
              <w:right w:val="nil"/>
            </w:tcBorders>
            <w:noWrap/>
            <w:tcMar>
              <w:top w:w="15" w:type="dxa"/>
              <w:left w:w="15" w:type="dxa"/>
              <w:right w:w="15" w:type="dxa"/>
            </w:tcMar>
            <w:vAlign w:val="center"/>
          </w:tcPr>
          <w:p>
            <w:pPr>
              <w:spacing w:line="240" w:lineRule="atLeast"/>
              <w:jc w:val="center"/>
              <w:textAlignment w:val="center"/>
              <w:rPr>
                <w:rFonts w:ascii="Arial" w:hAnsi="Arial" w:cs="Arial"/>
                <w:sz w:val="20"/>
                <w:szCs w:val="20"/>
              </w:rPr>
            </w:pPr>
            <w:r>
              <w:rPr>
                <w:rFonts w:ascii="Arial" w:hAnsi="Arial" w:cs="Arial"/>
                <w:sz w:val="20"/>
                <w:szCs w:val="20"/>
              </w:rPr>
              <w:t>2016</w:t>
            </w:r>
          </w:p>
        </w:tc>
      </w:tr>
      <w:tr>
        <w:tblPrEx>
          <w:tblCellMar>
            <w:top w:w="0" w:type="dxa"/>
            <w:left w:w="0" w:type="dxa"/>
            <w:bottom w:w="0" w:type="dxa"/>
            <w:right w:w="0" w:type="dxa"/>
          </w:tblCellMar>
        </w:tblPrEx>
        <w:trPr>
          <w:trHeight w:val="283" w:hRule="atLeast"/>
        </w:trPr>
        <w:tc>
          <w:tcPr>
            <w:tcW w:w="1697" w:type="dxa"/>
            <w:tcBorders>
              <w:top w:val="single" w:color="auto" w:sz="8" w:space="0"/>
              <w:left w:val="nil"/>
              <w:bottom w:val="nil"/>
              <w:right w:val="nil"/>
            </w:tcBorders>
            <w:noWrap/>
            <w:tcMar>
              <w:top w:w="15" w:type="dxa"/>
              <w:left w:w="15" w:type="dxa"/>
              <w:right w:w="15" w:type="dxa"/>
            </w:tcMar>
            <w:vAlign w:val="center"/>
          </w:tcPr>
          <w:p>
            <w:pPr>
              <w:ind w:firstLine="200" w:firstLineChars="100"/>
              <w:jc w:val="center"/>
              <w:textAlignment w:val="center"/>
              <w:rPr>
                <w:rFonts w:ascii="Arial" w:hAnsi="Arial" w:cs="Arial" w:eastAsiaTheme="minorEastAsia"/>
                <w:sz w:val="20"/>
                <w:szCs w:val="20"/>
                <w:lang w:eastAsia="zh-CN"/>
              </w:rPr>
            </w:pPr>
            <w:r>
              <w:rPr>
                <w:rFonts w:ascii="Arial" w:hAnsi="Arial" w:cs="Arial"/>
                <w:sz w:val="20"/>
                <w:szCs w:val="20"/>
                <w:lang w:eastAsia="zh-CN"/>
              </w:rPr>
              <w:t>Northeast</w:t>
            </w:r>
          </w:p>
        </w:tc>
        <w:tc>
          <w:tcPr>
            <w:tcW w:w="1247"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0.0689</w:t>
            </w:r>
          </w:p>
        </w:tc>
        <w:tc>
          <w:tcPr>
            <w:tcW w:w="1247"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0.1471</w:t>
            </w:r>
          </w:p>
        </w:tc>
        <w:tc>
          <w:tcPr>
            <w:tcW w:w="1248"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0.2314</w:t>
            </w:r>
          </w:p>
        </w:tc>
        <w:tc>
          <w:tcPr>
            <w:tcW w:w="1248"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0.3287</w:t>
            </w:r>
          </w:p>
        </w:tc>
        <w:tc>
          <w:tcPr>
            <w:tcW w:w="1496"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0.4028</w:t>
            </w:r>
          </w:p>
        </w:tc>
      </w:tr>
      <w:tr>
        <w:tblPrEx>
          <w:tblCellMar>
            <w:top w:w="0" w:type="dxa"/>
            <w:left w:w="0" w:type="dxa"/>
            <w:bottom w:w="0" w:type="dxa"/>
            <w:right w:w="0" w:type="dxa"/>
          </w:tblCellMar>
        </w:tblPrEx>
        <w:trPr>
          <w:trHeight w:val="283" w:hRule="atLeast"/>
        </w:trPr>
        <w:tc>
          <w:tcPr>
            <w:tcW w:w="1697" w:type="dxa"/>
            <w:tcBorders>
              <w:top w:val="nil"/>
              <w:left w:val="nil"/>
              <w:bottom w:val="nil"/>
              <w:right w:val="nil"/>
            </w:tcBorders>
            <w:noWrap/>
            <w:tcMar>
              <w:top w:w="15" w:type="dxa"/>
              <w:left w:w="15" w:type="dxa"/>
              <w:right w:w="15" w:type="dxa"/>
            </w:tcMar>
            <w:vAlign w:val="center"/>
          </w:tcPr>
          <w:p>
            <w:pPr>
              <w:ind w:firstLine="200" w:firstLineChars="100"/>
              <w:jc w:val="center"/>
              <w:textAlignment w:val="center"/>
              <w:rPr>
                <w:rFonts w:ascii="Arial" w:hAnsi="Arial" w:cs="Arial" w:eastAsiaTheme="minorEastAsia"/>
                <w:sz w:val="20"/>
                <w:szCs w:val="20"/>
                <w:lang w:eastAsia="zh-CN"/>
              </w:rPr>
            </w:pPr>
            <w:r>
              <w:rPr>
                <w:rFonts w:ascii="Arial" w:hAnsi="Arial" w:cs="Arial"/>
                <w:sz w:val="20"/>
                <w:szCs w:val="20"/>
                <w:lang w:eastAsia="zh-CN"/>
              </w:rPr>
              <w:t>North</w:t>
            </w:r>
          </w:p>
        </w:tc>
        <w:tc>
          <w:tcPr>
            <w:tcW w:w="1247"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0.1605</w:t>
            </w:r>
          </w:p>
        </w:tc>
        <w:tc>
          <w:tcPr>
            <w:tcW w:w="1247"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eastAsia="宋体" w:cs="Arial"/>
                <w:sz w:val="20"/>
                <w:szCs w:val="20"/>
                <w:lang w:eastAsia="zh-CN"/>
              </w:rPr>
            </w:pPr>
            <w:r>
              <w:rPr>
                <w:rFonts w:ascii="Arial" w:hAnsi="Arial" w:cs="Arial"/>
                <w:sz w:val="20"/>
                <w:szCs w:val="20"/>
                <w:lang w:bidi="ar"/>
              </w:rPr>
              <w:t>0.269</w:t>
            </w:r>
            <w:r>
              <w:rPr>
                <w:rFonts w:ascii="Arial" w:hAnsi="Arial" w:cs="Arial"/>
                <w:sz w:val="20"/>
                <w:szCs w:val="20"/>
                <w:lang w:eastAsia="zh-CN" w:bidi="ar"/>
              </w:rPr>
              <w:t>0</w:t>
            </w:r>
          </w:p>
        </w:tc>
        <w:tc>
          <w:tcPr>
            <w:tcW w:w="1248"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0.3759</w:t>
            </w:r>
          </w:p>
        </w:tc>
        <w:tc>
          <w:tcPr>
            <w:tcW w:w="1248"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0.4824</w:t>
            </w:r>
          </w:p>
        </w:tc>
        <w:tc>
          <w:tcPr>
            <w:tcW w:w="1496"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0.6024</w:t>
            </w:r>
          </w:p>
        </w:tc>
      </w:tr>
      <w:tr>
        <w:tblPrEx>
          <w:tblCellMar>
            <w:top w:w="0" w:type="dxa"/>
            <w:left w:w="0" w:type="dxa"/>
            <w:bottom w:w="0" w:type="dxa"/>
            <w:right w:w="0" w:type="dxa"/>
          </w:tblCellMar>
        </w:tblPrEx>
        <w:trPr>
          <w:trHeight w:val="283" w:hRule="atLeast"/>
        </w:trPr>
        <w:tc>
          <w:tcPr>
            <w:tcW w:w="1697" w:type="dxa"/>
            <w:tcBorders>
              <w:top w:val="nil"/>
              <w:left w:val="nil"/>
              <w:bottom w:val="nil"/>
              <w:right w:val="nil"/>
            </w:tcBorders>
            <w:noWrap/>
            <w:tcMar>
              <w:top w:w="15" w:type="dxa"/>
              <w:left w:w="15" w:type="dxa"/>
              <w:right w:w="15" w:type="dxa"/>
            </w:tcMar>
            <w:vAlign w:val="center"/>
          </w:tcPr>
          <w:p>
            <w:pPr>
              <w:ind w:firstLine="200" w:firstLineChars="100"/>
              <w:jc w:val="center"/>
              <w:textAlignment w:val="center"/>
              <w:rPr>
                <w:rFonts w:ascii="Arial" w:hAnsi="Arial" w:cs="Arial" w:eastAsiaTheme="minorEastAsia"/>
                <w:sz w:val="20"/>
                <w:szCs w:val="20"/>
                <w:lang w:eastAsia="zh-CN"/>
              </w:rPr>
            </w:pPr>
            <w:r>
              <w:rPr>
                <w:rFonts w:ascii="Arial" w:hAnsi="Arial" w:cs="Arial"/>
                <w:sz w:val="20"/>
                <w:szCs w:val="20"/>
                <w:lang w:eastAsia="zh-CN"/>
              </w:rPr>
              <w:t>East</w:t>
            </w:r>
          </w:p>
        </w:tc>
        <w:tc>
          <w:tcPr>
            <w:tcW w:w="1247"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0.3132</w:t>
            </w:r>
          </w:p>
        </w:tc>
        <w:tc>
          <w:tcPr>
            <w:tcW w:w="1247"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0.7237</w:t>
            </w:r>
          </w:p>
        </w:tc>
        <w:tc>
          <w:tcPr>
            <w:tcW w:w="1248"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eastAsia="宋体" w:cs="Arial"/>
                <w:sz w:val="20"/>
                <w:szCs w:val="20"/>
                <w:lang w:eastAsia="zh-CN"/>
              </w:rPr>
            </w:pPr>
            <w:r>
              <w:rPr>
                <w:rFonts w:ascii="Arial" w:hAnsi="Arial" w:cs="Arial"/>
                <w:sz w:val="20"/>
                <w:szCs w:val="20"/>
                <w:lang w:bidi="ar"/>
              </w:rPr>
              <w:t>0.993</w:t>
            </w:r>
            <w:r>
              <w:rPr>
                <w:rFonts w:ascii="Arial" w:hAnsi="Arial" w:cs="Arial"/>
                <w:sz w:val="20"/>
                <w:szCs w:val="20"/>
                <w:lang w:eastAsia="zh-CN" w:bidi="ar"/>
              </w:rPr>
              <w:t>0</w:t>
            </w:r>
          </w:p>
        </w:tc>
        <w:tc>
          <w:tcPr>
            <w:tcW w:w="1248"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1.0986</w:t>
            </w:r>
          </w:p>
        </w:tc>
        <w:tc>
          <w:tcPr>
            <w:tcW w:w="1496"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1.3206</w:t>
            </w:r>
          </w:p>
        </w:tc>
      </w:tr>
      <w:tr>
        <w:tblPrEx>
          <w:tblCellMar>
            <w:top w:w="0" w:type="dxa"/>
            <w:left w:w="0" w:type="dxa"/>
            <w:bottom w:w="0" w:type="dxa"/>
            <w:right w:w="0" w:type="dxa"/>
          </w:tblCellMar>
        </w:tblPrEx>
        <w:trPr>
          <w:trHeight w:val="283" w:hRule="atLeast"/>
        </w:trPr>
        <w:tc>
          <w:tcPr>
            <w:tcW w:w="1697" w:type="dxa"/>
            <w:tcBorders>
              <w:top w:val="nil"/>
              <w:left w:val="nil"/>
              <w:bottom w:val="nil"/>
              <w:right w:val="nil"/>
            </w:tcBorders>
            <w:noWrap/>
            <w:tcMar>
              <w:top w:w="15" w:type="dxa"/>
              <w:left w:w="15" w:type="dxa"/>
              <w:right w:w="15" w:type="dxa"/>
            </w:tcMar>
            <w:vAlign w:val="center"/>
          </w:tcPr>
          <w:p>
            <w:pPr>
              <w:ind w:firstLine="200" w:firstLineChars="100"/>
              <w:jc w:val="center"/>
              <w:textAlignment w:val="center"/>
              <w:rPr>
                <w:rFonts w:ascii="Arial" w:hAnsi="Arial" w:cs="Arial" w:eastAsiaTheme="minorEastAsia"/>
                <w:sz w:val="20"/>
                <w:szCs w:val="20"/>
                <w:lang w:eastAsia="zh-CN"/>
              </w:rPr>
            </w:pPr>
            <w:r>
              <w:rPr>
                <w:rFonts w:ascii="Arial" w:hAnsi="Arial" w:cs="Arial"/>
                <w:sz w:val="20"/>
                <w:szCs w:val="20"/>
                <w:lang w:eastAsia="zh-CN"/>
              </w:rPr>
              <w:t>South</w:t>
            </w:r>
          </w:p>
        </w:tc>
        <w:tc>
          <w:tcPr>
            <w:tcW w:w="1247"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0.0357</w:t>
            </w:r>
          </w:p>
        </w:tc>
        <w:tc>
          <w:tcPr>
            <w:tcW w:w="1247"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0.1111</w:t>
            </w:r>
          </w:p>
        </w:tc>
        <w:tc>
          <w:tcPr>
            <w:tcW w:w="1248"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0.1526</w:t>
            </w:r>
          </w:p>
        </w:tc>
        <w:tc>
          <w:tcPr>
            <w:tcW w:w="1248"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0.1586</w:t>
            </w:r>
          </w:p>
        </w:tc>
        <w:tc>
          <w:tcPr>
            <w:tcW w:w="1496"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0.1951</w:t>
            </w:r>
          </w:p>
        </w:tc>
      </w:tr>
      <w:tr>
        <w:tblPrEx>
          <w:tblCellMar>
            <w:top w:w="0" w:type="dxa"/>
            <w:left w:w="0" w:type="dxa"/>
            <w:bottom w:w="0" w:type="dxa"/>
            <w:right w:w="0" w:type="dxa"/>
          </w:tblCellMar>
        </w:tblPrEx>
        <w:trPr>
          <w:trHeight w:val="283" w:hRule="atLeast"/>
        </w:trPr>
        <w:tc>
          <w:tcPr>
            <w:tcW w:w="1697" w:type="dxa"/>
            <w:tcBorders>
              <w:top w:val="nil"/>
              <w:left w:val="nil"/>
              <w:bottom w:val="nil"/>
              <w:right w:val="nil"/>
            </w:tcBorders>
            <w:noWrap/>
            <w:tcMar>
              <w:top w:w="15" w:type="dxa"/>
              <w:left w:w="15" w:type="dxa"/>
              <w:right w:w="15" w:type="dxa"/>
            </w:tcMar>
            <w:vAlign w:val="center"/>
          </w:tcPr>
          <w:p>
            <w:pPr>
              <w:ind w:firstLine="200" w:firstLineChars="100"/>
              <w:jc w:val="center"/>
              <w:textAlignment w:val="center"/>
              <w:rPr>
                <w:rFonts w:ascii="Arial" w:hAnsi="Arial" w:cs="Arial" w:eastAsiaTheme="minorEastAsia"/>
                <w:sz w:val="20"/>
                <w:szCs w:val="20"/>
                <w:lang w:eastAsia="zh-CN"/>
              </w:rPr>
            </w:pPr>
            <w:r>
              <w:rPr>
                <w:rFonts w:ascii="Arial" w:hAnsi="Arial" w:cs="Arial"/>
                <w:sz w:val="20"/>
                <w:szCs w:val="20"/>
                <w:lang w:eastAsia="zh-CN"/>
              </w:rPr>
              <w:t>Midlands</w:t>
            </w:r>
          </w:p>
        </w:tc>
        <w:tc>
          <w:tcPr>
            <w:tcW w:w="1247"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0.2041</w:t>
            </w:r>
          </w:p>
        </w:tc>
        <w:tc>
          <w:tcPr>
            <w:tcW w:w="1247"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0.3577</w:t>
            </w:r>
          </w:p>
        </w:tc>
        <w:tc>
          <w:tcPr>
            <w:tcW w:w="1248"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0.4549</w:t>
            </w:r>
          </w:p>
        </w:tc>
        <w:tc>
          <w:tcPr>
            <w:tcW w:w="1248"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0.3958</w:t>
            </w:r>
          </w:p>
        </w:tc>
        <w:tc>
          <w:tcPr>
            <w:tcW w:w="1496"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0.4914</w:t>
            </w:r>
          </w:p>
        </w:tc>
      </w:tr>
      <w:tr>
        <w:tblPrEx>
          <w:tblCellMar>
            <w:top w:w="0" w:type="dxa"/>
            <w:left w:w="0" w:type="dxa"/>
            <w:bottom w:w="0" w:type="dxa"/>
            <w:right w:w="0" w:type="dxa"/>
          </w:tblCellMar>
        </w:tblPrEx>
        <w:trPr>
          <w:trHeight w:val="283" w:hRule="atLeast"/>
        </w:trPr>
        <w:tc>
          <w:tcPr>
            <w:tcW w:w="1697" w:type="dxa"/>
            <w:tcBorders>
              <w:top w:val="nil"/>
              <w:left w:val="nil"/>
              <w:bottom w:val="nil"/>
              <w:right w:val="nil"/>
            </w:tcBorders>
            <w:noWrap/>
            <w:tcMar>
              <w:top w:w="15" w:type="dxa"/>
              <w:left w:w="15" w:type="dxa"/>
              <w:right w:w="15" w:type="dxa"/>
            </w:tcMar>
            <w:vAlign w:val="center"/>
          </w:tcPr>
          <w:p>
            <w:pPr>
              <w:ind w:firstLine="200" w:firstLineChars="100"/>
              <w:jc w:val="center"/>
              <w:textAlignment w:val="center"/>
              <w:rPr>
                <w:rFonts w:ascii="Arial" w:hAnsi="Arial" w:cs="Arial" w:eastAsiaTheme="minorEastAsia"/>
                <w:sz w:val="20"/>
                <w:szCs w:val="20"/>
                <w:lang w:eastAsia="zh-CN"/>
              </w:rPr>
            </w:pPr>
            <w:r>
              <w:rPr>
                <w:rFonts w:ascii="Arial" w:hAnsi="Arial" w:cs="Arial"/>
                <w:sz w:val="20"/>
                <w:szCs w:val="20"/>
                <w:lang w:eastAsia="zh-CN"/>
              </w:rPr>
              <w:t>Northwest</w:t>
            </w:r>
          </w:p>
        </w:tc>
        <w:tc>
          <w:tcPr>
            <w:tcW w:w="1247"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0.0072</w:t>
            </w:r>
          </w:p>
        </w:tc>
        <w:tc>
          <w:tcPr>
            <w:tcW w:w="1247"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0.0131</w:t>
            </w:r>
          </w:p>
        </w:tc>
        <w:tc>
          <w:tcPr>
            <w:tcW w:w="1248"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0.0157</w:t>
            </w:r>
          </w:p>
        </w:tc>
        <w:tc>
          <w:tcPr>
            <w:tcW w:w="1248"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0.0389</w:t>
            </w:r>
          </w:p>
        </w:tc>
        <w:tc>
          <w:tcPr>
            <w:tcW w:w="1496"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0.0458</w:t>
            </w:r>
          </w:p>
        </w:tc>
      </w:tr>
      <w:tr>
        <w:tblPrEx>
          <w:tblCellMar>
            <w:top w:w="0" w:type="dxa"/>
            <w:left w:w="0" w:type="dxa"/>
            <w:bottom w:w="0" w:type="dxa"/>
            <w:right w:w="0" w:type="dxa"/>
          </w:tblCellMar>
        </w:tblPrEx>
        <w:trPr>
          <w:trHeight w:val="283" w:hRule="atLeast"/>
        </w:trPr>
        <w:tc>
          <w:tcPr>
            <w:tcW w:w="1697" w:type="dxa"/>
            <w:tcBorders>
              <w:top w:val="nil"/>
              <w:left w:val="nil"/>
              <w:bottom w:val="single" w:color="auto" w:sz="12" w:space="0"/>
              <w:right w:val="nil"/>
            </w:tcBorders>
            <w:noWrap/>
            <w:tcMar>
              <w:top w:w="15" w:type="dxa"/>
              <w:left w:w="15" w:type="dxa"/>
              <w:right w:w="15" w:type="dxa"/>
            </w:tcMar>
            <w:vAlign w:val="center"/>
          </w:tcPr>
          <w:p>
            <w:pPr>
              <w:ind w:firstLine="200" w:firstLineChars="100"/>
              <w:jc w:val="center"/>
              <w:textAlignment w:val="center"/>
              <w:rPr>
                <w:rFonts w:ascii="Arial" w:hAnsi="Arial" w:cs="Arial" w:eastAsiaTheme="minorEastAsia"/>
                <w:sz w:val="20"/>
                <w:szCs w:val="20"/>
                <w:lang w:eastAsia="zh-CN"/>
              </w:rPr>
            </w:pPr>
            <w:r>
              <w:rPr>
                <w:rFonts w:ascii="Arial" w:hAnsi="Arial" w:cs="Arial"/>
                <w:sz w:val="20"/>
                <w:szCs w:val="20"/>
                <w:lang w:eastAsia="zh-CN"/>
              </w:rPr>
              <w:t>Southwest</w:t>
            </w:r>
          </w:p>
        </w:tc>
        <w:tc>
          <w:tcPr>
            <w:tcW w:w="1247"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0.1067</w:t>
            </w:r>
          </w:p>
        </w:tc>
        <w:tc>
          <w:tcPr>
            <w:tcW w:w="1247"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0.2669</w:t>
            </w:r>
          </w:p>
        </w:tc>
        <w:tc>
          <w:tcPr>
            <w:tcW w:w="1248"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0.3586</w:t>
            </w:r>
          </w:p>
        </w:tc>
        <w:tc>
          <w:tcPr>
            <w:tcW w:w="1248"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0.2255</w:t>
            </w:r>
          </w:p>
        </w:tc>
        <w:tc>
          <w:tcPr>
            <w:tcW w:w="1496"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lang w:bidi="ar"/>
              </w:rPr>
              <w:t>0.2862</w:t>
            </w:r>
          </w:p>
        </w:tc>
      </w:tr>
    </w:tbl>
    <w:p>
      <w:pPr>
        <w:rPr>
          <w:rFonts w:ascii="Arial" w:hAnsi="Arial" w:eastAsia="宋体" w:cs="Arial"/>
          <w:sz w:val="20"/>
          <w:szCs w:val="20"/>
          <w:lang w:eastAsia="zh-CN"/>
        </w:rPr>
      </w:pPr>
      <w:r>
        <w:rPr>
          <w:rFonts w:ascii="Arial" w:hAnsi="Arial" w:cs="Arial"/>
          <w:sz w:val="20"/>
          <w:szCs w:val="20"/>
        </w:rPr>
        <w:t>Each cell in the table represents  the number of premature deaths due to PM</w:t>
      </w:r>
      <w:r>
        <w:rPr>
          <w:rFonts w:ascii="Arial" w:hAnsi="Arial" w:cs="Arial"/>
          <w:sz w:val="20"/>
          <w:szCs w:val="20"/>
          <w:vertAlign w:val="subscript"/>
        </w:rPr>
        <w:t>2.5</w:t>
      </w:r>
      <w:r>
        <w:rPr>
          <w:rFonts w:ascii="Arial" w:hAnsi="Arial" w:cs="Arial"/>
          <w:sz w:val="20"/>
          <w:szCs w:val="20"/>
          <w:lang w:eastAsia="zh-CN"/>
        </w:rPr>
        <w:t xml:space="preserve"> (in ten thousand)</w:t>
      </w:r>
      <w:r>
        <w:rPr>
          <w:rFonts w:ascii="Arial" w:hAnsi="Arial" w:cs="Arial"/>
          <w:sz w:val="20"/>
          <w:szCs w:val="20"/>
        </w:rPr>
        <w:t xml:space="preserve"> in seven regions from 2000 to 2016. The division into seven major regions is based on the geographical factors of each city</w:t>
      </w:r>
      <w:r>
        <w:rPr>
          <w:rFonts w:ascii="Arial" w:hAnsi="Arial" w:eastAsia="宋体" w:cs="Arial"/>
          <w:sz w:val="20"/>
          <w:szCs w:val="20"/>
          <w:lang w:eastAsia="zh-CN"/>
        </w:rPr>
        <w:t>.</w:t>
      </w:r>
    </w:p>
    <w:p>
      <w:pPr>
        <w:rPr>
          <w:rFonts w:ascii="Arial" w:hAnsi="Arial" w:cs="Arial"/>
          <w:color w:val="333333"/>
          <w:sz w:val="20"/>
          <w:szCs w:val="20"/>
        </w:rPr>
      </w:pPr>
      <w:r>
        <w:rPr>
          <w:rFonts w:ascii="Arial" w:hAnsi="Arial" w:cs="Arial"/>
          <w:color w:val="333333"/>
          <w:sz w:val="20"/>
          <w:szCs w:val="20"/>
        </w:rPr>
        <w:br w:type="page"/>
      </w:r>
    </w:p>
    <w:p>
      <w:pPr>
        <w:spacing w:after="0"/>
        <w:rPr>
          <w:rFonts w:ascii="Arial" w:hAnsi="Arial" w:cs="Arial"/>
          <w:sz w:val="20"/>
          <w:szCs w:val="20"/>
        </w:rPr>
      </w:pPr>
      <w:r>
        <w:rPr>
          <w:rFonts w:ascii="Arial" w:hAnsi="Arial" w:cs="Arial"/>
          <w:b/>
          <w:bCs/>
          <w:sz w:val="20"/>
          <w:szCs w:val="20"/>
        </w:rPr>
        <w:t xml:space="preserve">Table </w:t>
      </w:r>
      <w:r>
        <w:rPr>
          <w:rFonts w:hint="eastAsia" w:ascii="Arial" w:hAnsi="Arial" w:cs="Arial"/>
          <w:b/>
          <w:bCs/>
          <w:sz w:val="20"/>
          <w:szCs w:val="20"/>
          <w:lang w:val="en-US" w:eastAsia="zh-CN"/>
        </w:rPr>
        <w:t>S</w:t>
      </w:r>
      <w:r>
        <w:rPr>
          <w:rFonts w:hint="eastAsia" w:ascii="Arial" w:hAnsi="Arial" w:eastAsia="宋体" w:cs="Arial"/>
          <w:b/>
          <w:bCs/>
          <w:sz w:val="20"/>
          <w:szCs w:val="20"/>
          <w:lang w:val="en-US" w:eastAsia="zh-CN"/>
        </w:rPr>
        <w:t>5</w:t>
      </w:r>
      <w:r>
        <w:rPr>
          <w:rFonts w:ascii="Arial" w:hAnsi="Arial" w:eastAsia="宋体" w:cs="Arial"/>
          <w:b/>
          <w:bCs/>
          <w:sz w:val="20"/>
          <w:szCs w:val="20"/>
          <w:lang w:eastAsia="zh-CN"/>
        </w:rPr>
        <w:t>.</w:t>
      </w:r>
      <w:r>
        <w:rPr>
          <w:rFonts w:ascii="Arial" w:hAnsi="Arial" w:eastAsia="宋体" w:cs="Arial"/>
          <w:b w:val="0"/>
          <w:bCs w:val="0"/>
          <w:sz w:val="20"/>
          <w:szCs w:val="20"/>
          <w:lang w:eastAsia="zh-CN"/>
        </w:rPr>
        <w:t xml:space="preserve"> Estimated </w:t>
      </w:r>
      <w:r>
        <w:rPr>
          <w:rFonts w:ascii="Arial" w:hAnsi="Arial" w:cs="Arial"/>
          <w:b w:val="0"/>
          <w:bCs w:val="0"/>
          <w:sz w:val="20"/>
          <w:szCs w:val="20"/>
        </w:rPr>
        <w:t>number of diseases attributed to PM</w:t>
      </w:r>
      <w:r>
        <w:rPr>
          <w:rFonts w:ascii="Arial" w:hAnsi="Arial" w:cs="Arial"/>
          <w:b w:val="0"/>
          <w:bCs w:val="0"/>
          <w:sz w:val="20"/>
          <w:szCs w:val="20"/>
          <w:vertAlign w:val="subscript"/>
        </w:rPr>
        <w:t>2.5</w:t>
      </w:r>
      <w:r>
        <w:rPr>
          <w:rFonts w:ascii="Arial" w:hAnsi="Arial" w:cs="Arial"/>
          <w:b w:val="0"/>
          <w:bCs w:val="0"/>
          <w:sz w:val="20"/>
          <w:szCs w:val="20"/>
        </w:rPr>
        <w:t xml:space="preserve"> in the seven regions</w:t>
      </w:r>
      <w:r>
        <w:rPr>
          <w:rFonts w:ascii="Arial" w:hAnsi="Arial" w:cs="Arial"/>
          <w:b w:val="0"/>
          <w:bCs w:val="0"/>
          <w:sz w:val="20"/>
          <w:szCs w:val="20"/>
          <w:lang w:eastAsia="zh-CN"/>
        </w:rPr>
        <w:t>(in ten thousand)</w:t>
      </w:r>
    </w:p>
    <w:tbl>
      <w:tblPr>
        <w:tblStyle w:val="88"/>
        <w:tblW w:w="8567" w:type="dxa"/>
        <w:jc w:val="center"/>
        <w:tblLayout w:type="fixed"/>
        <w:tblCellMar>
          <w:top w:w="0" w:type="dxa"/>
          <w:left w:w="0" w:type="dxa"/>
          <w:bottom w:w="0" w:type="dxa"/>
          <w:right w:w="0" w:type="dxa"/>
        </w:tblCellMar>
      </w:tblPr>
      <w:tblGrid>
        <w:gridCol w:w="2087"/>
        <w:gridCol w:w="1250"/>
        <w:gridCol w:w="1275"/>
        <w:gridCol w:w="1272"/>
        <w:gridCol w:w="1413"/>
        <w:gridCol w:w="1270"/>
      </w:tblGrid>
      <w:tr>
        <w:tblPrEx>
          <w:tblCellMar>
            <w:top w:w="0" w:type="dxa"/>
            <w:left w:w="0" w:type="dxa"/>
            <w:bottom w:w="0" w:type="dxa"/>
            <w:right w:w="0" w:type="dxa"/>
          </w:tblCellMar>
        </w:tblPrEx>
        <w:trPr>
          <w:trHeight w:val="283" w:hRule="atLeast"/>
          <w:jc w:val="center"/>
        </w:trPr>
        <w:tc>
          <w:tcPr>
            <w:tcW w:w="2087" w:type="dxa"/>
            <w:tcBorders>
              <w:top w:val="single" w:color="auto" w:sz="12" w:space="0"/>
              <w:left w:val="nil"/>
              <w:bottom w:val="single" w:color="auto" w:sz="8" w:space="0"/>
              <w:right w:val="nil"/>
            </w:tcBorders>
            <w:noWrap/>
            <w:tcMar>
              <w:top w:w="15" w:type="dxa"/>
              <w:left w:w="15" w:type="dxa"/>
              <w:right w:w="15" w:type="dxa"/>
            </w:tcMar>
            <w:vAlign w:val="center"/>
          </w:tcPr>
          <w:p>
            <w:pPr>
              <w:jc w:val="center"/>
              <w:rPr>
                <w:rFonts w:ascii="Arial" w:hAnsi="Arial" w:cs="Arial" w:eastAsiaTheme="minorEastAsia"/>
                <w:sz w:val="20"/>
                <w:szCs w:val="20"/>
                <w:lang w:eastAsia="zh-CN"/>
              </w:rPr>
            </w:pPr>
            <w:r>
              <w:rPr>
                <w:rFonts w:ascii="Arial" w:hAnsi="Arial" w:cs="Arial"/>
                <w:sz w:val="20"/>
                <w:szCs w:val="20"/>
                <w:lang w:eastAsia="zh-CN"/>
              </w:rPr>
              <w:t xml:space="preserve"> Regions</w:t>
            </w:r>
          </w:p>
        </w:tc>
        <w:tc>
          <w:tcPr>
            <w:tcW w:w="1250"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2000</w:t>
            </w:r>
          </w:p>
        </w:tc>
        <w:tc>
          <w:tcPr>
            <w:tcW w:w="1275"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2005</w:t>
            </w:r>
          </w:p>
        </w:tc>
        <w:tc>
          <w:tcPr>
            <w:tcW w:w="1272"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2010</w:t>
            </w:r>
          </w:p>
        </w:tc>
        <w:tc>
          <w:tcPr>
            <w:tcW w:w="1413"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2015</w:t>
            </w:r>
          </w:p>
        </w:tc>
        <w:tc>
          <w:tcPr>
            <w:tcW w:w="1270"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2016</w:t>
            </w:r>
          </w:p>
        </w:tc>
      </w:tr>
      <w:tr>
        <w:tblPrEx>
          <w:tblCellMar>
            <w:top w:w="0" w:type="dxa"/>
            <w:left w:w="0" w:type="dxa"/>
            <w:bottom w:w="0" w:type="dxa"/>
            <w:right w:w="0" w:type="dxa"/>
          </w:tblCellMar>
        </w:tblPrEx>
        <w:trPr>
          <w:trHeight w:val="283" w:hRule="atLeast"/>
          <w:jc w:val="center"/>
        </w:trPr>
        <w:tc>
          <w:tcPr>
            <w:tcW w:w="2087" w:type="dxa"/>
            <w:tcBorders>
              <w:top w:val="single" w:color="auto" w:sz="8" w:space="0"/>
              <w:left w:val="nil"/>
              <w:bottom w:val="nil"/>
              <w:right w:val="nil"/>
            </w:tcBorders>
            <w:noWrap/>
            <w:tcMar>
              <w:top w:w="15" w:type="dxa"/>
              <w:left w:w="15" w:type="dxa"/>
              <w:right w:w="15" w:type="dxa"/>
            </w:tcMar>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Northeast</w:t>
            </w:r>
          </w:p>
        </w:tc>
        <w:tc>
          <w:tcPr>
            <w:tcW w:w="1250"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8.5778</w:t>
            </w:r>
          </w:p>
        </w:tc>
        <w:tc>
          <w:tcPr>
            <w:tcW w:w="1275"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20.5415</w:t>
            </w:r>
          </w:p>
        </w:tc>
        <w:tc>
          <w:tcPr>
            <w:tcW w:w="1272"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33.726</w:t>
            </w:r>
          </w:p>
        </w:tc>
        <w:tc>
          <w:tcPr>
            <w:tcW w:w="1413"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63.6069</w:t>
            </w:r>
          </w:p>
        </w:tc>
        <w:tc>
          <w:tcPr>
            <w:tcW w:w="1270"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66.9051</w:t>
            </w:r>
          </w:p>
        </w:tc>
      </w:tr>
      <w:tr>
        <w:tblPrEx>
          <w:tblCellMar>
            <w:top w:w="0" w:type="dxa"/>
            <w:left w:w="0" w:type="dxa"/>
            <w:bottom w:w="0" w:type="dxa"/>
            <w:right w:w="0" w:type="dxa"/>
          </w:tblCellMar>
        </w:tblPrEx>
        <w:trPr>
          <w:trHeight w:val="283" w:hRule="atLeast"/>
          <w:jc w:val="center"/>
        </w:trPr>
        <w:tc>
          <w:tcPr>
            <w:tcW w:w="2087" w:type="dxa"/>
            <w:tcBorders>
              <w:top w:val="nil"/>
              <w:left w:val="nil"/>
              <w:bottom w:val="nil"/>
              <w:right w:val="nil"/>
            </w:tcBorders>
            <w:noWrap/>
            <w:tcMar>
              <w:top w:w="15" w:type="dxa"/>
              <w:left w:w="15" w:type="dxa"/>
              <w:right w:w="15" w:type="dxa"/>
            </w:tcMar>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North</w:t>
            </w:r>
          </w:p>
        </w:tc>
        <w:tc>
          <w:tcPr>
            <w:tcW w:w="1250"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19.5669</w:t>
            </w:r>
          </w:p>
        </w:tc>
        <w:tc>
          <w:tcPr>
            <w:tcW w:w="1275"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36.7946</w:t>
            </w:r>
          </w:p>
        </w:tc>
        <w:tc>
          <w:tcPr>
            <w:tcW w:w="1272"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53.9668</w:t>
            </w:r>
          </w:p>
        </w:tc>
        <w:tc>
          <w:tcPr>
            <w:tcW w:w="1413"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93.1366</w:t>
            </w:r>
          </w:p>
        </w:tc>
        <w:tc>
          <w:tcPr>
            <w:tcW w:w="1270"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99.8263</w:t>
            </w:r>
          </w:p>
        </w:tc>
      </w:tr>
      <w:tr>
        <w:tblPrEx>
          <w:tblCellMar>
            <w:top w:w="0" w:type="dxa"/>
            <w:left w:w="0" w:type="dxa"/>
            <w:bottom w:w="0" w:type="dxa"/>
            <w:right w:w="0" w:type="dxa"/>
          </w:tblCellMar>
        </w:tblPrEx>
        <w:trPr>
          <w:trHeight w:val="283" w:hRule="atLeast"/>
          <w:jc w:val="center"/>
        </w:trPr>
        <w:tc>
          <w:tcPr>
            <w:tcW w:w="2087" w:type="dxa"/>
            <w:tcBorders>
              <w:top w:val="nil"/>
              <w:left w:val="nil"/>
              <w:bottom w:val="nil"/>
              <w:right w:val="nil"/>
            </w:tcBorders>
            <w:noWrap/>
            <w:tcMar>
              <w:top w:w="15" w:type="dxa"/>
              <w:left w:w="15" w:type="dxa"/>
              <w:right w:w="15" w:type="dxa"/>
            </w:tcMar>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East</w:t>
            </w:r>
          </w:p>
        </w:tc>
        <w:tc>
          <w:tcPr>
            <w:tcW w:w="1250"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eastAsia="宋体" w:cs="Arial"/>
                <w:sz w:val="20"/>
                <w:szCs w:val="20"/>
                <w:lang w:eastAsia="zh-CN"/>
              </w:rPr>
            </w:pPr>
            <w:r>
              <w:rPr>
                <w:rFonts w:ascii="Arial" w:hAnsi="Arial" w:cs="Arial"/>
                <w:sz w:val="20"/>
                <w:szCs w:val="20"/>
              </w:rPr>
              <w:t>38.474</w:t>
            </w:r>
            <w:r>
              <w:rPr>
                <w:rFonts w:ascii="Arial" w:hAnsi="Arial" w:cs="Arial"/>
                <w:sz w:val="20"/>
                <w:szCs w:val="20"/>
                <w:lang w:eastAsia="zh-CN"/>
              </w:rPr>
              <w:t>0</w:t>
            </w:r>
          </w:p>
        </w:tc>
        <w:tc>
          <w:tcPr>
            <w:tcW w:w="1275"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98.7456</w:t>
            </w:r>
          </w:p>
        </w:tc>
        <w:tc>
          <w:tcPr>
            <w:tcW w:w="1272"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142.3751</w:t>
            </w:r>
          </w:p>
        </w:tc>
        <w:tc>
          <w:tcPr>
            <w:tcW w:w="1413"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211.7791</w:t>
            </w:r>
          </w:p>
        </w:tc>
        <w:tc>
          <w:tcPr>
            <w:tcW w:w="1270"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218.4991</w:t>
            </w:r>
          </w:p>
        </w:tc>
      </w:tr>
      <w:tr>
        <w:tblPrEx>
          <w:tblCellMar>
            <w:top w:w="0" w:type="dxa"/>
            <w:left w:w="0" w:type="dxa"/>
            <w:bottom w:w="0" w:type="dxa"/>
            <w:right w:w="0" w:type="dxa"/>
          </w:tblCellMar>
        </w:tblPrEx>
        <w:trPr>
          <w:trHeight w:val="283" w:hRule="atLeast"/>
          <w:jc w:val="center"/>
        </w:trPr>
        <w:tc>
          <w:tcPr>
            <w:tcW w:w="2087" w:type="dxa"/>
            <w:tcBorders>
              <w:top w:val="nil"/>
              <w:left w:val="nil"/>
              <w:bottom w:val="nil"/>
              <w:right w:val="nil"/>
            </w:tcBorders>
            <w:noWrap/>
            <w:tcMar>
              <w:top w:w="15" w:type="dxa"/>
              <w:left w:w="15" w:type="dxa"/>
              <w:right w:w="15" w:type="dxa"/>
            </w:tcMar>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South</w:t>
            </w:r>
          </w:p>
        </w:tc>
        <w:tc>
          <w:tcPr>
            <w:tcW w:w="1250"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4.4506</w:t>
            </w:r>
          </w:p>
        </w:tc>
        <w:tc>
          <w:tcPr>
            <w:tcW w:w="1275"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15.4411</w:t>
            </w:r>
          </w:p>
        </w:tc>
        <w:tc>
          <w:tcPr>
            <w:tcW w:w="1272"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22.2777</w:t>
            </w:r>
          </w:p>
        </w:tc>
        <w:tc>
          <w:tcPr>
            <w:tcW w:w="1413"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31.0245</w:t>
            </w:r>
          </w:p>
        </w:tc>
        <w:tc>
          <w:tcPr>
            <w:tcW w:w="1270"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32.4004</w:t>
            </w:r>
          </w:p>
        </w:tc>
      </w:tr>
      <w:tr>
        <w:tblPrEx>
          <w:tblCellMar>
            <w:top w:w="0" w:type="dxa"/>
            <w:left w:w="0" w:type="dxa"/>
            <w:bottom w:w="0" w:type="dxa"/>
            <w:right w:w="0" w:type="dxa"/>
          </w:tblCellMar>
        </w:tblPrEx>
        <w:trPr>
          <w:trHeight w:val="283" w:hRule="atLeast"/>
          <w:jc w:val="center"/>
        </w:trPr>
        <w:tc>
          <w:tcPr>
            <w:tcW w:w="2087" w:type="dxa"/>
            <w:tcBorders>
              <w:top w:val="nil"/>
              <w:left w:val="nil"/>
              <w:bottom w:val="nil"/>
              <w:right w:val="nil"/>
            </w:tcBorders>
            <w:noWrap/>
            <w:tcMar>
              <w:top w:w="15" w:type="dxa"/>
              <w:left w:w="15" w:type="dxa"/>
              <w:right w:w="15" w:type="dxa"/>
            </w:tcMar>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Midlands</w:t>
            </w:r>
          </w:p>
        </w:tc>
        <w:tc>
          <w:tcPr>
            <w:tcW w:w="1250"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24.8875</w:t>
            </w:r>
          </w:p>
        </w:tc>
        <w:tc>
          <w:tcPr>
            <w:tcW w:w="1275"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49.4944</w:t>
            </w:r>
          </w:p>
        </w:tc>
        <w:tc>
          <w:tcPr>
            <w:tcW w:w="1272"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65.4933</w:t>
            </w:r>
          </w:p>
        </w:tc>
        <w:tc>
          <w:tcPr>
            <w:tcW w:w="1413"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76.6405</w:t>
            </w:r>
          </w:p>
        </w:tc>
        <w:tc>
          <w:tcPr>
            <w:tcW w:w="1270"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81.6477</w:t>
            </w:r>
          </w:p>
        </w:tc>
      </w:tr>
      <w:tr>
        <w:tblPrEx>
          <w:tblCellMar>
            <w:top w:w="0" w:type="dxa"/>
            <w:left w:w="0" w:type="dxa"/>
            <w:bottom w:w="0" w:type="dxa"/>
            <w:right w:w="0" w:type="dxa"/>
          </w:tblCellMar>
        </w:tblPrEx>
        <w:trPr>
          <w:trHeight w:val="283" w:hRule="atLeast"/>
          <w:jc w:val="center"/>
        </w:trPr>
        <w:tc>
          <w:tcPr>
            <w:tcW w:w="2087" w:type="dxa"/>
            <w:tcBorders>
              <w:top w:val="nil"/>
              <w:left w:val="nil"/>
              <w:bottom w:val="nil"/>
              <w:right w:val="nil"/>
            </w:tcBorders>
            <w:noWrap/>
            <w:tcMar>
              <w:top w:w="15" w:type="dxa"/>
              <w:left w:w="15" w:type="dxa"/>
              <w:right w:w="15" w:type="dxa"/>
            </w:tcMar>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Northwest</w:t>
            </w:r>
          </w:p>
        </w:tc>
        <w:tc>
          <w:tcPr>
            <w:tcW w:w="1250"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0.8902</w:t>
            </w:r>
          </w:p>
        </w:tc>
        <w:tc>
          <w:tcPr>
            <w:tcW w:w="1275"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1.8538</w:t>
            </w:r>
          </w:p>
        </w:tc>
        <w:tc>
          <w:tcPr>
            <w:tcW w:w="1272"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2.3279</w:t>
            </w:r>
          </w:p>
        </w:tc>
        <w:tc>
          <w:tcPr>
            <w:tcW w:w="1413"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7.5602</w:t>
            </w:r>
          </w:p>
        </w:tc>
        <w:tc>
          <w:tcPr>
            <w:tcW w:w="1270" w:type="dxa"/>
            <w:tcBorders>
              <w:top w:val="nil"/>
              <w:left w:val="nil"/>
              <w:bottom w:val="nil"/>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7.6418</w:t>
            </w:r>
          </w:p>
        </w:tc>
      </w:tr>
      <w:tr>
        <w:tblPrEx>
          <w:tblCellMar>
            <w:top w:w="0" w:type="dxa"/>
            <w:left w:w="0" w:type="dxa"/>
            <w:bottom w:w="0" w:type="dxa"/>
            <w:right w:w="0" w:type="dxa"/>
          </w:tblCellMar>
        </w:tblPrEx>
        <w:trPr>
          <w:trHeight w:val="283" w:hRule="atLeast"/>
          <w:jc w:val="center"/>
        </w:trPr>
        <w:tc>
          <w:tcPr>
            <w:tcW w:w="2087" w:type="dxa"/>
            <w:tcBorders>
              <w:top w:val="nil"/>
              <w:left w:val="nil"/>
              <w:bottom w:val="single" w:color="auto" w:sz="12" w:space="0"/>
              <w:right w:val="nil"/>
            </w:tcBorders>
            <w:noWrap/>
            <w:tcMar>
              <w:top w:w="15" w:type="dxa"/>
              <w:left w:w="15" w:type="dxa"/>
              <w:right w:w="15" w:type="dxa"/>
            </w:tcMar>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Southwest</w:t>
            </w:r>
          </w:p>
        </w:tc>
        <w:tc>
          <w:tcPr>
            <w:tcW w:w="1250"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13.2313</w:t>
            </w:r>
          </w:p>
        </w:tc>
        <w:tc>
          <w:tcPr>
            <w:tcW w:w="1275"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36.9667</w:t>
            </w:r>
          </w:p>
        </w:tc>
        <w:tc>
          <w:tcPr>
            <w:tcW w:w="1272"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52.2401</w:t>
            </w:r>
          </w:p>
        </w:tc>
        <w:tc>
          <w:tcPr>
            <w:tcW w:w="1413"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44.1802</w:t>
            </w:r>
          </w:p>
        </w:tc>
        <w:tc>
          <w:tcPr>
            <w:tcW w:w="1270"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Arial" w:hAnsi="Arial" w:cs="Arial"/>
                <w:sz w:val="20"/>
                <w:szCs w:val="20"/>
              </w:rPr>
            </w:pPr>
            <w:r>
              <w:rPr>
                <w:rFonts w:ascii="Arial" w:hAnsi="Arial" w:cs="Arial"/>
                <w:sz w:val="20"/>
                <w:szCs w:val="20"/>
              </w:rPr>
              <w:t>48.1203</w:t>
            </w:r>
          </w:p>
        </w:tc>
      </w:tr>
    </w:tbl>
    <w:p>
      <w:pPr>
        <w:rPr>
          <w:rFonts w:ascii="Arial" w:hAnsi="Arial" w:cs="Arial"/>
          <w:sz w:val="20"/>
          <w:szCs w:val="20"/>
          <w:lang w:eastAsia="zh-CN"/>
        </w:rPr>
      </w:pPr>
      <w:r>
        <w:rPr>
          <w:rFonts w:ascii="Arial" w:hAnsi="Arial" w:cs="Arial"/>
          <w:sz w:val="20"/>
          <w:szCs w:val="20"/>
          <w:lang w:eastAsia="zh-CN"/>
        </w:rPr>
        <w:t>Each cell in the table represents the number of diseases caused by PM</w:t>
      </w:r>
      <w:r>
        <w:rPr>
          <w:rFonts w:ascii="Arial" w:hAnsi="Arial" w:cs="Arial"/>
          <w:sz w:val="20"/>
          <w:szCs w:val="20"/>
          <w:vertAlign w:val="subscript"/>
          <w:lang w:eastAsia="zh-CN"/>
        </w:rPr>
        <w:t>2.5</w:t>
      </w:r>
      <w:r>
        <w:rPr>
          <w:rFonts w:ascii="Arial" w:hAnsi="Arial" w:cs="Arial"/>
          <w:sz w:val="20"/>
          <w:szCs w:val="20"/>
          <w:lang w:eastAsia="zh-CN"/>
        </w:rPr>
        <w:t xml:space="preserve"> (in ten thousand) in seven regions from 2000 to 2016. </w:t>
      </w:r>
    </w:p>
    <w:p>
      <w:pPr>
        <w:rPr>
          <w:rFonts w:ascii="Arial" w:hAnsi="Arial" w:cs="Arial"/>
          <w:color w:val="333333"/>
          <w:sz w:val="20"/>
          <w:szCs w:val="20"/>
        </w:rPr>
      </w:pPr>
      <w:r>
        <w:rPr>
          <w:rFonts w:ascii="Arial" w:hAnsi="Arial" w:cs="Arial"/>
          <w:color w:val="333333"/>
          <w:sz w:val="20"/>
          <w:szCs w:val="20"/>
        </w:rPr>
        <w:br w:type="page"/>
      </w:r>
    </w:p>
    <w:p>
      <w:pPr>
        <w:spacing w:after="0"/>
        <w:rPr>
          <w:rFonts w:ascii="Arial" w:hAnsi="Arial" w:cs="Arial"/>
          <w:b/>
          <w:bCs/>
          <w:sz w:val="20"/>
          <w:szCs w:val="20"/>
        </w:rPr>
      </w:pPr>
      <w:r>
        <w:rPr>
          <w:rFonts w:ascii="Arial" w:hAnsi="Arial" w:cs="Arial"/>
          <w:b/>
          <w:bCs/>
          <w:sz w:val="20"/>
          <w:szCs w:val="20"/>
          <w:lang w:eastAsia="zh-CN"/>
        </w:rPr>
        <w:t xml:space="preserve">Table </w:t>
      </w:r>
      <w:r>
        <w:rPr>
          <w:rFonts w:hint="eastAsia" w:ascii="Arial" w:hAnsi="Arial" w:cs="Arial"/>
          <w:b/>
          <w:bCs/>
          <w:sz w:val="20"/>
          <w:szCs w:val="20"/>
          <w:lang w:val="en-US" w:eastAsia="zh-CN"/>
        </w:rPr>
        <w:t>S6</w:t>
      </w:r>
      <w:r>
        <w:rPr>
          <w:rFonts w:ascii="Arial" w:hAnsi="Arial" w:cs="Arial"/>
          <w:b/>
          <w:bCs/>
          <w:sz w:val="20"/>
          <w:szCs w:val="20"/>
          <w:lang w:eastAsia="zh-CN"/>
        </w:rPr>
        <w:t>.</w:t>
      </w:r>
      <w:r>
        <w:rPr>
          <w:rFonts w:ascii="Arial" w:hAnsi="Arial" w:cs="Arial"/>
          <w:sz w:val="20"/>
          <w:szCs w:val="20"/>
          <w:lang w:eastAsia="zh-CN"/>
        </w:rPr>
        <w:t xml:space="preserve"> Kruskal-Wallis test for the number of health effects in seven regions</w:t>
      </w:r>
    </w:p>
    <w:tbl>
      <w:tblPr>
        <w:tblStyle w:val="88"/>
        <w:tblW w:w="8205"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208"/>
        <w:gridCol w:w="2158"/>
        <w:gridCol w:w="283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411" w:hRule="atLeast"/>
          <w:jc w:val="center"/>
        </w:trPr>
        <w:tc>
          <w:tcPr>
            <w:tcW w:w="3208" w:type="dxa"/>
            <w:tcBorders>
              <w:top w:val="single" w:color="auto" w:sz="12" w:space="0"/>
              <w:left w:val="nil"/>
              <w:bottom w:val="single" w:color="auto" w:sz="8" w:space="0"/>
              <w:right w:val="nil"/>
              <w:tl2br w:val="nil"/>
              <w:tr2bl w:val="nil"/>
            </w:tcBorders>
            <w:shd w:val="clear" w:color="auto" w:fill="FFFFFF"/>
            <w:vAlign w:val="center"/>
          </w:tcPr>
          <w:p>
            <w:pPr>
              <w:spacing w:line="320" w:lineRule="atLeast"/>
              <w:ind w:left="60" w:right="60"/>
              <w:jc w:val="center"/>
              <w:rPr>
                <w:rFonts w:ascii="Arial" w:hAnsi="Arial" w:cs="Arial" w:eastAsiaTheme="minorEastAsia"/>
                <w:sz w:val="20"/>
                <w:szCs w:val="20"/>
                <w:lang w:eastAsia="zh-CN"/>
              </w:rPr>
            </w:pPr>
            <w:r>
              <w:rPr>
                <w:rFonts w:ascii="Arial" w:hAnsi="Arial" w:cs="Arial"/>
                <w:sz w:val="20"/>
                <w:szCs w:val="20"/>
                <w:lang w:eastAsia="zh-CN"/>
              </w:rPr>
              <w:t>Regions</w:t>
            </w:r>
          </w:p>
        </w:tc>
        <w:tc>
          <w:tcPr>
            <w:tcW w:w="2158" w:type="dxa"/>
            <w:tcBorders>
              <w:top w:val="single" w:color="auto" w:sz="12" w:space="0"/>
              <w:left w:val="nil"/>
              <w:bottom w:val="single" w:color="auto" w:sz="8" w:space="0"/>
              <w:right w:val="nil"/>
              <w:tl2br w:val="nil"/>
              <w:tr2bl w:val="nil"/>
            </w:tcBorders>
            <w:shd w:val="clear" w:color="auto" w:fill="FFFFFF"/>
            <w:vAlign w:val="center"/>
          </w:tcPr>
          <w:p>
            <w:pPr>
              <w:spacing w:line="320" w:lineRule="atLeast"/>
              <w:ind w:left="60" w:right="60"/>
              <w:jc w:val="center"/>
              <w:rPr>
                <w:rFonts w:ascii="Arial" w:hAnsi="Arial" w:cs="Arial" w:eastAsiaTheme="minorEastAsia"/>
                <w:sz w:val="20"/>
                <w:szCs w:val="20"/>
                <w:lang w:eastAsia="zh-CN"/>
              </w:rPr>
            </w:pPr>
            <w:r>
              <w:rPr>
                <w:rFonts w:ascii="Arial" w:hAnsi="Arial" w:cs="Arial"/>
                <w:sz w:val="20"/>
                <w:szCs w:val="20"/>
              </w:rPr>
              <w:t>N</w:t>
            </w:r>
          </w:p>
        </w:tc>
        <w:tc>
          <w:tcPr>
            <w:tcW w:w="2839" w:type="dxa"/>
            <w:tcBorders>
              <w:top w:val="single" w:color="auto" w:sz="12" w:space="0"/>
              <w:left w:val="nil"/>
              <w:bottom w:val="single" w:color="auto" w:sz="8" w:space="0"/>
              <w:right w:val="nil"/>
              <w:tl2br w:val="nil"/>
              <w:tr2bl w:val="nil"/>
            </w:tcBorders>
            <w:shd w:val="clear" w:color="auto" w:fill="FFFFFF"/>
            <w:vAlign w:val="center"/>
          </w:tcPr>
          <w:p>
            <w:pPr>
              <w:spacing w:line="320" w:lineRule="atLeast"/>
              <w:ind w:left="60" w:right="60"/>
              <w:jc w:val="center"/>
              <w:rPr>
                <w:rFonts w:ascii="Arial" w:hAnsi="Arial" w:cs="Arial" w:eastAsiaTheme="minorEastAsia"/>
                <w:sz w:val="20"/>
                <w:szCs w:val="20"/>
                <w:lang w:eastAsia="zh-CN"/>
              </w:rPr>
            </w:pPr>
            <w:r>
              <w:rPr>
                <w:rFonts w:ascii="Arial" w:hAnsi="Arial" w:cs="Arial"/>
                <w:sz w:val="20"/>
                <w:szCs w:val="20"/>
                <w:lang w:eastAsia="zh-CN"/>
              </w:rPr>
              <w:t>A</w:t>
            </w:r>
            <w:r>
              <w:rPr>
                <w:rFonts w:ascii="Arial" w:hAnsi="Arial" w:cs="Arial" w:eastAsiaTheme="minorEastAsia"/>
                <w:sz w:val="20"/>
                <w:szCs w:val="20"/>
                <w:lang w:eastAsia="zh-CN"/>
              </w:rPr>
              <w:t>verage rank</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3208" w:type="dxa"/>
            <w:tcBorders>
              <w:top w:val="single" w:color="auto" w:sz="8" w:space="0"/>
              <w:left w:val="nil"/>
              <w:bottom w:val="nil"/>
              <w:right w:val="nil"/>
              <w:tl2br w:val="nil"/>
              <w:tr2bl w:val="nil"/>
            </w:tcBorders>
            <w:shd w:val="clear" w:color="auto" w:fill="FFFFFF"/>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Northeast</w:t>
            </w:r>
          </w:p>
        </w:tc>
        <w:tc>
          <w:tcPr>
            <w:tcW w:w="2158" w:type="dxa"/>
            <w:tcBorders>
              <w:top w:val="single" w:color="auto" w:sz="8" w:space="0"/>
              <w:left w:val="nil"/>
              <w:bottom w:val="nil"/>
              <w:right w:val="nil"/>
              <w:tl2br w:val="nil"/>
              <w:tr2bl w:val="nil"/>
            </w:tcBorders>
            <w:shd w:val="clear" w:color="auto" w:fill="FFFFFF"/>
          </w:tcPr>
          <w:p>
            <w:pPr>
              <w:spacing w:line="320" w:lineRule="atLeast"/>
              <w:ind w:left="60" w:right="60"/>
              <w:jc w:val="center"/>
              <w:rPr>
                <w:rFonts w:ascii="Arial" w:hAnsi="Arial" w:cs="Arial"/>
                <w:sz w:val="20"/>
                <w:szCs w:val="20"/>
              </w:rPr>
            </w:pPr>
            <w:r>
              <w:rPr>
                <w:rFonts w:ascii="Arial" w:hAnsi="Arial" w:cs="Arial"/>
                <w:sz w:val="20"/>
                <w:szCs w:val="20"/>
              </w:rPr>
              <w:t>21</w:t>
            </w:r>
          </w:p>
        </w:tc>
        <w:tc>
          <w:tcPr>
            <w:tcW w:w="2839" w:type="dxa"/>
            <w:tcBorders>
              <w:top w:val="single" w:color="auto" w:sz="8" w:space="0"/>
              <w:left w:val="nil"/>
              <w:bottom w:val="nil"/>
              <w:right w:val="nil"/>
              <w:tl2br w:val="nil"/>
              <w:tr2bl w:val="nil"/>
            </w:tcBorders>
            <w:shd w:val="clear" w:color="auto" w:fill="FFFFFF"/>
            <w:vAlign w:val="center"/>
          </w:tcPr>
          <w:p>
            <w:pPr>
              <w:spacing w:line="320" w:lineRule="atLeast"/>
              <w:ind w:left="60" w:right="60"/>
              <w:jc w:val="center"/>
              <w:rPr>
                <w:rFonts w:ascii="Arial" w:hAnsi="Arial" w:cs="Arial"/>
                <w:sz w:val="20"/>
                <w:szCs w:val="20"/>
              </w:rPr>
            </w:pPr>
            <w:r>
              <w:rPr>
                <w:rFonts w:ascii="Arial" w:hAnsi="Arial" w:cs="Arial"/>
                <w:sz w:val="20"/>
                <w:szCs w:val="20"/>
              </w:rPr>
              <w:t>110.29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3208" w:type="dxa"/>
            <w:tcBorders>
              <w:top w:val="nil"/>
              <w:left w:val="nil"/>
              <w:bottom w:val="nil"/>
              <w:right w:val="nil"/>
              <w:tl2br w:val="nil"/>
              <w:tr2bl w:val="nil"/>
            </w:tcBorders>
            <w:shd w:val="clear" w:color="auto" w:fill="FFFFFF"/>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North</w:t>
            </w:r>
          </w:p>
        </w:tc>
        <w:tc>
          <w:tcPr>
            <w:tcW w:w="2158" w:type="dxa"/>
            <w:tcBorders>
              <w:top w:val="nil"/>
              <w:left w:val="nil"/>
              <w:bottom w:val="nil"/>
              <w:right w:val="nil"/>
              <w:tl2br w:val="nil"/>
              <w:tr2bl w:val="nil"/>
            </w:tcBorders>
            <w:shd w:val="clear" w:color="auto" w:fill="FFFFFF"/>
          </w:tcPr>
          <w:p>
            <w:pPr>
              <w:spacing w:line="320" w:lineRule="atLeast"/>
              <w:ind w:left="60" w:right="60"/>
              <w:jc w:val="center"/>
              <w:rPr>
                <w:rFonts w:ascii="Arial" w:hAnsi="Arial" w:cs="Arial"/>
                <w:sz w:val="20"/>
                <w:szCs w:val="20"/>
              </w:rPr>
            </w:pPr>
            <w:r>
              <w:rPr>
                <w:rFonts w:ascii="Arial" w:hAnsi="Arial" w:cs="Arial"/>
                <w:sz w:val="20"/>
                <w:szCs w:val="20"/>
              </w:rPr>
              <w:t>55</w:t>
            </w:r>
          </w:p>
        </w:tc>
        <w:tc>
          <w:tcPr>
            <w:tcW w:w="2839" w:type="dxa"/>
            <w:tcBorders>
              <w:top w:val="nil"/>
              <w:left w:val="nil"/>
              <w:bottom w:val="nil"/>
              <w:right w:val="nil"/>
              <w:tl2br w:val="nil"/>
              <w:tr2bl w:val="nil"/>
            </w:tcBorders>
            <w:shd w:val="clear" w:color="auto" w:fill="FFFFFF"/>
            <w:vAlign w:val="center"/>
          </w:tcPr>
          <w:p>
            <w:pPr>
              <w:spacing w:line="320" w:lineRule="atLeast"/>
              <w:ind w:left="60" w:right="60"/>
              <w:jc w:val="center"/>
              <w:rPr>
                <w:rFonts w:ascii="Arial" w:hAnsi="Arial" w:cs="Arial"/>
                <w:sz w:val="20"/>
                <w:szCs w:val="20"/>
              </w:rPr>
            </w:pPr>
            <w:r>
              <w:rPr>
                <w:rFonts w:ascii="Arial" w:hAnsi="Arial" w:cs="Arial"/>
                <w:sz w:val="20"/>
                <w:szCs w:val="20"/>
              </w:rPr>
              <w:t>137.27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3208" w:type="dxa"/>
            <w:tcBorders>
              <w:top w:val="nil"/>
              <w:left w:val="nil"/>
              <w:bottom w:val="nil"/>
              <w:right w:val="nil"/>
              <w:tl2br w:val="nil"/>
              <w:tr2bl w:val="nil"/>
            </w:tcBorders>
            <w:shd w:val="clear" w:color="auto" w:fill="FFFFFF"/>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East</w:t>
            </w:r>
          </w:p>
        </w:tc>
        <w:tc>
          <w:tcPr>
            <w:tcW w:w="2158" w:type="dxa"/>
            <w:tcBorders>
              <w:top w:val="nil"/>
              <w:left w:val="nil"/>
              <w:bottom w:val="nil"/>
              <w:right w:val="nil"/>
              <w:tl2br w:val="nil"/>
              <w:tr2bl w:val="nil"/>
            </w:tcBorders>
            <w:shd w:val="clear" w:color="auto" w:fill="FFFFFF"/>
          </w:tcPr>
          <w:p>
            <w:pPr>
              <w:spacing w:line="320" w:lineRule="atLeast"/>
              <w:ind w:left="60" w:right="60"/>
              <w:jc w:val="center"/>
              <w:rPr>
                <w:rFonts w:ascii="Arial" w:hAnsi="Arial" w:cs="Arial"/>
                <w:sz w:val="20"/>
                <w:szCs w:val="20"/>
              </w:rPr>
            </w:pPr>
            <w:r>
              <w:rPr>
                <w:rFonts w:ascii="Arial" w:hAnsi="Arial" w:cs="Arial"/>
                <w:sz w:val="20"/>
                <w:szCs w:val="20"/>
              </w:rPr>
              <w:t>14</w:t>
            </w:r>
          </w:p>
        </w:tc>
        <w:tc>
          <w:tcPr>
            <w:tcW w:w="2839" w:type="dxa"/>
            <w:tcBorders>
              <w:top w:val="nil"/>
              <w:left w:val="nil"/>
              <w:bottom w:val="nil"/>
              <w:right w:val="nil"/>
              <w:tl2br w:val="nil"/>
              <w:tr2bl w:val="nil"/>
            </w:tcBorders>
            <w:shd w:val="clear" w:color="auto" w:fill="FFFFFF"/>
            <w:vAlign w:val="center"/>
          </w:tcPr>
          <w:p>
            <w:pPr>
              <w:spacing w:line="320" w:lineRule="atLeast"/>
              <w:ind w:left="60" w:right="60"/>
              <w:jc w:val="center"/>
              <w:rPr>
                <w:rFonts w:ascii="Arial" w:hAnsi="Arial" w:cs="Arial"/>
                <w:sz w:val="20"/>
                <w:szCs w:val="20"/>
              </w:rPr>
            </w:pPr>
            <w:r>
              <w:rPr>
                <w:rFonts w:ascii="Arial" w:hAnsi="Arial" w:cs="Arial"/>
                <w:sz w:val="20"/>
                <w:szCs w:val="20"/>
              </w:rPr>
              <w:t>117.50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3208" w:type="dxa"/>
            <w:tcBorders>
              <w:top w:val="nil"/>
              <w:left w:val="nil"/>
              <w:bottom w:val="nil"/>
              <w:right w:val="nil"/>
              <w:tl2br w:val="nil"/>
              <w:tr2bl w:val="nil"/>
            </w:tcBorders>
            <w:shd w:val="clear" w:color="auto" w:fill="FFFFFF"/>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South</w:t>
            </w:r>
          </w:p>
        </w:tc>
        <w:tc>
          <w:tcPr>
            <w:tcW w:w="2158" w:type="dxa"/>
            <w:tcBorders>
              <w:top w:val="nil"/>
              <w:left w:val="nil"/>
              <w:bottom w:val="nil"/>
              <w:right w:val="nil"/>
              <w:tl2br w:val="nil"/>
              <w:tr2bl w:val="nil"/>
            </w:tcBorders>
            <w:shd w:val="clear" w:color="auto" w:fill="FFFFFF"/>
          </w:tcPr>
          <w:p>
            <w:pPr>
              <w:spacing w:line="320" w:lineRule="atLeast"/>
              <w:ind w:left="60" w:right="60"/>
              <w:jc w:val="center"/>
              <w:rPr>
                <w:rFonts w:ascii="Arial" w:hAnsi="Arial" w:cs="Arial"/>
                <w:sz w:val="20"/>
                <w:szCs w:val="20"/>
              </w:rPr>
            </w:pPr>
            <w:r>
              <w:rPr>
                <w:rFonts w:ascii="Arial" w:hAnsi="Arial" w:cs="Arial"/>
                <w:sz w:val="20"/>
                <w:szCs w:val="20"/>
              </w:rPr>
              <w:t>41</w:t>
            </w:r>
          </w:p>
        </w:tc>
        <w:tc>
          <w:tcPr>
            <w:tcW w:w="2839" w:type="dxa"/>
            <w:tcBorders>
              <w:top w:val="nil"/>
              <w:left w:val="nil"/>
              <w:bottom w:val="nil"/>
              <w:right w:val="nil"/>
              <w:tl2br w:val="nil"/>
              <w:tr2bl w:val="nil"/>
            </w:tcBorders>
            <w:shd w:val="clear" w:color="auto" w:fill="FFFFFF"/>
            <w:vAlign w:val="center"/>
          </w:tcPr>
          <w:p>
            <w:pPr>
              <w:spacing w:line="320" w:lineRule="atLeast"/>
              <w:ind w:left="60" w:right="60"/>
              <w:jc w:val="center"/>
              <w:rPr>
                <w:rFonts w:ascii="Arial" w:hAnsi="Arial" w:cs="Arial"/>
                <w:sz w:val="20"/>
                <w:szCs w:val="20"/>
              </w:rPr>
            </w:pPr>
            <w:r>
              <w:rPr>
                <w:rFonts w:ascii="Arial" w:hAnsi="Arial" w:cs="Arial"/>
                <w:sz w:val="20"/>
                <w:szCs w:val="20"/>
              </w:rPr>
              <w:t>102.66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3208" w:type="dxa"/>
            <w:tcBorders>
              <w:top w:val="nil"/>
              <w:left w:val="nil"/>
              <w:bottom w:val="nil"/>
              <w:right w:val="nil"/>
              <w:tl2br w:val="nil"/>
              <w:tr2bl w:val="nil"/>
            </w:tcBorders>
            <w:shd w:val="clear" w:color="auto" w:fill="FFFFFF"/>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Midlands</w:t>
            </w:r>
          </w:p>
        </w:tc>
        <w:tc>
          <w:tcPr>
            <w:tcW w:w="2158" w:type="dxa"/>
            <w:tcBorders>
              <w:top w:val="nil"/>
              <w:left w:val="nil"/>
              <w:bottom w:val="nil"/>
              <w:right w:val="nil"/>
              <w:tl2br w:val="nil"/>
              <w:tr2bl w:val="nil"/>
            </w:tcBorders>
            <w:shd w:val="clear" w:color="auto" w:fill="FFFFFF"/>
          </w:tcPr>
          <w:p>
            <w:pPr>
              <w:spacing w:line="320" w:lineRule="atLeast"/>
              <w:ind w:left="60" w:right="60"/>
              <w:jc w:val="center"/>
              <w:rPr>
                <w:rFonts w:ascii="Arial" w:hAnsi="Arial" w:cs="Arial"/>
                <w:sz w:val="20"/>
                <w:szCs w:val="20"/>
              </w:rPr>
            </w:pPr>
            <w:r>
              <w:rPr>
                <w:rFonts w:ascii="Arial" w:hAnsi="Arial" w:cs="Arial"/>
                <w:sz w:val="20"/>
                <w:szCs w:val="20"/>
              </w:rPr>
              <w:t>31</w:t>
            </w:r>
          </w:p>
        </w:tc>
        <w:tc>
          <w:tcPr>
            <w:tcW w:w="2839" w:type="dxa"/>
            <w:tcBorders>
              <w:top w:val="nil"/>
              <w:left w:val="nil"/>
              <w:bottom w:val="nil"/>
              <w:right w:val="nil"/>
              <w:tl2br w:val="nil"/>
              <w:tr2bl w:val="nil"/>
            </w:tcBorders>
            <w:shd w:val="clear" w:color="auto" w:fill="FFFFFF"/>
            <w:vAlign w:val="center"/>
          </w:tcPr>
          <w:p>
            <w:pPr>
              <w:spacing w:line="320" w:lineRule="atLeast"/>
              <w:ind w:left="60" w:right="60"/>
              <w:jc w:val="center"/>
              <w:rPr>
                <w:rFonts w:ascii="Arial" w:hAnsi="Arial" w:cs="Arial"/>
                <w:sz w:val="20"/>
                <w:szCs w:val="20"/>
              </w:rPr>
            </w:pPr>
            <w:r>
              <w:rPr>
                <w:rFonts w:ascii="Arial" w:hAnsi="Arial" w:cs="Arial"/>
                <w:sz w:val="20"/>
                <w:szCs w:val="20"/>
              </w:rPr>
              <w:t>97.39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3208" w:type="dxa"/>
            <w:tcBorders>
              <w:top w:val="nil"/>
              <w:left w:val="nil"/>
              <w:bottom w:val="nil"/>
              <w:right w:val="nil"/>
              <w:tl2br w:val="nil"/>
              <w:tr2bl w:val="nil"/>
            </w:tcBorders>
            <w:shd w:val="clear" w:color="auto" w:fill="FFFFFF"/>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Northwest</w:t>
            </w:r>
          </w:p>
        </w:tc>
        <w:tc>
          <w:tcPr>
            <w:tcW w:w="2158" w:type="dxa"/>
            <w:tcBorders>
              <w:top w:val="nil"/>
              <w:left w:val="nil"/>
              <w:bottom w:val="nil"/>
              <w:right w:val="nil"/>
              <w:tl2br w:val="nil"/>
              <w:tr2bl w:val="nil"/>
            </w:tcBorders>
            <w:shd w:val="clear" w:color="auto" w:fill="FFFFFF"/>
          </w:tcPr>
          <w:p>
            <w:pPr>
              <w:spacing w:line="320" w:lineRule="atLeast"/>
              <w:ind w:left="60" w:right="60"/>
              <w:jc w:val="center"/>
              <w:rPr>
                <w:rFonts w:ascii="Arial" w:hAnsi="Arial" w:cs="Arial"/>
                <w:sz w:val="20"/>
                <w:szCs w:val="20"/>
              </w:rPr>
            </w:pPr>
            <w:r>
              <w:rPr>
                <w:rFonts w:ascii="Arial" w:hAnsi="Arial" w:cs="Arial"/>
                <w:sz w:val="20"/>
                <w:szCs w:val="20"/>
              </w:rPr>
              <w:t>10</w:t>
            </w:r>
          </w:p>
        </w:tc>
        <w:tc>
          <w:tcPr>
            <w:tcW w:w="2839" w:type="dxa"/>
            <w:tcBorders>
              <w:top w:val="nil"/>
              <w:left w:val="nil"/>
              <w:bottom w:val="nil"/>
              <w:right w:val="nil"/>
              <w:tl2br w:val="nil"/>
              <w:tr2bl w:val="nil"/>
            </w:tcBorders>
            <w:shd w:val="clear" w:color="auto" w:fill="FFFFFF"/>
            <w:vAlign w:val="center"/>
          </w:tcPr>
          <w:p>
            <w:pPr>
              <w:spacing w:line="320" w:lineRule="atLeast"/>
              <w:ind w:left="60" w:right="60"/>
              <w:jc w:val="center"/>
              <w:rPr>
                <w:rFonts w:ascii="Arial" w:hAnsi="Arial" w:cs="Arial"/>
                <w:sz w:val="20"/>
                <w:szCs w:val="20"/>
              </w:rPr>
            </w:pPr>
            <w:r>
              <w:rPr>
                <w:rFonts w:ascii="Arial" w:hAnsi="Arial" w:cs="Arial"/>
                <w:sz w:val="20"/>
                <w:szCs w:val="20"/>
              </w:rPr>
              <w:t>55.15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3208" w:type="dxa"/>
            <w:tcBorders>
              <w:top w:val="nil"/>
              <w:left w:val="nil"/>
              <w:bottom w:val="single" w:color="auto" w:sz="8" w:space="0"/>
              <w:right w:val="nil"/>
              <w:tl2br w:val="nil"/>
              <w:tr2bl w:val="nil"/>
            </w:tcBorders>
            <w:shd w:val="clear" w:color="auto" w:fill="FFFFFF"/>
            <w:vAlign w:val="center"/>
          </w:tcPr>
          <w:p>
            <w:pPr>
              <w:ind w:firstLine="200" w:firstLineChars="100"/>
              <w:jc w:val="center"/>
              <w:textAlignment w:val="center"/>
              <w:rPr>
                <w:rFonts w:ascii="Arial" w:hAnsi="Arial" w:cs="Arial"/>
                <w:sz w:val="20"/>
                <w:szCs w:val="20"/>
              </w:rPr>
            </w:pPr>
            <w:r>
              <w:rPr>
                <w:rFonts w:ascii="Arial" w:hAnsi="Arial" w:cs="Arial"/>
                <w:sz w:val="20"/>
                <w:szCs w:val="20"/>
                <w:lang w:eastAsia="zh-CN"/>
              </w:rPr>
              <w:t>Southwest</w:t>
            </w:r>
          </w:p>
        </w:tc>
        <w:tc>
          <w:tcPr>
            <w:tcW w:w="2158" w:type="dxa"/>
            <w:tcBorders>
              <w:top w:val="nil"/>
              <w:left w:val="nil"/>
              <w:bottom w:val="single" w:color="auto" w:sz="8" w:space="0"/>
              <w:right w:val="nil"/>
              <w:tl2br w:val="nil"/>
              <w:tr2bl w:val="nil"/>
            </w:tcBorders>
            <w:shd w:val="clear" w:color="auto" w:fill="FFFFFF"/>
          </w:tcPr>
          <w:p>
            <w:pPr>
              <w:spacing w:line="320" w:lineRule="atLeast"/>
              <w:ind w:left="60" w:right="60"/>
              <w:jc w:val="center"/>
              <w:rPr>
                <w:rFonts w:ascii="Arial" w:hAnsi="Arial" w:cs="Arial"/>
                <w:sz w:val="20"/>
                <w:szCs w:val="20"/>
              </w:rPr>
            </w:pPr>
            <w:r>
              <w:rPr>
                <w:rFonts w:ascii="Arial" w:hAnsi="Arial" w:cs="Arial"/>
                <w:sz w:val="20"/>
                <w:szCs w:val="20"/>
              </w:rPr>
              <w:t>38</w:t>
            </w:r>
          </w:p>
        </w:tc>
        <w:tc>
          <w:tcPr>
            <w:tcW w:w="2839" w:type="dxa"/>
            <w:tcBorders>
              <w:top w:val="nil"/>
              <w:left w:val="nil"/>
              <w:bottom w:val="single" w:color="auto" w:sz="8" w:space="0"/>
              <w:right w:val="nil"/>
              <w:tl2br w:val="nil"/>
              <w:tr2bl w:val="nil"/>
            </w:tcBorders>
            <w:shd w:val="clear" w:color="auto" w:fill="FFFFFF"/>
            <w:vAlign w:val="center"/>
          </w:tcPr>
          <w:p>
            <w:pPr>
              <w:spacing w:line="320" w:lineRule="atLeast"/>
              <w:ind w:left="60" w:right="60"/>
              <w:jc w:val="center"/>
              <w:rPr>
                <w:rFonts w:ascii="Arial" w:hAnsi="Arial" w:cs="Arial"/>
                <w:sz w:val="20"/>
                <w:szCs w:val="20"/>
              </w:rPr>
            </w:pPr>
            <w:r>
              <w:rPr>
                <w:rFonts w:ascii="Arial" w:hAnsi="Arial" w:cs="Arial"/>
                <w:sz w:val="20"/>
                <w:szCs w:val="20"/>
              </w:rPr>
              <w:t>75.38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3208" w:type="dxa"/>
            <w:tcBorders>
              <w:top w:val="single" w:color="auto" w:sz="8" w:space="0"/>
              <w:left w:val="nil"/>
              <w:bottom w:val="nil"/>
              <w:right w:val="nil"/>
              <w:tl2br w:val="nil"/>
              <w:tr2bl w:val="nil"/>
            </w:tcBorders>
            <w:shd w:val="clear" w:color="auto" w:fill="FFFFFF"/>
          </w:tcPr>
          <w:p>
            <w:pPr>
              <w:spacing w:line="320" w:lineRule="atLeast"/>
              <w:ind w:right="60"/>
              <w:jc w:val="center"/>
              <w:rPr>
                <w:rFonts w:ascii="Arial" w:hAnsi="Arial" w:cs="Arial"/>
                <w:sz w:val="20"/>
                <w:szCs w:val="20"/>
              </w:rPr>
            </w:pPr>
            <w:r>
              <w:rPr>
                <w:rFonts w:ascii="Arial" w:hAnsi="Arial" w:cs="Arial"/>
                <w:sz w:val="20"/>
                <w:szCs w:val="20"/>
              </w:rPr>
              <w:t>Chi-square</w:t>
            </w:r>
          </w:p>
        </w:tc>
        <w:tc>
          <w:tcPr>
            <w:tcW w:w="4997" w:type="dxa"/>
            <w:gridSpan w:val="2"/>
            <w:tcBorders>
              <w:top w:val="single" w:color="auto" w:sz="8" w:space="0"/>
              <w:left w:val="nil"/>
              <w:bottom w:val="nil"/>
              <w:right w:val="nil"/>
              <w:tl2br w:val="nil"/>
              <w:tr2bl w:val="nil"/>
            </w:tcBorders>
            <w:shd w:val="clear" w:color="auto" w:fill="FFFFFF"/>
          </w:tcPr>
          <w:p>
            <w:pPr>
              <w:jc w:val="center"/>
              <w:rPr>
                <w:rFonts w:ascii="Arial" w:hAnsi="Arial" w:cs="Arial"/>
                <w:sz w:val="20"/>
                <w:szCs w:val="20"/>
              </w:rPr>
            </w:pPr>
            <w:r>
              <w:rPr>
                <w:rFonts w:ascii="Arial" w:hAnsi="Arial" w:cs="Arial"/>
                <w:sz w:val="20"/>
                <w:szCs w:val="20"/>
              </w:rPr>
              <w:t>32.556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3208" w:type="dxa"/>
            <w:tcBorders>
              <w:top w:val="nil"/>
              <w:left w:val="nil"/>
              <w:bottom w:val="nil"/>
              <w:right w:val="nil"/>
              <w:tl2br w:val="nil"/>
              <w:tr2bl w:val="nil"/>
            </w:tcBorders>
            <w:shd w:val="clear" w:color="auto" w:fill="FFFFFF"/>
          </w:tcPr>
          <w:p>
            <w:pPr>
              <w:spacing w:line="320" w:lineRule="atLeast"/>
              <w:ind w:right="60"/>
              <w:jc w:val="center"/>
              <w:rPr>
                <w:rFonts w:ascii="Arial" w:hAnsi="Arial" w:cs="Arial"/>
                <w:sz w:val="20"/>
                <w:szCs w:val="20"/>
              </w:rPr>
            </w:pPr>
            <w:r>
              <w:rPr>
                <w:rFonts w:ascii="Arial" w:hAnsi="Arial" w:cs="Arial"/>
                <w:sz w:val="20"/>
                <w:szCs w:val="20"/>
              </w:rPr>
              <w:t>df</w:t>
            </w:r>
          </w:p>
        </w:tc>
        <w:tc>
          <w:tcPr>
            <w:tcW w:w="4997" w:type="dxa"/>
            <w:gridSpan w:val="2"/>
            <w:tcBorders>
              <w:top w:val="nil"/>
              <w:left w:val="nil"/>
              <w:bottom w:val="nil"/>
              <w:right w:val="nil"/>
              <w:tl2br w:val="nil"/>
              <w:tr2bl w:val="nil"/>
            </w:tcBorders>
            <w:shd w:val="clear" w:color="auto" w:fill="FFFFFF"/>
          </w:tcPr>
          <w:p>
            <w:pPr>
              <w:jc w:val="center"/>
              <w:rPr>
                <w:rFonts w:ascii="Arial" w:hAnsi="Arial" w:cs="Arial"/>
                <w:sz w:val="20"/>
                <w:szCs w:val="20"/>
              </w:rPr>
            </w:pPr>
            <w:r>
              <w:rPr>
                <w:rFonts w:ascii="Arial" w:hAnsi="Arial" w:cs="Arial"/>
                <w:sz w:val="20"/>
                <w:szCs w:val="20"/>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83" w:hRule="atLeast"/>
          <w:jc w:val="center"/>
        </w:trPr>
        <w:tc>
          <w:tcPr>
            <w:tcW w:w="3208" w:type="dxa"/>
            <w:tcBorders>
              <w:top w:val="nil"/>
              <w:left w:val="nil"/>
              <w:bottom w:val="single" w:color="auto" w:sz="8" w:space="0"/>
              <w:right w:val="nil"/>
              <w:tl2br w:val="nil"/>
              <w:tr2bl w:val="nil"/>
            </w:tcBorders>
            <w:shd w:val="clear" w:color="auto" w:fill="FFFFFF"/>
          </w:tcPr>
          <w:p>
            <w:pPr>
              <w:spacing w:line="320" w:lineRule="atLeast"/>
              <w:ind w:right="60"/>
              <w:jc w:val="center"/>
              <w:rPr>
                <w:rFonts w:ascii="Arial" w:hAnsi="Arial" w:cs="Arial"/>
                <w:sz w:val="20"/>
                <w:szCs w:val="20"/>
              </w:rPr>
            </w:pPr>
            <w:r>
              <w:rPr>
                <w:rFonts w:ascii="Arial" w:hAnsi="Arial" w:cs="Arial"/>
                <w:sz w:val="20"/>
                <w:szCs w:val="20"/>
              </w:rPr>
              <w:t>sig</w:t>
            </w:r>
          </w:p>
        </w:tc>
        <w:tc>
          <w:tcPr>
            <w:tcW w:w="4997" w:type="dxa"/>
            <w:gridSpan w:val="2"/>
            <w:tcBorders>
              <w:top w:val="nil"/>
              <w:left w:val="nil"/>
              <w:bottom w:val="single" w:color="auto" w:sz="8" w:space="0"/>
              <w:right w:val="nil"/>
              <w:tl2br w:val="nil"/>
              <w:tr2bl w:val="nil"/>
            </w:tcBorders>
            <w:shd w:val="clear" w:color="auto" w:fill="FFFFFF"/>
          </w:tcPr>
          <w:p>
            <w:pPr>
              <w:jc w:val="center"/>
              <w:rPr>
                <w:rFonts w:ascii="Arial" w:hAnsi="Arial" w:cs="Arial"/>
                <w:sz w:val="20"/>
                <w:szCs w:val="20"/>
              </w:rPr>
            </w:pPr>
            <w:r>
              <w:rPr>
                <w:rFonts w:ascii="Arial" w:hAnsi="Arial" w:cs="Arial"/>
                <w:sz w:val="20"/>
                <w:szCs w:val="20"/>
              </w:rPr>
              <w:t>0.00***</w:t>
            </w:r>
          </w:p>
        </w:tc>
      </w:tr>
    </w:tbl>
    <w:p>
      <w:pPr>
        <w:spacing w:after="0"/>
        <w:rPr>
          <w:rFonts w:ascii="Arial" w:hAnsi="Arial" w:cs="Arial"/>
          <w:sz w:val="20"/>
          <w:szCs w:val="20"/>
        </w:rPr>
      </w:pPr>
      <w:r>
        <w:rPr>
          <w:rFonts w:ascii="Arial" w:hAnsi="Arial" w:cs="Arial"/>
          <w:sz w:val="20"/>
          <w:szCs w:val="20"/>
        </w:rPr>
        <w:t>***Significant at 1%.</w:t>
      </w:r>
    </w:p>
    <w:p>
      <w:pPr>
        <w:rPr>
          <w:rFonts w:ascii="Arial" w:hAnsi="Arial" w:cs="Arial"/>
          <w:sz w:val="20"/>
          <w:szCs w:val="20"/>
        </w:rPr>
      </w:pPr>
      <w:r>
        <w:rPr>
          <w:rFonts w:ascii="Arial" w:hAnsi="Arial" w:cs="Arial"/>
          <w:sz w:val="20"/>
          <w:szCs w:val="20"/>
        </w:rPr>
        <w:t>The Kruskal-Wallis test tests whether there are significant differences in the number of health effects in the seven regions. The higher the average ranking, the greater the number of health effects in the region.</w:t>
      </w:r>
      <w:r>
        <w:rPr>
          <w:rFonts w:ascii="Arial" w:hAnsi="Arial" w:eastAsia="宋体" w:cs="Arial"/>
          <w:sz w:val="20"/>
          <w:szCs w:val="20"/>
          <w:lang w:eastAsia="zh-CN"/>
        </w:rPr>
        <w:t xml:space="preserve"> </w:t>
      </w:r>
      <w:r>
        <w:rPr>
          <w:rFonts w:ascii="Arial" w:hAnsi="Arial" w:cs="Arial"/>
          <w:sz w:val="20"/>
          <w:szCs w:val="20"/>
        </w:rPr>
        <w:t>Significance indicates the level at which there are significant differences.</w:t>
      </w:r>
    </w:p>
    <w:p>
      <w:pPr>
        <w:rPr>
          <w:rFonts w:ascii="Arial" w:hAnsi="Arial" w:cs="Arial"/>
          <w:color w:val="333333"/>
          <w:sz w:val="20"/>
          <w:szCs w:val="20"/>
        </w:rPr>
      </w:pPr>
      <w:r>
        <w:rPr>
          <w:rFonts w:ascii="Arial" w:hAnsi="Arial" w:cs="Arial"/>
          <w:color w:val="333333"/>
          <w:sz w:val="20"/>
          <w:szCs w:val="20"/>
        </w:rPr>
        <w:br w:type="page"/>
      </w:r>
    </w:p>
    <w:p>
      <w:pPr>
        <w:spacing w:after="0"/>
        <w:rPr>
          <w:rFonts w:hint="default" w:ascii="Arial" w:hAnsi="Arial" w:cs="Arial" w:eastAsiaTheme="minorEastAsia"/>
          <w:sz w:val="20"/>
          <w:szCs w:val="20"/>
          <w:lang w:eastAsia="zh-CN"/>
        </w:rPr>
      </w:pPr>
      <w:r>
        <w:rPr>
          <w:rFonts w:hint="default" w:ascii="Arial" w:hAnsi="Arial" w:cs="Arial"/>
          <w:b/>
          <w:bCs/>
          <w:sz w:val="20"/>
          <w:szCs w:val="20"/>
          <w:lang w:eastAsia="zh-CN"/>
        </w:rPr>
        <w:t xml:space="preserve">Table </w:t>
      </w:r>
      <w:r>
        <w:rPr>
          <w:rFonts w:hint="default" w:ascii="Arial" w:hAnsi="Arial" w:cs="Arial"/>
          <w:b/>
          <w:bCs/>
          <w:sz w:val="20"/>
          <w:szCs w:val="20"/>
          <w:lang w:val="en-US" w:eastAsia="zh-CN"/>
        </w:rPr>
        <w:t>S</w:t>
      </w:r>
      <w:r>
        <w:rPr>
          <w:rFonts w:hint="eastAsia" w:ascii="Arial" w:hAnsi="Arial" w:cs="Arial"/>
          <w:b/>
          <w:bCs/>
          <w:sz w:val="20"/>
          <w:szCs w:val="20"/>
          <w:lang w:val="en-US" w:eastAsia="zh-CN"/>
        </w:rPr>
        <w:t>7</w:t>
      </w:r>
      <w:r>
        <w:rPr>
          <w:rFonts w:hint="default" w:ascii="Arial" w:hAnsi="Arial" w:cs="Arial"/>
          <w:b/>
          <w:bCs/>
          <w:sz w:val="20"/>
          <w:szCs w:val="20"/>
          <w:lang w:eastAsia="zh-CN"/>
        </w:rPr>
        <w:t>.</w:t>
      </w:r>
      <w:r>
        <w:rPr>
          <w:rFonts w:hint="default" w:ascii="Arial" w:hAnsi="Arial" w:cs="Arial"/>
          <w:sz w:val="20"/>
          <w:szCs w:val="20"/>
        </w:rPr>
        <w:t xml:space="preserve"> Economic cost of health effects </w:t>
      </w:r>
      <w:r>
        <w:rPr>
          <w:rFonts w:hint="default" w:ascii="Arial" w:hAnsi="Arial" w:cs="Arial"/>
          <w:sz w:val="20"/>
          <w:szCs w:val="20"/>
          <w:lang w:eastAsia="zh-CN"/>
        </w:rPr>
        <w:t>a</w:t>
      </w:r>
      <w:r>
        <w:rPr>
          <w:rFonts w:hint="default" w:ascii="Arial" w:hAnsi="Arial" w:cs="Arial"/>
          <w:sz w:val="20"/>
          <w:szCs w:val="20"/>
        </w:rPr>
        <w:t>ttributed to</w:t>
      </w:r>
      <w:r>
        <w:rPr>
          <w:rFonts w:hint="default" w:ascii="Arial" w:hAnsi="Arial" w:cs="Arial"/>
          <w:sz w:val="20"/>
          <w:szCs w:val="20"/>
          <w:lang w:eastAsia="zh-CN"/>
        </w:rPr>
        <w:t xml:space="preserve"> PM</w:t>
      </w:r>
      <w:r>
        <w:rPr>
          <w:rFonts w:hint="default" w:ascii="Arial" w:hAnsi="Arial" w:cs="Arial"/>
          <w:sz w:val="20"/>
          <w:szCs w:val="20"/>
          <w:vertAlign w:val="subscript"/>
          <w:lang w:eastAsia="zh-CN"/>
        </w:rPr>
        <w:t>2.5</w:t>
      </w:r>
      <w:r>
        <w:rPr>
          <w:rFonts w:hint="default" w:ascii="Arial" w:hAnsi="Arial" w:cs="Arial"/>
          <w:sz w:val="20"/>
          <w:szCs w:val="20"/>
          <w:lang w:eastAsia="zh-CN"/>
        </w:rPr>
        <w:t xml:space="preserve"> in 2000-2016(in million CNY¥)</w:t>
      </w:r>
    </w:p>
    <w:tbl>
      <w:tblPr>
        <w:tblStyle w:val="88"/>
        <w:tblW w:w="8714" w:type="dxa"/>
        <w:jc w:val="center"/>
        <w:tblLayout w:type="fixed"/>
        <w:tblCellMar>
          <w:top w:w="0" w:type="dxa"/>
          <w:left w:w="0" w:type="dxa"/>
          <w:bottom w:w="0" w:type="dxa"/>
          <w:right w:w="0" w:type="dxa"/>
        </w:tblCellMar>
      </w:tblPr>
      <w:tblGrid>
        <w:gridCol w:w="1499"/>
        <w:gridCol w:w="1351"/>
        <w:gridCol w:w="1410"/>
        <w:gridCol w:w="1425"/>
        <w:gridCol w:w="1455"/>
        <w:gridCol w:w="1574"/>
      </w:tblGrid>
      <w:tr>
        <w:tblPrEx>
          <w:tblCellMar>
            <w:top w:w="0" w:type="dxa"/>
            <w:left w:w="0" w:type="dxa"/>
            <w:bottom w:w="0" w:type="dxa"/>
            <w:right w:w="0" w:type="dxa"/>
          </w:tblCellMar>
        </w:tblPrEx>
        <w:trPr>
          <w:trHeight w:val="283" w:hRule="atLeast"/>
          <w:jc w:val="center"/>
        </w:trPr>
        <w:tc>
          <w:tcPr>
            <w:tcW w:w="1499" w:type="dxa"/>
            <w:tcBorders>
              <w:top w:val="single" w:color="auto" w:sz="12" w:space="0"/>
              <w:left w:val="nil"/>
              <w:bottom w:val="single" w:color="auto" w:sz="8" w:space="0"/>
              <w:right w:val="nil"/>
            </w:tcBorders>
            <w:noWrap/>
            <w:tcMar>
              <w:top w:w="12" w:type="dxa"/>
              <w:left w:w="12" w:type="dxa"/>
              <w:right w:w="12" w:type="dxa"/>
            </w:tcMar>
            <w:vAlign w:val="center"/>
          </w:tcPr>
          <w:p>
            <w:pPr>
              <w:textAlignment w:val="center"/>
              <w:rPr>
                <w:rFonts w:ascii="Times New Roman" w:hAnsi="Times New Roman" w:cs="Times New Roman" w:eastAsiaTheme="minorEastAsia"/>
                <w:sz w:val="20"/>
                <w:szCs w:val="20"/>
                <w:lang w:eastAsia="zh-CN"/>
              </w:rPr>
            </w:pPr>
            <w:r>
              <w:rPr>
                <w:rFonts w:ascii="Times New Roman" w:hAnsi="Times New Roman" w:cs="Times New Roman"/>
                <w:sz w:val="20"/>
                <w:szCs w:val="20"/>
                <w:lang w:eastAsia="zh-CN"/>
              </w:rPr>
              <w:t>Health endpoints</w:t>
            </w:r>
          </w:p>
        </w:tc>
        <w:tc>
          <w:tcPr>
            <w:tcW w:w="1351" w:type="dxa"/>
            <w:tcBorders>
              <w:top w:val="single" w:color="auto" w:sz="12" w:space="0"/>
              <w:left w:val="nil"/>
              <w:bottom w:val="single" w:color="auto" w:sz="8" w:space="0"/>
              <w:right w:val="nil"/>
            </w:tcBorders>
            <w:noWrap/>
            <w:tcMar>
              <w:top w:w="12" w:type="dxa"/>
              <w:left w:w="12" w:type="dxa"/>
              <w:right w:w="12"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2000</w:t>
            </w:r>
          </w:p>
        </w:tc>
        <w:tc>
          <w:tcPr>
            <w:tcW w:w="1410" w:type="dxa"/>
            <w:tcBorders>
              <w:top w:val="single" w:color="auto" w:sz="12" w:space="0"/>
              <w:left w:val="nil"/>
              <w:bottom w:val="single" w:color="auto" w:sz="8" w:space="0"/>
              <w:right w:val="nil"/>
            </w:tcBorders>
            <w:noWrap/>
            <w:tcMar>
              <w:top w:w="12" w:type="dxa"/>
              <w:left w:w="12" w:type="dxa"/>
              <w:right w:w="12"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2005</w:t>
            </w:r>
          </w:p>
        </w:tc>
        <w:tc>
          <w:tcPr>
            <w:tcW w:w="1425" w:type="dxa"/>
            <w:tcBorders>
              <w:top w:val="single" w:color="auto" w:sz="12" w:space="0"/>
              <w:left w:val="nil"/>
              <w:bottom w:val="single" w:color="auto" w:sz="8" w:space="0"/>
              <w:right w:val="nil"/>
            </w:tcBorders>
            <w:noWrap/>
            <w:tcMar>
              <w:top w:w="12" w:type="dxa"/>
              <w:left w:w="12" w:type="dxa"/>
              <w:right w:w="12"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2010</w:t>
            </w:r>
          </w:p>
        </w:tc>
        <w:tc>
          <w:tcPr>
            <w:tcW w:w="1455" w:type="dxa"/>
            <w:tcBorders>
              <w:top w:val="single" w:color="auto" w:sz="12" w:space="0"/>
              <w:left w:val="nil"/>
              <w:bottom w:val="single" w:color="auto" w:sz="8" w:space="0"/>
              <w:right w:val="nil"/>
            </w:tcBorders>
            <w:noWrap/>
            <w:tcMar>
              <w:top w:w="12" w:type="dxa"/>
              <w:left w:w="12" w:type="dxa"/>
              <w:right w:w="12"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2015</w:t>
            </w:r>
          </w:p>
        </w:tc>
        <w:tc>
          <w:tcPr>
            <w:tcW w:w="1574" w:type="dxa"/>
            <w:tcBorders>
              <w:top w:val="single" w:color="auto" w:sz="12" w:space="0"/>
              <w:left w:val="nil"/>
              <w:bottom w:val="single" w:color="auto" w:sz="8" w:space="0"/>
              <w:right w:val="nil"/>
            </w:tcBorders>
            <w:noWrap/>
            <w:tcMar>
              <w:top w:w="12" w:type="dxa"/>
              <w:left w:w="12" w:type="dxa"/>
              <w:right w:w="12"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2016</w:t>
            </w:r>
          </w:p>
        </w:tc>
      </w:tr>
      <w:tr>
        <w:trPr>
          <w:trHeight w:val="283" w:hRule="atLeast"/>
          <w:jc w:val="center"/>
        </w:trPr>
        <w:tc>
          <w:tcPr>
            <w:tcW w:w="1499" w:type="dxa"/>
            <w:tcBorders>
              <w:top w:val="single" w:color="auto" w:sz="8" w:space="0"/>
              <w:left w:val="nil"/>
              <w:bottom w:val="nil"/>
              <w:right w:val="nil"/>
            </w:tcBorders>
            <w:noWrap/>
            <w:tcMar>
              <w:top w:w="12" w:type="dxa"/>
              <w:left w:w="12" w:type="dxa"/>
              <w:right w:w="12" w:type="dxa"/>
            </w:tcMar>
            <w:vAlign w:val="center"/>
          </w:tcPr>
          <w:p>
            <w:pPr>
              <w:textAlignment w:val="center"/>
              <w:rPr>
                <w:rFonts w:ascii="Times New Roman" w:hAnsi="Times New Roman" w:cs="Times New Roman"/>
                <w:sz w:val="18"/>
                <w:szCs w:val="18"/>
              </w:rPr>
            </w:pPr>
            <w:r>
              <w:rPr>
                <w:rFonts w:ascii="Times New Roman" w:hAnsi="Times New Roman" w:cs="Times New Roman"/>
                <w:sz w:val="18"/>
                <w:szCs w:val="18"/>
              </w:rPr>
              <w:t>Respiratory Mortality</w:t>
            </w:r>
          </w:p>
        </w:tc>
        <w:tc>
          <w:tcPr>
            <w:tcW w:w="1351" w:type="dxa"/>
            <w:tcBorders>
              <w:top w:val="single" w:color="auto" w:sz="8" w:space="0"/>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1761.20</w:t>
            </w:r>
          </w:p>
          <w:p>
            <w:pPr>
              <w:jc w:val="center"/>
              <w:textAlignment w:val="center"/>
              <w:rPr>
                <w:rFonts w:ascii="Times New Roman" w:hAnsi="Times New Roman" w:cs="Times New Roman" w:eastAsiaTheme="minorEastAsia"/>
                <w:sz w:val="18"/>
                <w:szCs w:val="18"/>
                <w:lang w:eastAsia="zh-CN"/>
              </w:rPr>
            </w:pPr>
            <w:r>
              <w:rPr>
                <w:rFonts w:ascii="Times New Roman" w:hAnsi="Times New Roman" w:cs="Times New Roman"/>
                <w:sz w:val="18"/>
                <w:szCs w:val="18"/>
                <w:lang w:eastAsia="zh-CN"/>
              </w:rPr>
              <w:t>(</w:t>
            </w:r>
            <w:r>
              <w:rPr>
                <w:rFonts w:ascii="Times New Roman" w:hAnsi="Times New Roman" w:cs="Times New Roman"/>
                <w:sz w:val="18"/>
                <w:szCs w:val="18"/>
              </w:rPr>
              <w:t>1053,2460</w:t>
            </w:r>
            <w:r>
              <w:rPr>
                <w:rFonts w:ascii="Times New Roman" w:hAnsi="Times New Roman" w:cs="Times New Roman"/>
                <w:sz w:val="18"/>
                <w:szCs w:val="18"/>
                <w:lang w:eastAsia="zh-CN"/>
              </w:rPr>
              <w:t>)</w:t>
            </w:r>
          </w:p>
        </w:tc>
        <w:tc>
          <w:tcPr>
            <w:tcW w:w="1410" w:type="dxa"/>
            <w:tcBorders>
              <w:top w:val="single" w:color="auto" w:sz="8" w:space="0"/>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5906.92</w:t>
            </w:r>
          </w:p>
          <w:p>
            <w:pPr>
              <w:jc w:val="center"/>
              <w:textAlignment w:val="center"/>
              <w:rPr>
                <w:rFonts w:ascii="Times New Roman" w:hAnsi="Times New Roman" w:cs="Times New Roman"/>
                <w:sz w:val="18"/>
                <w:szCs w:val="18"/>
              </w:rPr>
            </w:pPr>
            <w:r>
              <w:rPr>
                <w:rFonts w:ascii="Times New Roman" w:hAnsi="Times New Roman" w:cs="Times New Roman"/>
                <w:sz w:val="18"/>
                <w:szCs w:val="18"/>
              </w:rPr>
              <w:t>(3551,8211)</w:t>
            </w:r>
          </w:p>
        </w:tc>
        <w:tc>
          <w:tcPr>
            <w:tcW w:w="1425" w:type="dxa"/>
            <w:tcBorders>
              <w:top w:val="single" w:color="auto" w:sz="8" w:space="0"/>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13039.57</w:t>
            </w:r>
          </w:p>
          <w:p>
            <w:pPr>
              <w:jc w:val="center"/>
              <w:textAlignment w:val="center"/>
              <w:rPr>
                <w:rFonts w:ascii="Times New Roman" w:hAnsi="Times New Roman" w:cs="Times New Roman"/>
                <w:sz w:val="18"/>
                <w:szCs w:val="18"/>
              </w:rPr>
            </w:pPr>
            <w:r>
              <w:rPr>
                <w:rFonts w:ascii="Times New Roman" w:hAnsi="Times New Roman" w:cs="Times New Roman"/>
                <w:sz w:val="18"/>
                <w:szCs w:val="18"/>
              </w:rPr>
              <w:t>(7842,18116)</w:t>
            </w:r>
          </w:p>
        </w:tc>
        <w:tc>
          <w:tcPr>
            <w:tcW w:w="1455" w:type="dxa"/>
            <w:tcBorders>
              <w:top w:val="single" w:color="auto" w:sz="8" w:space="0"/>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22681.69</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13648,31497</w:t>
            </w:r>
            <w:r>
              <w:rPr>
                <w:rFonts w:ascii="Times New Roman" w:hAnsi="Times New Roman" w:eastAsia="宋体" w:cs="Times New Roman"/>
                <w:sz w:val="18"/>
                <w:szCs w:val="18"/>
                <w:lang w:eastAsia="zh-CN"/>
              </w:rPr>
              <w:t>)</w:t>
            </w:r>
          </w:p>
        </w:tc>
        <w:tc>
          <w:tcPr>
            <w:tcW w:w="1574" w:type="dxa"/>
            <w:tcBorders>
              <w:top w:val="single" w:color="auto" w:sz="8" w:space="0"/>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25692.33</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15459,35678</w:t>
            </w:r>
            <w:r>
              <w:rPr>
                <w:rFonts w:ascii="Times New Roman" w:hAnsi="Times New Roman" w:eastAsia="宋体" w:cs="Times New Roman"/>
                <w:sz w:val="18"/>
                <w:szCs w:val="18"/>
                <w:lang w:eastAsia="zh-CN"/>
              </w:rPr>
              <w:t>)</w:t>
            </w:r>
          </w:p>
        </w:tc>
      </w:tr>
      <w:tr>
        <w:tblPrEx>
          <w:tblCellMar>
            <w:top w:w="0" w:type="dxa"/>
            <w:left w:w="0" w:type="dxa"/>
            <w:bottom w:w="0" w:type="dxa"/>
            <w:right w:w="0" w:type="dxa"/>
          </w:tblCellMar>
        </w:tblPrEx>
        <w:trPr>
          <w:trHeight w:val="283" w:hRule="atLeast"/>
          <w:jc w:val="center"/>
        </w:trPr>
        <w:tc>
          <w:tcPr>
            <w:tcW w:w="1499" w:type="dxa"/>
            <w:tcBorders>
              <w:top w:val="nil"/>
              <w:left w:val="nil"/>
              <w:bottom w:val="nil"/>
              <w:right w:val="nil"/>
            </w:tcBorders>
            <w:noWrap/>
            <w:tcMar>
              <w:top w:w="12" w:type="dxa"/>
              <w:left w:w="12" w:type="dxa"/>
              <w:right w:w="12" w:type="dxa"/>
            </w:tcMar>
            <w:vAlign w:val="center"/>
          </w:tcPr>
          <w:p>
            <w:pPr>
              <w:textAlignment w:val="center"/>
              <w:rPr>
                <w:rFonts w:ascii="Times New Roman" w:hAnsi="Times New Roman" w:cs="Times New Roman"/>
                <w:sz w:val="18"/>
                <w:szCs w:val="18"/>
              </w:rPr>
            </w:pPr>
            <w:r>
              <w:rPr>
                <w:rFonts w:ascii="Times New Roman" w:hAnsi="Times New Roman" w:cs="Times New Roman"/>
                <w:sz w:val="18"/>
                <w:szCs w:val="18"/>
              </w:rPr>
              <w:t>Cardiovascular</w:t>
            </w:r>
            <w:r>
              <w:rPr>
                <w:rFonts w:ascii="Times New Roman" w:hAnsi="Times New Roman" w:cs="Times New Roman"/>
                <w:sz w:val="18"/>
                <w:szCs w:val="18"/>
                <w:lang w:eastAsia="zh-CN"/>
              </w:rPr>
              <w:t xml:space="preserve"> </w:t>
            </w:r>
            <w:r>
              <w:rPr>
                <w:rFonts w:ascii="Times New Roman" w:hAnsi="Times New Roman" w:cs="Times New Roman"/>
                <w:sz w:val="18"/>
                <w:szCs w:val="18"/>
              </w:rPr>
              <w:t>mortality</w:t>
            </w:r>
          </w:p>
        </w:tc>
        <w:tc>
          <w:tcPr>
            <w:tcW w:w="1351"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1945.83</w:t>
            </w:r>
          </w:p>
          <w:p>
            <w:pPr>
              <w:jc w:val="center"/>
              <w:textAlignment w:val="center"/>
              <w:rPr>
                <w:rFonts w:ascii="Times New Roman" w:hAnsi="Times New Roman" w:cs="Times New Roman" w:eastAsiaTheme="minorEastAsia"/>
                <w:sz w:val="18"/>
                <w:szCs w:val="18"/>
                <w:lang w:eastAsia="zh-CN"/>
              </w:rPr>
            </w:pPr>
            <w:r>
              <w:rPr>
                <w:rFonts w:ascii="Times New Roman" w:hAnsi="Times New Roman" w:cs="Times New Roman"/>
                <w:sz w:val="18"/>
                <w:szCs w:val="18"/>
                <w:lang w:eastAsia="zh-CN"/>
              </w:rPr>
              <w:t>(</w:t>
            </w:r>
            <w:r>
              <w:rPr>
                <w:rFonts w:ascii="Times New Roman" w:hAnsi="Times New Roman" w:cs="Times New Roman"/>
                <w:sz w:val="18"/>
                <w:szCs w:val="18"/>
              </w:rPr>
              <w:t>550,3273</w:t>
            </w:r>
            <w:r>
              <w:rPr>
                <w:rFonts w:ascii="Times New Roman" w:hAnsi="Times New Roman" w:cs="Times New Roman"/>
                <w:sz w:val="18"/>
                <w:szCs w:val="18"/>
                <w:lang w:eastAsia="zh-CN"/>
              </w:rPr>
              <w:t>)</w:t>
            </w:r>
          </w:p>
        </w:tc>
        <w:tc>
          <w:tcPr>
            <w:tcW w:w="1410"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6792.99</w:t>
            </w:r>
          </w:p>
          <w:p>
            <w:pPr>
              <w:jc w:val="center"/>
              <w:textAlignment w:val="center"/>
              <w:rPr>
                <w:rFonts w:ascii="Times New Roman" w:hAnsi="Times New Roman" w:cs="Times New Roman"/>
                <w:sz w:val="18"/>
                <w:szCs w:val="18"/>
              </w:rPr>
            </w:pPr>
            <w:r>
              <w:rPr>
                <w:rFonts w:ascii="Times New Roman" w:hAnsi="Times New Roman" w:cs="Times New Roman"/>
                <w:sz w:val="18"/>
                <w:szCs w:val="18"/>
              </w:rPr>
              <w:t>(1926,11389)</w:t>
            </w:r>
          </w:p>
        </w:tc>
        <w:tc>
          <w:tcPr>
            <w:tcW w:w="142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17868</w:t>
            </w:r>
          </w:p>
          <w:p>
            <w:pPr>
              <w:jc w:val="center"/>
              <w:textAlignment w:val="center"/>
              <w:rPr>
                <w:rFonts w:ascii="Times New Roman" w:hAnsi="Times New Roman" w:cs="Times New Roman"/>
                <w:sz w:val="18"/>
                <w:szCs w:val="18"/>
              </w:rPr>
            </w:pPr>
            <w:r>
              <w:rPr>
                <w:rFonts w:ascii="Times New Roman" w:hAnsi="Times New Roman" w:cs="Times New Roman"/>
                <w:sz w:val="18"/>
                <w:szCs w:val="18"/>
              </w:rPr>
              <w:t>(5068,29947)</w:t>
            </w:r>
          </w:p>
        </w:tc>
        <w:tc>
          <w:tcPr>
            <w:tcW w:w="145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31104.40</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8825,52116</w:t>
            </w:r>
            <w:r>
              <w:rPr>
                <w:rFonts w:ascii="Times New Roman" w:hAnsi="Times New Roman" w:eastAsia="宋体" w:cs="Times New Roman"/>
                <w:sz w:val="18"/>
                <w:szCs w:val="18"/>
                <w:lang w:eastAsia="zh-CN"/>
              </w:rPr>
              <w:t>)</w:t>
            </w:r>
          </w:p>
        </w:tc>
        <w:tc>
          <w:tcPr>
            <w:tcW w:w="1574"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44811.19</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28487,60963</w:t>
            </w:r>
            <w:r>
              <w:rPr>
                <w:rFonts w:ascii="Times New Roman" w:hAnsi="Times New Roman" w:eastAsia="宋体" w:cs="Times New Roman"/>
                <w:sz w:val="18"/>
                <w:szCs w:val="18"/>
                <w:lang w:eastAsia="zh-CN"/>
              </w:rPr>
              <w:t>)</w:t>
            </w:r>
          </w:p>
        </w:tc>
      </w:tr>
      <w:tr>
        <w:tblPrEx>
          <w:tblCellMar>
            <w:top w:w="0" w:type="dxa"/>
            <w:left w:w="0" w:type="dxa"/>
            <w:bottom w:w="0" w:type="dxa"/>
            <w:right w:w="0" w:type="dxa"/>
          </w:tblCellMar>
        </w:tblPrEx>
        <w:trPr>
          <w:trHeight w:val="283" w:hRule="atLeast"/>
          <w:jc w:val="center"/>
        </w:trPr>
        <w:tc>
          <w:tcPr>
            <w:tcW w:w="1499" w:type="dxa"/>
            <w:tcBorders>
              <w:top w:val="nil"/>
              <w:left w:val="nil"/>
              <w:bottom w:val="nil"/>
              <w:right w:val="nil"/>
            </w:tcBorders>
            <w:noWrap/>
            <w:tcMar>
              <w:top w:w="12" w:type="dxa"/>
              <w:left w:w="12" w:type="dxa"/>
              <w:right w:w="12" w:type="dxa"/>
            </w:tcMar>
            <w:vAlign w:val="center"/>
          </w:tcPr>
          <w:p>
            <w:pPr>
              <w:textAlignment w:val="center"/>
              <w:rPr>
                <w:rFonts w:ascii="Times New Roman" w:hAnsi="Times New Roman" w:cs="Times New Roman"/>
                <w:sz w:val="18"/>
                <w:szCs w:val="18"/>
              </w:rPr>
            </w:pPr>
            <w:r>
              <w:rPr>
                <w:rFonts w:ascii="Times New Roman" w:hAnsi="Times New Roman" w:cs="Times New Roman"/>
                <w:sz w:val="18"/>
                <w:szCs w:val="18"/>
              </w:rPr>
              <w:t>Respiratory hospital admission</w:t>
            </w:r>
          </w:p>
        </w:tc>
        <w:tc>
          <w:tcPr>
            <w:tcW w:w="1351"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173.95</w:t>
            </w:r>
          </w:p>
          <w:p>
            <w:pPr>
              <w:jc w:val="center"/>
              <w:textAlignment w:val="center"/>
              <w:rPr>
                <w:rFonts w:ascii="Times New Roman" w:hAnsi="Times New Roman" w:cs="Times New Roman"/>
                <w:sz w:val="18"/>
                <w:szCs w:val="18"/>
              </w:rPr>
            </w:pPr>
            <w:r>
              <w:rPr>
                <w:rFonts w:ascii="Times New Roman" w:hAnsi="Times New Roman" w:cs="Times New Roman"/>
                <w:sz w:val="18"/>
                <w:szCs w:val="18"/>
                <w:lang w:eastAsia="zh-CN"/>
              </w:rPr>
              <w:t>(</w:t>
            </w:r>
            <w:r>
              <w:rPr>
                <w:rFonts w:ascii="Times New Roman" w:hAnsi="Times New Roman" w:cs="Times New Roman"/>
                <w:sz w:val="18"/>
                <w:szCs w:val="18"/>
              </w:rPr>
              <w:t>0,348)</w:t>
            </w:r>
          </w:p>
        </w:tc>
        <w:tc>
          <w:tcPr>
            <w:tcW w:w="1410"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692.08</w:t>
            </w:r>
          </w:p>
          <w:p>
            <w:pPr>
              <w:jc w:val="center"/>
              <w:textAlignment w:val="center"/>
              <w:rPr>
                <w:rFonts w:ascii="Times New Roman" w:hAnsi="Times New Roman" w:cs="Times New Roman"/>
                <w:sz w:val="18"/>
                <w:szCs w:val="18"/>
              </w:rPr>
            </w:pPr>
            <w:r>
              <w:rPr>
                <w:rFonts w:ascii="Times New Roman" w:hAnsi="Times New Roman" w:cs="Times New Roman"/>
                <w:sz w:val="18"/>
                <w:szCs w:val="18"/>
              </w:rPr>
              <w:t>(0,1373)</w:t>
            </w:r>
          </w:p>
        </w:tc>
        <w:tc>
          <w:tcPr>
            <w:tcW w:w="142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1014.62</w:t>
            </w:r>
          </w:p>
          <w:p>
            <w:pPr>
              <w:jc w:val="center"/>
              <w:textAlignment w:val="center"/>
              <w:rPr>
                <w:rFonts w:ascii="Times New Roman" w:hAnsi="Times New Roman" w:cs="Times New Roman"/>
                <w:sz w:val="18"/>
                <w:szCs w:val="18"/>
              </w:rPr>
            </w:pPr>
            <w:r>
              <w:rPr>
                <w:rFonts w:ascii="Times New Roman" w:hAnsi="Times New Roman" w:cs="Times New Roman"/>
                <w:sz w:val="18"/>
                <w:szCs w:val="18"/>
              </w:rPr>
              <w:t>(0,1916)</w:t>
            </w:r>
          </w:p>
        </w:tc>
        <w:tc>
          <w:tcPr>
            <w:tcW w:w="145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1471.23</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0,2914</w:t>
            </w:r>
            <w:r>
              <w:rPr>
                <w:rFonts w:ascii="Times New Roman" w:hAnsi="Times New Roman" w:eastAsia="宋体" w:cs="Times New Roman"/>
                <w:sz w:val="18"/>
                <w:szCs w:val="18"/>
                <w:lang w:eastAsia="zh-CN"/>
              </w:rPr>
              <w:t>)</w:t>
            </w:r>
          </w:p>
        </w:tc>
        <w:tc>
          <w:tcPr>
            <w:tcW w:w="1574"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1575.41</w:t>
            </w:r>
          </w:p>
          <w:p>
            <w:pPr>
              <w:jc w:val="center"/>
              <w:textAlignment w:val="center"/>
              <w:rPr>
                <w:rFonts w:ascii="Times New Roman" w:hAnsi="Times New Roman" w:eastAsia="宋体" w:cs="Times New Roman"/>
                <w:sz w:val="18"/>
                <w:szCs w:val="18"/>
                <w:lang w:eastAsia="zh-CN"/>
              </w:rPr>
            </w:pPr>
            <w:r>
              <w:rPr>
                <w:rFonts w:hint="eastAsia" w:ascii="宋体" w:hAnsi="宋体" w:eastAsia="宋体" w:cs="宋体"/>
                <w:sz w:val="18"/>
                <w:szCs w:val="18"/>
              </w:rPr>
              <w:t>（</w:t>
            </w:r>
            <w:r>
              <w:rPr>
                <w:rFonts w:ascii="Times New Roman" w:hAnsi="Times New Roman" w:cs="Times New Roman"/>
                <w:sz w:val="18"/>
                <w:szCs w:val="18"/>
              </w:rPr>
              <w:t>0,3121</w:t>
            </w:r>
            <w:r>
              <w:rPr>
                <w:rFonts w:ascii="Times New Roman" w:hAnsi="Times New Roman" w:eastAsia="宋体" w:cs="Times New Roman"/>
                <w:sz w:val="18"/>
                <w:szCs w:val="18"/>
                <w:lang w:eastAsia="zh-CN"/>
              </w:rPr>
              <w:t>)</w:t>
            </w:r>
          </w:p>
        </w:tc>
      </w:tr>
      <w:tr>
        <w:tblPrEx>
          <w:tblCellMar>
            <w:top w:w="0" w:type="dxa"/>
            <w:left w:w="0" w:type="dxa"/>
            <w:bottom w:w="0" w:type="dxa"/>
            <w:right w:w="0" w:type="dxa"/>
          </w:tblCellMar>
        </w:tblPrEx>
        <w:trPr>
          <w:trHeight w:val="283" w:hRule="atLeast"/>
          <w:jc w:val="center"/>
        </w:trPr>
        <w:tc>
          <w:tcPr>
            <w:tcW w:w="1499" w:type="dxa"/>
            <w:tcBorders>
              <w:top w:val="nil"/>
              <w:left w:val="nil"/>
              <w:bottom w:val="nil"/>
              <w:right w:val="nil"/>
            </w:tcBorders>
            <w:noWrap/>
            <w:tcMar>
              <w:top w:w="12" w:type="dxa"/>
              <w:left w:w="12" w:type="dxa"/>
              <w:right w:w="12" w:type="dxa"/>
            </w:tcMar>
            <w:vAlign w:val="center"/>
          </w:tcPr>
          <w:p>
            <w:pPr>
              <w:textAlignment w:val="center"/>
              <w:rPr>
                <w:rFonts w:ascii="Times New Roman" w:hAnsi="Times New Roman" w:cs="Times New Roman"/>
                <w:sz w:val="18"/>
                <w:szCs w:val="18"/>
              </w:rPr>
            </w:pPr>
            <w:r>
              <w:rPr>
                <w:rFonts w:ascii="Times New Roman" w:hAnsi="Times New Roman" w:cs="Times New Roman"/>
                <w:sz w:val="18"/>
                <w:szCs w:val="18"/>
              </w:rPr>
              <w:t>Cardiovascular hospital admission</w:t>
            </w:r>
          </w:p>
        </w:tc>
        <w:tc>
          <w:tcPr>
            <w:tcW w:w="1351"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207.59</w:t>
            </w:r>
          </w:p>
          <w:p>
            <w:pPr>
              <w:jc w:val="center"/>
              <w:textAlignment w:val="center"/>
              <w:rPr>
                <w:rFonts w:ascii="Times New Roman" w:hAnsi="Times New Roman" w:cs="Times New Roman"/>
                <w:sz w:val="18"/>
                <w:szCs w:val="18"/>
              </w:rPr>
            </w:pPr>
            <w:r>
              <w:rPr>
                <w:rFonts w:ascii="Times New Roman" w:hAnsi="Times New Roman" w:cs="Times New Roman"/>
                <w:sz w:val="18"/>
                <w:szCs w:val="18"/>
              </w:rPr>
              <w:t>(132,283)</w:t>
            </w:r>
          </w:p>
        </w:tc>
        <w:tc>
          <w:tcPr>
            <w:tcW w:w="1410"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828.75</w:t>
            </w:r>
          </w:p>
          <w:p>
            <w:pPr>
              <w:jc w:val="center"/>
              <w:textAlignment w:val="center"/>
              <w:rPr>
                <w:rFonts w:ascii="Times New Roman" w:hAnsi="Times New Roman" w:cs="Times New Roman"/>
                <w:sz w:val="18"/>
                <w:szCs w:val="18"/>
              </w:rPr>
            </w:pPr>
            <w:r>
              <w:rPr>
                <w:rFonts w:ascii="Times New Roman" w:hAnsi="Times New Roman" w:cs="Times New Roman"/>
                <w:sz w:val="18"/>
                <w:szCs w:val="18"/>
              </w:rPr>
              <w:t>(527,1128)</w:t>
            </w:r>
          </w:p>
        </w:tc>
        <w:tc>
          <w:tcPr>
            <w:tcW w:w="142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1215.43</w:t>
            </w:r>
          </w:p>
          <w:p>
            <w:pPr>
              <w:jc w:val="center"/>
              <w:textAlignment w:val="center"/>
              <w:rPr>
                <w:rFonts w:ascii="Times New Roman" w:hAnsi="Times New Roman" w:cs="Times New Roman"/>
                <w:sz w:val="18"/>
                <w:szCs w:val="18"/>
              </w:rPr>
            </w:pPr>
            <w:r>
              <w:rPr>
                <w:rFonts w:ascii="Times New Roman" w:hAnsi="Times New Roman" w:cs="Times New Roman"/>
                <w:sz w:val="18"/>
                <w:szCs w:val="18"/>
              </w:rPr>
              <w:t>(736,1576)</w:t>
            </w:r>
          </w:p>
        </w:tc>
        <w:tc>
          <w:tcPr>
            <w:tcW w:w="145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1762.93</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1121,2398</w:t>
            </w:r>
            <w:r>
              <w:rPr>
                <w:rFonts w:ascii="Times New Roman" w:hAnsi="Times New Roman" w:eastAsia="宋体" w:cs="Times New Roman"/>
                <w:sz w:val="18"/>
                <w:szCs w:val="18"/>
                <w:lang w:eastAsia="zh-CN"/>
              </w:rPr>
              <w:t>)</w:t>
            </w:r>
          </w:p>
        </w:tc>
        <w:tc>
          <w:tcPr>
            <w:tcW w:w="1574"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1485.37</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421,2489</w:t>
            </w:r>
            <w:r>
              <w:rPr>
                <w:rFonts w:ascii="Times New Roman" w:hAnsi="Times New Roman" w:eastAsia="宋体" w:cs="Times New Roman"/>
                <w:sz w:val="18"/>
                <w:szCs w:val="18"/>
                <w:lang w:eastAsia="zh-CN"/>
              </w:rPr>
              <w:t>)</w:t>
            </w:r>
          </w:p>
        </w:tc>
      </w:tr>
      <w:tr>
        <w:tblPrEx>
          <w:tblCellMar>
            <w:top w:w="0" w:type="dxa"/>
            <w:left w:w="0" w:type="dxa"/>
            <w:bottom w:w="0" w:type="dxa"/>
            <w:right w:w="0" w:type="dxa"/>
          </w:tblCellMar>
        </w:tblPrEx>
        <w:trPr>
          <w:trHeight w:val="283" w:hRule="atLeast"/>
          <w:jc w:val="center"/>
        </w:trPr>
        <w:tc>
          <w:tcPr>
            <w:tcW w:w="1499" w:type="dxa"/>
            <w:tcBorders>
              <w:top w:val="nil"/>
              <w:left w:val="nil"/>
              <w:bottom w:val="nil"/>
              <w:right w:val="nil"/>
            </w:tcBorders>
            <w:noWrap/>
            <w:tcMar>
              <w:top w:w="12" w:type="dxa"/>
              <w:left w:w="12" w:type="dxa"/>
              <w:right w:w="12" w:type="dxa"/>
            </w:tcMar>
            <w:vAlign w:val="center"/>
          </w:tcPr>
          <w:p>
            <w:pPr>
              <w:textAlignment w:val="center"/>
              <w:rPr>
                <w:rFonts w:ascii="Times New Roman" w:hAnsi="Times New Roman" w:cs="Times New Roman"/>
                <w:sz w:val="18"/>
                <w:szCs w:val="18"/>
              </w:rPr>
            </w:pPr>
            <w:r>
              <w:rPr>
                <w:rFonts w:ascii="Times New Roman" w:hAnsi="Times New Roman" w:cs="Times New Roman"/>
                <w:sz w:val="18"/>
                <w:szCs w:val="18"/>
              </w:rPr>
              <w:t>Internal medicine</w:t>
            </w:r>
          </w:p>
        </w:tc>
        <w:tc>
          <w:tcPr>
            <w:tcW w:w="1351"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63.69</w:t>
            </w:r>
          </w:p>
          <w:p>
            <w:pPr>
              <w:jc w:val="center"/>
              <w:textAlignment w:val="center"/>
              <w:rPr>
                <w:rFonts w:ascii="Times New Roman" w:hAnsi="Times New Roman" w:cs="Times New Roman"/>
                <w:sz w:val="18"/>
                <w:szCs w:val="18"/>
              </w:rPr>
            </w:pPr>
            <w:r>
              <w:rPr>
                <w:rFonts w:ascii="Times New Roman" w:hAnsi="Times New Roman" w:cs="Times New Roman"/>
                <w:sz w:val="18"/>
                <w:szCs w:val="18"/>
              </w:rPr>
              <w:t>(35,91)</w:t>
            </w:r>
          </w:p>
        </w:tc>
        <w:tc>
          <w:tcPr>
            <w:tcW w:w="1410"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203.84</w:t>
            </w:r>
          </w:p>
          <w:p>
            <w:pPr>
              <w:jc w:val="center"/>
              <w:textAlignment w:val="center"/>
              <w:rPr>
                <w:rFonts w:ascii="Times New Roman" w:hAnsi="Times New Roman" w:cs="Times New Roman"/>
                <w:sz w:val="18"/>
                <w:szCs w:val="18"/>
              </w:rPr>
            </w:pPr>
            <w:r>
              <w:rPr>
                <w:rFonts w:ascii="Times New Roman" w:hAnsi="Times New Roman" w:cs="Times New Roman"/>
                <w:sz w:val="18"/>
                <w:szCs w:val="18"/>
              </w:rPr>
              <w:t>(113,290)</w:t>
            </w:r>
          </w:p>
        </w:tc>
        <w:tc>
          <w:tcPr>
            <w:tcW w:w="142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497.37</w:t>
            </w:r>
          </w:p>
          <w:p>
            <w:pPr>
              <w:jc w:val="center"/>
              <w:textAlignment w:val="center"/>
              <w:rPr>
                <w:rFonts w:ascii="Times New Roman" w:hAnsi="Times New Roman" w:cs="Times New Roman"/>
                <w:sz w:val="18"/>
                <w:szCs w:val="18"/>
              </w:rPr>
            </w:pPr>
            <w:r>
              <w:rPr>
                <w:rFonts w:ascii="Times New Roman" w:hAnsi="Times New Roman" w:cs="Times New Roman"/>
                <w:sz w:val="18"/>
                <w:szCs w:val="18"/>
              </w:rPr>
              <w:t>(275,708)</w:t>
            </w:r>
          </w:p>
        </w:tc>
        <w:tc>
          <w:tcPr>
            <w:tcW w:w="145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1150.15</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633,1626</w:t>
            </w:r>
            <w:r>
              <w:rPr>
                <w:rFonts w:ascii="Times New Roman" w:hAnsi="Times New Roman" w:eastAsia="宋体" w:cs="Times New Roman"/>
                <w:sz w:val="18"/>
                <w:szCs w:val="18"/>
                <w:lang w:eastAsia="zh-CN"/>
              </w:rPr>
              <w:t>)</w:t>
            </w:r>
          </w:p>
        </w:tc>
        <w:tc>
          <w:tcPr>
            <w:tcW w:w="1574"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1246.59</w:t>
            </w:r>
          </w:p>
          <w:p>
            <w:pPr>
              <w:jc w:val="center"/>
              <w:textAlignment w:val="center"/>
              <w:rPr>
                <w:rFonts w:ascii="Times New Roman" w:hAnsi="Times New Roman" w:cs="Times New Roman"/>
                <w:sz w:val="18"/>
                <w:szCs w:val="18"/>
              </w:rPr>
            </w:pPr>
            <w:r>
              <w:rPr>
                <w:rFonts w:hint="eastAsia" w:ascii="宋体" w:hAnsi="宋体" w:eastAsia="宋体" w:cs="宋体"/>
                <w:sz w:val="18"/>
                <w:szCs w:val="18"/>
              </w:rPr>
              <w:t>（</w:t>
            </w:r>
            <w:r>
              <w:rPr>
                <w:rFonts w:ascii="Times New Roman" w:hAnsi="Times New Roman" w:cs="Times New Roman"/>
                <w:sz w:val="18"/>
                <w:szCs w:val="18"/>
              </w:rPr>
              <w:t>690,1773</w:t>
            </w:r>
            <w:r>
              <w:rPr>
                <w:rFonts w:hint="eastAsia" w:ascii="宋体" w:hAnsi="宋体" w:eastAsia="宋体" w:cs="宋体"/>
                <w:sz w:val="18"/>
                <w:szCs w:val="18"/>
              </w:rPr>
              <w:t>）</w:t>
            </w:r>
          </w:p>
        </w:tc>
      </w:tr>
      <w:tr>
        <w:tblPrEx>
          <w:tblCellMar>
            <w:top w:w="0" w:type="dxa"/>
            <w:left w:w="0" w:type="dxa"/>
            <w:bottom w:w="0" w:type="dxa"/>
            <w:right w:w="0" w:type="dxa"/>
          </w:tblCellMar>
        </w:tblPrEx>
        <w:trPr>
          <w:trHeight w:val="283" w:hRule="atLeast"/>
          <w:jc w:val="center"/>
        </w:trPr>
        <w:tc>
          <w:tcPr>
            <w:tcW w:w="1499" w:type="dxa"/>
            <w:tcBorders>
              <w:top w:val="nil"/>
              <w:left w:val="nil"/>
              <w:bottom w:val="nil"/>
              <w:right w:val="nil"/>
            </w:tcBorders>
            <w:noWrap/>
            <w:tcMar>
              <w:top w:w="12" w:type="dxa"/>
              <w:left w:w="12" w:type="dxa"/>
              <w:right w:w="12" w:type="dxa"/>
            </w:tcMar>
            <w:vAlign w:val="center"/>
          </w:tcPr>
          <w:p>
            <w:pPr>
              <w:textAlignment w:val="center"/>
              <w:rPr>
                <w:rFonts w:ascii="Times New Roman" w:hAnsi="Times New Roman" w:cs="Times New Roman"/>
                <w:sz w:val="18"/>
                <w:szCs w:val="18"/>
              </w:rPr>
            </w:pPr>
            <w:r>
              <w:rPr>
                <w:rFonts w:ascii="Times New Roman" w:hAnsi="Times New Roman" w:cs="Times New Roman"/>
                <w:sz w:val="18"/>
                <w:szCs w:val="18"/>
                <w:lang w:eastAsia="zh-CN"/>
              </w:rPr>
              <w:t>pediatrics</w:t>
            </w:r>
          </w:p>
        </w:tc>
        <w:tc>
          <w:tcPr>
            <w:tcW w:w="1351"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16.22</w:t>
            </w:r>
          </w:p>
          <w:p>
            <w:pPr>
              <w:jc w:val="center"/>
              <w:textAlignment w:val="center"/>
              <w:rPr>
                <w:rFonts w:ascii="Times New Roman" w:hAnsi="Times New Roman" w:cs="Times New Roman"/>
                <w:sz w:val="18"/>
                <w:szCs w:val="18"/>
              </w:rPr>
            </w:pPr>
            <w:r>
              <w:rPr>
                <w:rFonts w:ascii="Times New Roman" w:hAnsi="Times New Roman" w:cs="Times New Roman"/>
                <w:sz w:val="18"/>
                <w:szCs w:val="18"/>
              </w:rPr>
              <w:t>(6,26)</w:t>
            </w:r>
          </w:p>
        </w:tc>
        <w:tc>
          <w:tcPr>
            <w:tcW w:w="1410"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61.42</w:t>
            </w:r>
          </w:p>
          <w:p>
            <w:pPr>
              <w:jc w:val="center"/>
              <w:textAlignment w:val="center"/>
              <w:rPr>
                <w:rFonts w:ascii="Times New Roman" w:hAnsi="Times New Roman" w:cs="Times New Roman"/>
                <w:sz w:val="18"/>
                <w:szCs w:val="18"/>
              </w:rPr>
            </w:pPr>
            <w:r>
              <w:rPr>
                <w:rFonts w:ascii="Times New Roman" w:hAnsi="Times New Roman" w:cs="Times New Roman"/>
                <w:sz w:val="18"/>
                <w:szCs w:val="18"/>
              </w:rPr>
              <w:t>(22,98)</w:t>
            </w:r>
          </w:p>
        </w:tc>
        <w:tc>
          <w:tcPr>
            <w:tcW w:w="142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192.81</w:t>
            </w:r>
          </w:p>
          <w:p>
            <w:pPr>
              <w:jc w:val="center"/>
              <w:textAlignment w:val="center"/>
              <w:rPr>
                <w:rFonts w:ascii="Times New Roman" w:hAnsi="Times New Roman" w:cs="Times New Roman"/>
                <w:sz w:val="18"/>
                <w:szCs w:val="18"/>
              </w:rPr>
            </w:pPr>
            <w:r>
              <w:rPr>
                <w:rFonts w:ascii="Times New Roman" w:hAnsi="Times New Roman" w:cs="Times New Roman"/>
                <w:sz w:val="18"/>
                <w:szCs w:val="18"/>
              </w:rPr>
              <w:t>(69,308)</w:t>
            </w:r>
          </w:p>
        </w:tc>
        <w:tc>
          <w:tcPr>
            <w:tcW w:w="145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497.60</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179,794</w:t>
            </w:r>
            <w:r>
              <w:rPr>
                <w:rFonts w:ascii="Times New Roman" w:hAnsi="Times New Roman" w:eastAsia="宋体" w:cs="Times New Roman"/>
                <w:sz w:val="18"/>
                <w:szCs w:val="18"/>
                <w:lang w:eastAsia="zh-CN"/>
              </w:rPr>
              <w:t>)</w:t>
            </w:r>
          </w:p>
        </w:tc>
        <w:tc>
          <w:tcPr>
            <w:tcW w:w="1574"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539.32</w:t>
            </w:r>
          </w:p>
          <w:p>
            <w:pPr>
              <w:jc w:val="center"/>
              <w:textAlignment w:val="center"/>
              <w:rPr>
                <w:rFonts w:ascii="Times New Roman" w:hAnsi="Times New Roman" w:cs="Times New Roman"/>
                <w:sz w:val="18"/>
                <w:szCs w:val="18"/>
              </w:rPr>
            </w:pPr>
            <w:r>
              <w:rPr>
                <w:rFonts w:hint="eastAsia" w:ascii="宋体" w:hAnsi="宋体" w:eastAsia="宋体" w:cs="宋体"/>
                <w:sz w:val="18"/>
                <w:szCs w:val="18"/>
              </w:rPr>
              <w:t>（</w:t>
            </w:r>
            <w:r>
              <w:rPr>
                <w:rFonts w:ascii="Times New Roman" w:hAnsi="Times New Roman" w:cs="Times New Roman"/>
                <w:sz w:val="18"/>
                <w:szCs w:val="18"/>
              </w:rPr>
              <w:t>194,861</w:t>
            </w:r>
            <w:r>
              <w:rPr>
                <w:rFonts w:hint="eastAsia" w:ascii="宋体" w:hAnsi="宋体" w:eastAsia="宋体" w:cs="宋体"/>
                <w:sz w:val="18"/>
                <w:szCs w:val="18"/>
              </w:rPr>
              <w:t>）</w:t>
            </w:r>
          </w:p>
        </w:tc>
      </w:tr>
      <w:tr>
        <w:tblPrEx>
          <w:tblCellMar>
            <w:top w:w="0" w:type="dxa"/>
            <w:left w:w="0" w:type="dxa"/>
            <w:bottom w:w="0" w:type="dxa"/>
            <w:right w:w="0" w:type="dxa"/>
          </w:tblCellMar>
        </w:tblPrEx>
        <w:trPr>
          <w:trHeight w:val="283" w:hRule="atLeast"/>
          <w:jc w:val="center"/>
        </w:trPr>
        <w:tc>
          <w:tcPr>
            <w:tcW w:w="1499" w:type="dxa"/>
            <w:tcBorders>
              <w:top w:val="nil"/>
              <w:left w:val="nil"/>
              <w:bottom w:val="nil"/>
              <w:right w:val="nil"/>
            </w:tcBorders>
            <w:noWrap/>
            <w:tcMar>
              <w:top w:w="12" w:type="dxa"/>
              <w:left w:w="12" w:type="dxa"/>
              <w:right w:w="12" w:type="dxa"/>
            </w:tcMar>
            <w:vAlign w:val="center"/>
          </w:tcPr>
          <w:p>
            <w:pPr>
              <w:textAlignment w:val="center"/>
              <w:rPr>
                <w:rFonts w:ascii="Times New Roman" w:hAnsi="Times New Roman" w:cs="Times New Roman"/>
                <w:sz w:val="18"/>
                <w:szCs w:val="18"/>
              </w:rPr>
            </w:pPr>
            <w:r>
              <w:rPr>
                <w:rFonts w:ascii="Times New Roman" w:hAnsi="Times New Roman" w:cs="Times New Roman"/>
                <w:sz w:val="18"/>
                <w:szCs w:val="18"/>
              </w:rPr>
              <w:t>Acute bronchitis</w:t>
            </w:r>
          </w:p>
        </w:tc>
        <w:tc>
          <w:tcPr>
            <w:tcW w:w="1351"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69.89</w:t>
            </w:r>
          </w:p>
          <w:p>
            <w:pPr>
              <w:jc w:val="center"/>
              <w:textAlignment w:val="center"/>
              <w:rPr>
                <w:rFonts w:ascii="Times New Roman" w:hAnsi="Times New Roman" w:cs="Times New Roman"/>
                <w:sz w:val="18"/>
                <w:szCs w:val="18"/>
              </w:rPr>
            </w:pPr>
            <w:r>
              <w:rPr>
                <w:rFonts w:ascii="Times New Roman" w:hAnsi="Times New Roman" w:cs="Times New Roman"/>
                <w:sz w:val="18"/>
                <w:szCs w:val="18"/>
              </w:rPr>
              <w:t>(25,109)</w:t>
            </w:r>
          </w:p>
        </w:tc>
        <w:tc>
          <w:tcPr>
            <w:tcW w:w="1410"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257.73</w:t>
            </w:r>
          </w:p>
          <w:p>
            <w:pPr>
              <w:jc w:val="center"/>
              <w:textAlignment w:val="center"/>
              <w:rPr>
                <w:rFonts w:ascii="Times New Roman" w:hAnsi="Times New Roman" w:cs="Times New Roman"/>
                <w:sz w:val="18"/>
                <w:szCs w:val="18"/>
              </w:rPr>
            </w:pPr>
            <w:r>
              <w:rPr>
                <w:rFonts w:ascii="Times New Roman" w:hAnsi="Times New Roman" w:cs="Times New Roman"/>
                <w:sz w:val="18"/>
                <w:szCs w:val="18"/>
              </w:rPr>
              <w:t>(97,387)</w:t>
            </w:r>
          </w:p>
        </w:tc>
        <w:tc>
          <w:tcPr>
            <w:tcW w:w="142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532.00</w:t>
            </w:r>
          </w:p>
          <w:p>
            <w:pPr>
              <w:jc w:val="center"/>
              <w:textAlignment w:val="center"/>
              <w:rPr>
                <w:rFonts w:ascii="Times New Roman" w:hAnsi="Times New Roman" w:cs="Times New Roman"/>
                <w:sz w:val="18"/>
                <w:szCs w:val="18"/>
              </w:rPr>
            </w:pPr>
            <w:r>
              <w:rPr>
                <w:rFonts w:ascii="Times New Roman" w:hAnsi="Times New Roman" w:cs="Times New Roman"/>
                <w:sz w:val="18"/>
                <w:szCs w:val="18"/>
              </w:rPr>
              <w:t>(201,797)</w:t>
            </w:r>
          </w:p>
        </w:tc>
        <w:tc>
          <w:tcPr>
            <w:tcW w:w="145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920.73</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349,1375</w:t>
            </w:r>
            <w:r>
              <w:rPr>
                <w:rFonts w:ascii="Times New Roman" w:hAnsi="Times New Roman" w:eastAsia="宋体" w:cs="Times New Roman"/>
                <w:sz w:val="18"/>
                <w:szCs w:val="18"/>
                <w:lang w:eastAsia="zh-CN"/>
              </w:rPr>
              <w:t>)</w:t>
            </w:r>
          </w:p>
        </w:tc>
        <w:tc>
          <w:tcPr>
            <w:tcW w:w="1574"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1042.85</w:t>
            </w:r>
          </w:p>
          <w:p>
            <w:pPr>
              <w:jc w:val="center"/>
              <w:textAlignment w:val="center"/>
              <w:rPr>
                <w:rFonts w:ascii="Times New Roman" w:hAnsi="Times New Roman" w:cs="Times New Roman"/>
                <w:sz w:val="18"/>
                <w:szCs w:val="18"/>
              </w:rPr>
            </w:pPr>
            <w:r>
              <w:rPr>
                <w:rFonts w:hint="eastAsia" w:ascii="宋体" w:hAnsi="宋体" w:eastAsia="宋体" w:cs="宋体"/>
                <w:sz w:val="18"/>
                <w:szCs w:val="18"/>
              </w:rPr>
              <w:t>（</w:t>
            </w:r>
            <w:r>
              <w:rPr>
                <w:rFonts w:ascii="Times New Roman" w:hAnsi="Times New Roman" w:cs="Times New Roman"/>
                <w:sz w:val="18"/>
                <w:szCs w:val="18"/>
              </w:rPr>
              <w:t>396,1557</w:t>
            </w:r>
            <w:r>
              <w:rPr>
                <w:rFonts w:hint="eastAsia" w:ascii="宋体" w:hAnsi="宋体" w:eastAsia="宋体" w:cs="宋体"/>
                <w:sz w:val="18"/>
                <w:szCs w:val="18"/>
              </w:rPr>
              <w:t>）</w:t>
            </w:r>
          </w:p>
        </w:tc>
      </w:tr>
      <w:tr>
        <w:tblPrEx>
          <w:tblCellMar>
            <w:top w:w="0" w:type="dxa"/>
            <w:left w:w="0" w:type="dxa"/>
            <w:bottom w:w="0" w:type="dxa"/>
            <w:right w:w="0" w:type="dxa"/>
          </w:tblCellMar>
        </w:tblPrEx>
        <w:trPr>
          <w:trHeight w:val="283" w:hRule="atLeast"/>
          <w:jc w:val="center"/>
        </w:trPr>
        <w:tc>
          <w:tcPr>
            <w:tcW w:w="1499" w:type="dxa"/>
            <w:tcBorders>
              <w:top w:val="nil"/>
              <w:left w:val="nil"/>
              <w:bottom w:val="nil"/>
              <w:right w:val="nil"/>
            </w:tcBorders>
            <w:noWrap/>
            <w:tcMar>
              <w:top w:w="12" w:type="dxa"/>
              <w:left w:w="12" w:type="dxa"/>
              <w:right w:w="12" w:type="dxa"/>
            </w:tcMar>
            <w:vAlign w:val="center"/>
          </w:tcPr>
          <w:p>
            <w:pPr>
              <w:textAlignment w:val="center"/>
              <w:rPr>
                <w:rFonts w:ascii="Times New Roman" w:hAnsi="Times New Roman" w:cs="Times New Roman"/>
                <w:sz w:val="18"/>
                <w:szCs w:val="18"/>
              </w:rPr>
            </w:pPr>
            <w:r>
              <w:rPr>
                <w:rFonts w:ascii="Times New Roman" w:hAnsi="Times New Roman" w:cs="Times New Roman"/>
                <w:sz w:val="18"/>
                <w:szCs w:val="18"/>
              </w:rPr>
              <w:t>Chronic bronchitis</w:t>
            </w:r>
          </w:p>
        </w:tc>
        <w:tc>
          <w:tcPr>
            <w:tcW w:w="1351"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31519.25</w:t>
            </w:r>
          </w:p>
          <w:p>
            <w:pPr>
              <w:jc w:val="center"/>
              <w:textAlignment w:val="center"/>
              <w:rPr>
                <w:rFonts w:ascii="Times New Roman" w:hAnsi="Times New Roman" w:cs="Times New Roman"/>
                <w:sz w:val="18"/>
                <w:szCs w:val="18"/>
              </w:rPr>
            </w:pPr>
            <w:r>
              <w:rPr>
                <w:rFonts w:ascii="Times New Roman" w:hAnsi="Times New Roman" w:cs="Times New Roman"/>
                <w:sz w:val="18"/>
                <w:szCs w:val="18"/>
              </w:rPr>
              <w:t>(12229,46074)</w:t>
            </w:r>
          </w:p>
        </w:tc>
        <w:tc>
          <w:tcPr>
            <w:tcW w:w="1410"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114309</w:t>
            </w:r>
          </w:p>
          <w:p>
            <w:pPr>
              <w:jc w:val="center"/>
              <w:textAlignment w:val="center"/>
              <w:rPr>
                <w:rFonts w:ascii="Times New Roman" w:hAnsi="Times New Roman" w:cs="Times New Roman"/>
                <w:sz w:val="18"/>
                <w:szCs w:val="18"/>
              </w:rPr>
            </w:pPr>
            <w:r>
              <w:rPr>
                <w:rFonts w:ascii="Times New Roman" w:hAnsi="Times New Roman" w:cs="Times New Roman"/>
                <w:sz w:val="18"/>
                <w:szCs w:val="18"/>
              </w:rPr>
              <w:t>(46639,160563)</w:t>
            </w:r>
          </w:p>
        </w:tc>
        <w:tc>
          <w:tcPr>
            <w:tcW w:w="142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235574.03</w:t>
            </w:r>
          </w:p>
          <w:p>
            <w:pPr>
              <w:jc w:val="center"/>
              <w:textAlignment w:val="center"/>
              <w:rPr>
                <w:rFonts w:ascii="Times New Roman" w:hAnsi="Times New Roman" w:cs="Times New Roman"/>
                <w:sz w:val="18"/>
                <w:szCs w:val="18"/>
              </w:rPr>
            </w:pPr>
            <w:r>
              <w:rPr>
                <w:rFonts w:ascii="Times New Roman" w:hAnsi="Times New Roman" w:cs="Times New Roman"/>
                <w:sz w:val="18"/>
                <w:szCs w:val="18"/>
              </w:rPr>
              <w:t>(96597,329693)</w:t>
            </w:r>
          </w:p>
        </w:tc>
        <w:tc>
          <w:tcPr>
            <w:tcW w:w="145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407111.98</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167713,567966</w:t>
            </w:r>
            <w:r>
              <w:rPr>
                <w:rFonts w:ascii="Times New Roman" w:hAnsi="Times New Roman" w:eastAsia="宋体" w:cs="Times New Roman"/>
                <w:sz w:val="18"/>
                <w:szCs w:val="18"/>
                <w:lang w:eastAsia="zh-CN"/>
              </w:rPr>
              <w:t>)</w:t>
            </w:r>
          </w:p>
        </w:tc>
        <w:tc>
          <w:tcPr>
            <w:tcW w:w="1574"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461098.51</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189969,643247</w:t>
            </w:r>
            <w:r>
              <w:rPr>
                <w:rFonts w:ascii="Times New Roman" w:hAnsi="Times New Roman" w:eastAsia="宋体" w:cs="Times New Roman"/>
                <w:sz w:val="18"/>
                <w:szCs w:val="18"/>
                <w:lang w:eastAsia="zh-CN"/>
              </w:rPr>
              <w:t>)</w:t>
            </w:r>
          </w:p>
        </w:tc>
      </w:tr>
      <w:tr>
        <w:tblPrEx>
          <w:tblCellMar>
            <w:top w:w="0" w:type="dxa"/>
            <w:left w:w="0" w:type="dxa"/>
            <w:bottom w:w="0" w:type="dxa"/>
            <w:right w:w="0" w:type="dxa"/>
          </w:tblCellMar>
        </w:tblPrEx>
        <w:trPr>
          <w:trHeight w:val="283" w:hRule="atLeast"/>
          <w:jc w:val="center"/>
        </w:trPr>
        <w:tc>
          <w:tcPr>
            <w:tcW w:w="1499" w:type="dxa"/>
            <w:tcBorders>
              <w:top w:val="nil"/>
              <w:left w:val="nil"/>
              <w:bottom w:val="nil"/>
              <w:right w:val="nil"/>
            </w:tcBorders>
            <w:noWrap/>
            <w:tcMar>
              <w:top w:w="12" w:type="dxa"/>
              <w:left w:w="12" w:type="dxa"/>
              <w:right w:w="12" w:type="dxa"/>
            </w:tcMar>
            <w:vAlign w:val="center"/>
          </w:tcPr>
          <w:p>
            <w:pPr>
              <w:textAlignment w:val="center"/>
              <w:rPr>
                <w:rFonts w:ascii="Times New Roman" w:hAnsi="Times New Roman" w:cs="Times New Roman"/>
                <w:sz w:val="18"/>
                <w:szCs w:val="18"/>
              </w:rPr>
            </w:pPr>
            <w:r>
              <w:rPr>
                <w:rFonts w:ascii="Times New Roman" w:hAnsi="Times New Roman" w:cs="Times New Roman"/>
                <w:sz w:val="18"/>
                <w:szCs w:val="18"/>
              </w:rPr>
              <w:t>Asthma attack</w:t>
            </w:r>
          </w:p>
        </w:tc>
        <w:tc>
          <w:tcPr>
            <w:tcW w:w="1351"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35.97</w:t>
            </w:r>
          </w:p>
          <w:p>
            <w:pPr>
              <w:jc w:val="center"/>
              <w:textAlignment w:val="center"/>
              <w:rPr>
                <w:rFonts w:ascii="Times New Roman" w:hAnsi="Times New Roman" w:cs="Times New Roman"/>
                <w:sz w:val="18"/>
                <w:szCs w:val="18"/>
              </w:rPr>
            </w:pPr>
            <w:r>
              <w:rPr>
                <w:rFonts w:ascii="Times New Roman" w:hAnsi="Times New Roman" w:cs="Times New Roman"/>
                <w:sz w:val="18"/>
                <w:szCs w:val="18"/>
              </w:rPr>
              <w:t>(25,47)</w:t>
            </w:r>
          </w:p>
        </w:tc>
        <w:tc>
          <w:tcPr>
            <w:tcW w:w="1410"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138.96</w:t>
            </w:r>
          </w:p>
          <w:p>
            <w:pPr>
              <w:jc w:val="center"/>
              <w:textAlignment w:val="center"/>
              <w:rPr>
                <w:rFonts w:ascii="Times New Roman" w:hAnsi="Times New Roman" w:cs="Times New Roman"/>
                <w:sz w:val="18"/>
                <w:szCs w:val="18"/>
              </w:rPr>
            </w:pPr>
            <w:r>
              <w:rPr>
                <w:rFonts w:ascii="Times New Roman" w:hAnsi="Times New Roman" w:cs="Times New Roman"/>
                <w:sz w:val="18"/>
                <w:szCs w:val="18"/>
              </w:rPr>
              <w:t>(97,179)</w:t>
            </w:r>
          </w:p>
        </w:tc>
        <w:tc>
          <w:tcPr>
            <w:tcW w:w="142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288.20</w:t>
            </w:r>
          </w:p>
          <w:p>
            <w:pPr>
              <w:jc w:val="center"/>
              <w:textAlignment w:val="center"/>
              <w:rPr>
                <w:rFonts w:ascii="Times New Roman" w:hAnsi="Times New Roman" w:cs="Times New Roman"/>
                <w:sz w:val="18"/>
                <w:szCs w:val="18"/>
              </w:rPr>
            </w:pPr>
            <w:r>
              <w:rPr>
                <w:rFonts w:ascii="Times New Roman" w:hAnsi="Times New Roman" w:cs="Times New Roman"/>
                <w:sz w:val="18"/>
                <w:szCs w:val="18"/>
              </w:rPr>
              <w:t>(202,371)</w:t>
            </w:r>
          </w:p>
        </w:tc>
        <w:tc>
          <w:tcPr>
            <w:tcW w:w="1455"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501.02</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351,645</w:t>
            </w:r>
            <w:r>
              <w:rPr>
                <w:rFonts w:ascii="Times New Roman" w:hAnsi="Times New Roman" w:eastAsia="宋体" w:cs="Times New Roman"/>
                <w:sz w:val="18"/>
                <w:szCs w:val="18"/>
                <w:lang w:eastAsia="zh-CN"/>
              </w:rPr>
              <w:t>)</w:t>
            </w:r>
          </w:p>
        </w:tc>
        <w:tc>
          <w:tcPr>
            <w:tcW w:w="1574" w:type="dxa"/>
            <w:tcBorders>
              <w:top w:val="nil"/>
              <w:left w:val="nil"/>
              <w:bottom w:val="nil"/>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rPr>
            </w:pPr>
            <w:r>
              <w:rPr>
                <w:rFonts w:ascii="Times New Roman" w:hAnsi="Times New Roman" w:cs="Times New Roman"/>
                <w:sz w:val="18"/>
                <w:szCs w:val="18"/>
              </w:rPr>
              <w:t>567.51</w:t>
            </w:r>
          </w:p>
          <w:p>
            <w:pPr>
              <w:jc w:val="center"/>
              <w:textAlignment w:val="center"/>
              <w:rPr>
                <w:rFonts w:ascii="Times New Roman" w:hAnsi="Times New Roman" w:eastAsia="宋体" w:cs="Times New Roman"/>
                <w:sz w:val="18"/>
                <w:szCs w:val="18"/>
                <w:lang w:eastAsia="zh-CN"/>
              </w:rPr>
            </w:pPr>
            <w:r>
              <w:rPr>
                <w:rFonts w:ascii="Times New Roman" w:hAnsi="Times New Roman" w:eastAsia="宋体" w:cs="Times New Roman"/>
                <w:sz w:val="18"/>
                <w:szCs w:val="18"/>
                <w:lang w:eastAsia="zh-CN"/>
              </w:rPr>
              <w:t>(</w:t>
            </w:r>
            <w:r>
              <w:rPr>
                <w:rFonts w:ascii="Times New Roman" w:hAnsi="Times New Roman" w:cs="Times New Roman"/>
                <w:sz w:val="18"/>
                <w:szCs w:val="18"/>
              </w:rPr>
              <w:t>397,731</w:t>
            </w:r>
            <w:r>
              <w:rPr>
                <w:rFonts w:ascii="Times New Roman" w:hAnsi="Times New Roman" w:eastAsia="宋体" w:cs="Times New Roman"/>
                <w:sz w:val="18"/>
                <w:szCs w:val="18"/>
                <w:lang w:eastAsia="zh-CN"/>
              </w:rPr>
              <w:t>)</w:t>
            </w:r>
          </w:p>
        </w:tc>
      </w:tr>
      <w:tr>
        <w:tblPrEx>
          <w:tblCellMar>
            <w:top w:w="0" w:type="dxa"/>
            <w:left w:w="0" w:type="dxa"/>
            <w:bottom w:w="0" w:type="dxa"/>
            <w:right w:w="0" w:type="dxa"/>
          </w:tblCellMar>
        </w:tblPrEx>
        <w:trPr>
          <w:trHeight w:val="283" w:hRule="atLeast"/>
          <w:jc w:val="center"/>
        </w:trPr>
        <w:tc>
          <w:tcPr>
            <w:tcW w:w="1499" w:type="dxa"/>
            <w:tcBorders>
              <w:top w:val="nil"/>
              <w:left w:val="nil"/>
              <w:bottom w:val="single" w:color="auto" w:sz="12" w:space="0"/>
              <w:right w:val="nil"/>
            </w:tcBorders>
            <w:noWrap/>
            <w:tcMar>
              <w:top w:w="12" w:type="dxa"/>
              <w:left w:w="12" w:type="dxa"/>
              <w:right w:w="12" w:type="dxa"/>
            </w:tcMar>
            <w:vAlign w:val="center"/>
          </w:tcPr>
          <w:p>
            <w:pPr>
              <w:textAlignment w:val="center"/>
              <w:rPr>
                <w:rFonts w:ascii="Times New Roman" w:hAnsi="Times New Roman" w:cs="Times New Roman" w:eastAsiaTheme="minorEastAsia"/>
                <w:sz w:val="18"/>
                <w:szCs w:val="18"/>
                <w:lang w:eastAsia="zh-CN"/>
              </w:rPr>
            </w:pPr>
            <w:r>
              <w:rPr>
                <w:rFonts w:ascii="Times New Roman" w:hAnsi="Times New Roman" w:cs="Times New Roman"/>
                <w:sz w:val="18"/>
                <w:szCs w:val="18"/>
                <w:lang w:eastAsia="zh-CN"/>
              </w:rPr>
              <w:t>Total</w:t>
            </w:r>
          </w:p>
        </w:tc>
        <w:tc>
          <w:tcPr>
            <w:tcW w:w="1351"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lang w:bidi="ar"/>
              </w:rPr>
            </w:pPr>
            <w:r>
              <w:rPr>
                <w:rFonts w:ascii="Times New Roman" w:hAnsi="Times New Roman" w:cs="Times New Roman"/>
                <w:sz w:val="18"/>
                <w:szCs w:val="18"/>
                <w:lang w:bidi="ar"/>
              </w:rPr>
              <w:t>35793.59</w:t>
            </w:r>
          </w:p>
          <w:p>
            <w:pPr>
              <w:jc w:val="center"/>
              <w:textAlignment w:val="center"/>
              <w:rPr>
                <w:rFonts w:ascii="Times New Roman" w:hAnsi="Times New Roman" w:cs="Times New Roman"/>
                <w:sz w:val="18"/>
                <w:szCs w:val="18"/>
                <w:lang w:bidi="ar"/>
              </w:rPr>
            </w:pPr>
            <w:r>
              <w:rPr>
                <w:rFonts w:ascii="Times New Roman" w:hAnsi="Times New Roman" w:cs="Times New Roman"/>
                <w:sz w:val="18"/>
                <w:szCs w:val="18"/>
                <w:lang w:bidi="ar"/>
              </w:rPr>
              <w:t>(14055,52711)</w:t>
            </w:r>
          </w:p>
        </w:tc>
        <w:tc>
          <w:tcPr>
            <w:tcW w:w="1410"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lang w:bidi="ar"/>
              </w:rPr>
            </w:pPr>
            <w:r>
              <w:rPr>
                <w:rFonts w:ascii="Times New Roman" w:hAnsi="Times New Roman" w:cs="Times New Roman"/>
                <w:sz w:val="18"/>
                <w:szCs w:val="18"/>
                <w:lang w:bidi="ar"/>
              </w:rPr>
              <w:t>129191.69</w:t>
            </w:r>
          </w:p>
          <w:p>
            <w:pPr>
              <w:jc w:val="center"/>
              <w:textAlignment w:val="center"/>
              <w:rPr>
                <w:rFonts w:ascii="Times New Roman" w:hAnsi="Times New Roman" w:cs="Times New Roman"/>
                <w:sz w:val="18"/>
                <w:szCs w:val="18"/>
                <w:lang w:bidi="ar"/>
              </w:rPr>
            </w:pPr>
            <w:r>
              <w:rPr>
                <w:rFonts w:ascii="Times New Roman" w:hAnsi="Times New Roman" w:cs="Times New Roman"/>
                <w:sz w:val="18"/>
                <w:szCs w:val="18"/>
                <w:lang w:bidi="ar"/>
              </w:rPr>
              <w:t>(52971,183620)</w:t>
            </w:r>
          </w:p>
        </w:tc>
        <w:tc>
          <w:tcPr>
            <w:tcW w:w="1425"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lang w:bidi="ar"/>
              </w:rPr>
            </w:pPr>
            <w:r>
              <w:rPr>
                <w:rFonts w:ascii="Times New Roman" w:hAnsi="Times New Roman" w:cs="Times New Roman"/>
                <w:sz w:val="18"/>
                <w:szCs w:val="18"/>
                <w:lang w:bidi="ar"/>
              </w:rPr>
              <w:t>270222.03</w:t>
            </w:r>
          </w:p>
          <w:p>
            <w:pPr>
              <w:jc w:val="center"/>
              <w:textAlignment w:val="center"/>
              <w:rPr>
                <w:rFonts w:ascii="Times New Roman" w:hAnsi="Times New Roman" w:cs="Times New Roman"/>
                <w:sz w:val="18"/>
                <w:szCs w:val="18"/>
                <w:lang w:bidi="ar"/>
              </w:rPr>
            </w:pPr>
            <w:r>
              <w:rPr>
                <w:rFonts w:ascii="Times New Roman" w:hAnsi="Times New Roman" w:cs="Times New Roman"/>
                <w:sz w:val="18"/>
                <w:szCs w:val="18"/>
                <w:lang w:bidi="ar"/>
              </w:rPr>
              <w:t>(110991,383432)</w:t>
            </w:r>
          </w:p>
        </w:tc>
        <w:tc>
          <w:tcPr>
            <w:tcW w:w="1455"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lang w:bidi="ar"/>
              </w:rPr>
            </w:pPr>
            <w:r>
              <w:rPr>
                <w:rFonts w:ascii="Times New Roman" w:hAnsi="Times New Roman" w:cs="Times New Roman"/>
                <w:sz w:val="18"/>
                <w:szCs w:val="18"/>
                <w:lang w:bidi="ar"/>
              </w:rPr>
              <w:t>467201.72</w:t>
            </w:r>
          </w:p>
          <w:p>
            <w:pPr>
              <w:jc w:val="center"/>
              <w:textAlignment w:val="center"/>
              <w:rPr>
                <w:rFonts w:ascii="Times New Roman" w:hAnsi="Times New Roman" w:cs="Times New Roman"/>
                <w:sz w:val="18"/>
                <w:szCs w:val="18"/>
                <w:lang w:bidi="ar"/>
              </w:rPr>
            </w:pPr>
            <w:r>
              <w:rPr>
                <w:rFonts w:ascii="Times New Roman" w:hAnsi="Times New Roman" w:cs="Times New Roman"/>
                <w:sz w:val="18"/>
                <w:szCs w:val="18"/>
                <w:lang w:bidi="ar"/>
              </w:rPr>
              <w:t>(192819,661332)</w:t>
            </w:r>
          </w:p>
        </w:tc>
        <w:tc>
          <w:tcPr>
            <w:tcW w:w="1574" w:type="dxa"/>
            <w:tcBorders>
              <w:top w:val="nil"/>
              <w:left w:val="nil"/>
              <w:bottom w:val="single" w:color="auto" w:sz="12" w:space="0"/>
              <w:right w:val="nil"/>
            </w:tcBorders>
            <w:noWrap/>
            <w:tcMar>
              <w:top w:w="12" w:type="dxa"/>
              <w:left w:w="12" w:type="dxa"/>
              <w:right w:w="12" w:type="dxa"/>
            </w:tcMar>
            <w:vAlign w:val="center"/>
          </w:tcPr>
          <w:p>
            <w:pPr>
              <w:jc w:val="center"/>
              <w:textAlignment w:val="center"/>
              <w:rPr>
                <w:rFonts w:ascii="Times New Roman" w:hAnsi="Times New Roman" w:cs="Times New Roman"/>
                <w:sz w:val="18"/>
                <w:szCs w:val="18"/>
                <w:lang w:bidi="ar"/>
              </w:rPr>
            </w:pPr>
            <w:r>
              <w:rPr>
                <w:rFonts w:ascii="Times New Roman" w:hAnsi="Times New Roman" w:cs="Times New Roman"/>
                <w:sz w:val="18"/>
                <w:szCs w:val="18"/>
                <w:lang w:bidi="ar"/>
              </w:rPr>
              <w:t>538057.98</w:t>
            </w:r>
          </w:p>
          <w:p>
            <w:pPr>
              <w:jc w:val="center"/>
              <w:textAlignment w:val="center"/>
              <w:rPr>
                <w:rFonts w:ascii="Times New Roman" w:hAnsi="Times New Roman" w:cs="Times New Roman"/>
                <w:sz w:val="18"/>
                <w:szCs w:val="18"/>
                <w:lang w:bidi="ar"/>
              </w:rPr>
            </w:pPr>
            <w:r>
              <w:rPr>
                <w:rFonts w:ascii="Times New Roman" w:hAnsi="Times New Roman" w:cs="Times New Roman"/>
                <w:sz w:val="18"/>
                <w:szCs w:val="18"/>
                <w:lang w:bidi="ar"/>
              </w:rPr>
              <w:t>(236014,750367)</w:t>
            </w:r>
          </w:p>
        </w:tc>
      </w:tr>
    </w:tbl>
    <w:p>
      <w:pPr>
        <w:rPr>
          <w:rFonts w:ascii="Times New Roman" w:hAnsi="Times New Roman" w:cs="Times New Roman"/>
          <w:bCs/>
          <w:sz w:val="20"/>
          <w:szCs w:val="20"/>
          <w:lang w:eastAsia="zh-CN"/>
        </w:rPr>
      </w:pPr>
      <w:r>
        <w:rPr>
          <w:rFonts w:ascii="Times New Roman" w:hAnsi="Times New Roman" w:cs="Times New Roman"/>
          <w:bCs/>
          <w:sz w:val="20"/>
          <w:szCs w:val="20"/>
          <w:lang w:eastAsia="zh-CN"/>
        </w:rPr>
        <w:t>Each cell in the table represents the economic loss (in million CNY¥) of the different health effects due to PM</w:t>
      </w:r>
      <w:r>
        <w:rPr>
          <w:rFonts w:ascii="Times New Roman" w:hAnsi="Times New Roman" w:cs="Times New Roman"/>
          <w:bCs/>
          <w:sz w:val="20"/>
          <w:szCs w:val="20"/>
          <w:vertAlign w:val="subscript"/>
          <w:lang w:eastAsia="zh-CN"/>
        </w:rPr>
        <w:t>2.5</w:t>
      </w:r>
      <w:r>
        <w:rPr>
          <w:rFonts w:ascii="Times New Roman" w:hAnsi="Times New Roman" w:cs="Times New Roman"/>
          <w:bCs/>
          <w:sz w:val="20"/>
          <w:szCs w:val="20"/>
          <w:lang w:eastAsia="zh-CN"/>
        </w:rPr>
        <w:t xml:space="preserve"> exposure (and 95% CI) in China from 2000 to 2016.</w:t>
      </w:r>
    </w:p>
    <w:p>
      <w:pPr>
        <w:rPr>
          <w:rFonts w:ascii="Arial" w:hAnsi="Arial" w:cs="Arial"/>
          <w:color w:val="333333"/>
          <w:sz w:val="20"/>
          <w:szCs w:val="20"/>
        </w:rPr>
      </w:pPr>
      <w:r>
        <w:rPr>
          <w:rFonts w:ascii="Arial" w:hAnsi="Arial" w:cs="Arial"/>
          <w:color w:val="333333"/>
          <w:sz w:val="20"/>
          <w:szCs w:val="20"/>
        </w:rPr>
        <w:br w:type="page"/>
      </w:r>
    </w:p>
    <w:p>
      <w:pPr>
        <w:spacing w:after="0"/>
        <w:rPr>
          <w:rFonts w:ascii="Times New Roman" w:hAnsi="Times New Roman" w:cs="Times New Roman"/>
          <w:bCs/>
          <w:sz w:val="20"/>
          <w:szCs w:val="20"/>
        </w:rPr>
      </w:pPr>
      <w:r>
        <w:rPr>
          <w:rFonts w:ascii="Times New Roman" w:hAnsi="Times New Roman" w:cs="Times New Roman"/>
          <w:b/>
          <w:sz w:val="20"/>
          <w:szCs w:val="20"/>
          <w:lang w:eastAsia="zh-CN"/>
        </w:rPr>
        <w:t xml:space="preserve">Table </w:t>
      </w:r>
      <w:r>
        <w:rPr>
          <w:rFonts w:hint="eastAsia" w:ascii="Times New Roman" w:hAnsi="Times New Roman" w:cs="Times New Roman"/>
          <w:b/>
          <w:sz w:val="20"/>
          <w:szCs w:val="20"/>
          <w:lang w:val="en-US" w:eastAsia="zh-CN"/>
        </w:rPr>
        <w:t>S</w:t>
      </w:r>
      <w:r>
        <w:rPr>
          <w:rFonts w:hint="eastAsia" w:cs="Times New Roman"/>
          <w:b/>
          <w:sz w:val="20"/>
          <w:szCs w:val="20"/>
          <w:lang w:val="en-US" w:eastAsia="zh-CN"/>
        </w:rPr>
        <w:t>8</w:t>
      </w:r>
      <w:r>
        <w:rPr>
          <w:rFonts w:ascii="Times New Roman" w:hAnsi="Times New Roman" w:cs="Times New Roman"/>
          <w:b/>
          <w:sz w:val="20"/>
          <w:szCs w:val="20"/>
          <w:lang w:eastAsia="zh-CN"/>
        </w:rPr>
        <w:t>.</w:t>
      </w:r>
      <w:r>
        <w:rPr>
          <w:rFonts w:ascii="Times New Roman" w:hAnsi="Times New Roman" w:cs="Times New Roman"/>
          <w:b/>
          <w:bCs/>
          <w:sz w:val="20"/>
          <w:szCs w:val="20"/>
        </w:rPr>
        <w:t xml:space="preserve">Economic cost of health effects </w:t>
      </w:r>
      <w:r>
        <w:rPr>
          <w:rFonts w:ascii="Times New Roman" w:hAnsi="Times New Roman" w:cs="Times New Roman"/>
          <w:b/>
          <w:bCs/>
          <w:sz w:val="20"/>
          <w:szCs w:val="20"/>
          <w:lang w:eastAsia="zh-CN"/>
        </w:rPr>
        <w:t>a</w:t>
      </w:r>
      <w:r>
        <w:rPr>
          <w:rFonts w:ascii="Times New Roman" w:hAnsi="Times New Roman" w:cs="Times New Roman"/>
          <w:b/>
          <w:bCs/>
          <w:sz w:val="20"/>
          <w:szCs w:val="20"/>
        </w:rPr>
        <w:t>ttributed to</w:t>
      </w:r>
      <w:r>
        <w:rPr>
          <w:rFonts w:ascii="Times New Roman" w:hAnsi="Times New Roman" w:cs="Times New Roman"/>
          <w:b/>
          <w:bCs/>
          <w:sz w:val="20"/>
          <w:szCs w:val="20"/>
          <w:lang w:eastAsia="zh-CN"/>
        </w:rPr>
        <w:t xml:space="preserve"> PM</w:t>
      </w:r>
      <w:r>
        <w:rPr>
          <w:rFonts w:ascii="Times New Roman" w:hAnsi="Times New Roman" w:cs="Times New Roman"/>
          <w:b/>
          <w:bCs/>
          <w:sz w:val="20"/>
          <w:szCs w:val="20"/>
          <w:vertAlign w:val="subscript"/>
          <w:lang w:eastAsia="zh-CN"/>
        </w:rPr>
        <w:t>2.5</w:t>
      </w:r>
      <w:r>
        <w:rPr>
          <w:rFonts w:ascii="Times New Roman" w:hAnsi="Times New Roman" w:cs="Times New Roman"/>
          <w:b/>
          <w:bCs/>
          <w:sz w:val="20"/>
          <w:szCs w:val="20"/>
        </w:rPr>
        <w:t xml:space="preserve"> </w:t>
      </w:r>
      <w:r>
        <w:rPr>
          <w:rFonts w:ascii="Times New Roman" w:hAnsi="Times New Roman" w:cs="Times New Roman"/>
          <w:b/>
          <w:bCs/>
          <w:sz w:val="20"/>
          <w:szCs w:val="20"/>
          <w:lang w:eastAsia="zh-CN"/>
        </w:rPr>
        <w:t xml:space="preserve">in </w:t>
      </w:r>
      <w:r>
        <w:rPr>
          <w:rFonts w:ascii="Times New Roman" w:hAnsi="Times New Roman" w:cs="Times New Roman"/>
          <w:b/>
          <w:bCs/>
          <w:sz w:val="20"/>
          <w:szCs w:val="20"/>
        </w:rPr>
        <w:t>north and south</w:t>
      </w:r>
      <w:r>
        <w:rPr>
          <w:rFonts w:ascii="Times New Roman" w:hAnsi="Times New Roman" w:cs="Times New Roman"/>
          <w:b/>
          <w:bCs/>
          <w:sz w:val="20"/>
          <w:szCs w:val="20"/>
          <w:lang w:eastAsia="zh-CN"/>
        </w:rPr>
        <w:t>(in million CNY¥)</w:t>
      </w:r>
    </w:p>
    <w:tbl>
      <w:tblPr>
        <w:tblStyle w:val="88"/>
        <w:tblW w:w="8582" w:type="dxa"/>
        <w:jc w:val="center"/>
        <w:tblLayout w:type="fixed"/>
        <w:tblCellMar>
          <w:top w:w="0" w:type="dxa"/>
          <w:left w:w="0" w:type="dxa"/>
          <w:bottom w:w="0" w:type="dxa"/>
          <w:right w:w="0" w:type="dxa"/>
        </w:tblCellMar>
      </w:tblPr>
      <w:tblGrid>
        <w:gridCol w:w="2975"/>
        <w:gridCol w:w="1380"/>
        <w:gridCol w:w="1080"/>
        <w:gridCol w:w="1080"/>
        <w:gridCol w:w="1080"/>
        <w:gridCol w:w="987"/>
      </w:tblGrid>
      <w:tr>
        <w:tblPrEx>
          <w:tblCellMar>
            <w:top w:w="0" w:type="dxa"/>
            <w:left w:w="0" w:type="dxa"/>
            <w:bottom w:w="0" w:type="dxa"/>
            <w:right w:w="0" w:type="dxa"/>
          </w:tblCellMar>
        </w:tblPrEx>
        <w:trPr>
          <w:trHeight w:val="270" w:hRule="atLeast"/>
          <w:jc w:val="center"/>
        </w:trPr>
        <w:tc>
          <w:tcPr>
            <w:tcW w:w="2975" w:type="dxa"/>
            <w:tcBorders>
              <w:top w:val="single" w:color="auto" w:sz="12" w:space="0"/>
              <w:left w:val="nil"/>
              <w:bottom w:val="single" w:color="auto" w:sz="8" w:space="0"/>
              <w:right w:val="nil"/>
            </w:tcBorders>
            <w:noWrap/>
            <w:tcMar>
              <w:top w:w="15" w:type="dxa"/>
              <w:left w:w="15" w:type="dxa"/>
              <w:right w:w="15" w:type="dxa"/>
            </w:tcMar>
            <w:vAlign w:val="center"/>
          </w:tcPr>
          <w:p>
            <w:pPr>
              <w:textAlignment w:val="center"/>
              <w:rPr>
                <w:rFonts w:ascii="Times New Roman" w:hAnsi="Times New Roman" w:cs="Times New Roman" w:eastAsiaTheme="minorEastAsia"/>
                <w:sz w:val="20"/>
                <w:szCs w:val="20"/>
                <w:lang w:eastAsia="zh-CN"/>
              </w:rPr>
            </w:pPr>
            <w:r>
              <w:rPr>
                <w:rFonts w:ascii="Times New Roman" w:hAnsi="Times New Roman" w:cs="Times New Roman"/>
                <w:sz w:val="20"/>
                <w:szCs w:val="20"/>
                <w:lang w:eastAsia="zh-CN"/>
              </w:rPr>
              <w:t>Health endpoints</w:t>
            </w:r>
          </w:p>
        </w:tc>
        <w:tc>
          <w:tcPr>
            <w:tcW w:w="1380"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2000</w:t>
            </w:r>
          </w:p>
        </w:tc>
        <w:tc>
          <w:tcPr>
            <w:tcW w:w="1080"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2005</w:t>
            </w:r>
          </w:p>
        </w:tc>
        <w:tc>
          <w:tcPr>
            <w:tcW w:w="1080"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2010</w:t>
            </w:r>
          </w:p>
        </w:tc>
        <w:tc>
          <w:tcPr>
            <w:tcW w:w="1080"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2015</w:t>
            </w:r>
          </w:p>
        </w:tc>
        <w:tc>
          <w:tcPr>
            <w:tcW w:w="987"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2016</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Respiratory </w:t>
            </w:r>
            <w:r>
              <w:rPr>
                <w:rFonts w:ascii="Times New Roman" w:hAnsi="Times New Roman" w:cs="Times New Roman"/>
                <w:sz w:val="20"/>
                <w:szCs w:val="20"/>
                <w:lang w:eastAsia="zh-CN"/>
              </w:rPr>
              <w:t>m</w:t>
            </w:r>
            <w:r>
              <w:rPr>
                <w:rFonts w:ascii="Times New Roman" w:hAnsi="Times New Roman" w:cs="Times New Roman"/>
                <w:sz w:val="20"/>
                <w:szCs w:val="20"/>
              </w:rPr>
              <w:t>ortality</w:t>
            </w:r>
          </w:p>
        </w:tc>
        <w:tc>
          <w:tcPr>
            <w:tcW w:w="13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20"/>
                <w:szCs w:val="20"/>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20"/>
                <w:szCs w:val="20"/>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20"/>
                <w:szCs w:val="20"/>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20"/>
                <w:szCs w:val="20"/>
              </w:rPr>
            </w:pPr>
          </w:p>
        </w:tc>
        <w:tc>
          <w:tcPr>
            <w:tcW w:w="987"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20"/>
                <w:szCs w:val="20"/>
              </w:rPr>
            </w:pP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South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2839</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5192</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8369</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12597</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11932</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North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2914</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4702</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8639</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14113</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13759</w:t>
            </w:r>
          </w:p>
        </w:tc>
      </w:tr>
      <w:tr>
        <w:tblPrEx>
          <w:tblCellMar>
            <w:top w:w="0" w:type="dxa"/>
            <w:left w:w="0" w:type="dxa"/>
            <w:bottom w:w="0" w:type="dxa"/>
            <w:right w:w="0" w:type="dxa"/>
          </w:tblCellMar>
        </w:tblPrEx>
        <w:trPr>
          <w:trHeight w:val="9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lang w:eastAsia="zh-CN"/>
              </w:rPr>
              <w:t>C</w:t>
            </w:r>
            <w:r>
              <w:rPr>
                <w:rFonts w:ascii="Times New Roman" w:hAnsi="Times New Roman" w:cs="Times New Roman"/>
                <w:sz w:val="20"/>
                <w:szCs w:val="20"/>
              </w:rPr>
              <w:t>ardiovascu</w:t>
            </w:r>
            <w:r>
              <w:rPr>
                <w:rFonts w:ascii="Times New Roman" w:hAnsi="Times New Roman" w:cs="Times New Roman"/>
                <w:sz w:val="20"/>
                <w:szCs w:val="20"/>
                <w:lang w:eastAsia="zh-CN"/>
              </w:rPr>
              <w:t>l</w:t>
            </w:r>
            <w:r>
              <w:rPr>
                <w:rFonts w:ascii="Times New Roman" w:hAnsi="Times New Roman" w:cs="Times New Roman"/>
                <w:sz w:val="20"/>
                <w:szCs w:val="20"/>
              </w:rPr>
              <w:t>ar</w:t>
            </w:r>
            <w:r>
              <w:rPr>
                <w:rFonts w:ascii="Times New Roman" w:hAnsi="Times New Roman" w:cs="Times New Roman"/>
                <w:sz w:val="20"/>
                <w:szCs w:val="20"/>
                <w:lang w:eastAsia="zh-CN"/>
              </w:rPr>
              <w:t xml:space="preserve"> mortality</w:t>
            </w:r>
          </w:p>
        </w:tc>
        <w:tc>
          <w:tcPr>
            <w:tcW w:w="13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987"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South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2925</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5669</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10707</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16506</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20785</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North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3011</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5091</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11112</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18627</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24025</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Respiratory hospital admission</w:t>
            </w:r>
          </w:p>
        </w:tc>
        <w:tc>
          <w:tcPr>
            <w:tcW w:w="13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987"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South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74</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356</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467</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633</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674</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North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98</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332</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542</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837</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901</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eastAsiaTheme="minorEastAsia"/>
                <w:sz w:val="20"/>
                <w:szCs w:val="20"/>
                <w:lang w:eastAsia="zh-CN"/>
              </w:rPr>
            </w:pPr>
            <w:r>
              <w:rPr>
                <w:rFonts w:ascii="Times New Roman" w:hAnsi="Times New Roman" w:cs="Times New Roman"/>
                <w:sz w:val="20"/>
                <w:szCs w:val="20"/>
              </w:rPr>
              <w:t>Cardiovascular hospital admission</w:t>
            </w:r>
          </w:p>
        </w:tc>
        <w:tc>
          <w:tcPr>
            <w:tcW w:w="13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987"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South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88</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426</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559</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758</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634</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North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117</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398</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650</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1004</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849</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Internal medicine</w:t>
            </w:r>
          </w:p>
        </w:tc>
        <w:tc>
          <w:tcPr>
            <w:tcW w:w="13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987"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South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48</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126</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252</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530</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554</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North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55</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116</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282</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659</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692</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lang w:eastAsia="zh-CN"/>
              </w:rPr>
              <w:t>Pediatrics</w:t>
            </w:r>
          </w:p>
        </w:tc>
        <w:tc>
          <w:tcPr>
            <w:tcW w:w="13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987"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South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27</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52</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110</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241</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239</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North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28</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49</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121</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296</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299</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lang w:eastAsia="zh-CN"/>
              </w:rPr>
              <w:t>Acute bronchitis</w:t>
            </w:r>
          </w:p>
        </w:tc>
        <w:tc>
          <w:tcPr>
            <w:tcW w:w="13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987"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South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33</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139</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262</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434</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489</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North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35</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117</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267</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486</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553</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Chronic bronchitis</w:t>
            </w:r>
          </w:p>
        </w:tc>
        <w:tc>
          <w:tcPr>
            <w:tcW w:w="13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987"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South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17221</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63936</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118854</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194623</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217352</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North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18152</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53722</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119782</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216518</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243745</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Asthma attack</w:t>
            </w:r>
          </w:p>
        </w:tc>
        <w:tc>
          <w:tcPr>
            <w:tcW w:w="13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987"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South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17</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75</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140</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234</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263</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North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18</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63</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146</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267</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rPr>
              <w:t>303</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eastAsiaTheme="minorEastAsia"/>
                <w:sz w:val="20"/>
                <w:szCs w:val="20"/>
                <w:lang w:eastAsia="zh-CN"/>
              </w:rPr>
            </w:pPr>
            <w:r>
              <w:rPr>
                <w:rFonts w:ascii="Times New Roman" w:hAnsi="Times New Roman" w:cs="Times New Roman"/>
                <w:sz w:val="20"/>
                <w:szCs w:val="20"/>
                <w:lang w:eastAsia="zh-CN"/>
              </w:rPr>
              <w:t>Total</w:t>
            </w:r>
          </w:p>
        </w:tc>
        <w:tc>
          <w:tcPr>
            <w:tcW w:w="13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1080"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c>
          <w:tcPr>
            <w:tcW w:w="987" w:type="dxa"/>
            <w:tcBorders>
              <w:top w:val="nil"/>
              <w:left w:val="nil"/>
              <w:bottom w:val="nil"/>
              <w:right w:val="nil"/>
            </w:tcBorders>
            <w:noWrap/>
            <w:tcMar>
              <w:top w:w="15" w:type="dxa"/>
              <w:left w:w="15" w:type="dxa"/>
              <w:right w:w="15" w:type="dxa"/>
            </w:tcMar>
            <w:vAlign w:val="center"/>
          </w:tcPr>
          <w:p>
            <w:pPr>
              <w:jc w:val="center"/>
              <w:rPr>
                <w:rFonts w:ascii="Times New Roman" w:hAnsi="Times New Roman" w:cs="Times New Roman"/>
                <w:sz w:val="16"/>
                <w:szCs w:val="16"/>
              </w:rPr>
            </w:pPr>
          </w:p>
        </w:tc>
      </w:tr>
      <w:tr>
        <w:tblPrEx>
          <w:tblCellMar>
            <w:top w:w="0" w:type="dxa"/>
            <w:left w:w="0" w:type="dxa"/>
            <w:bottom w:w="0" w:type="dxa"/>
            <w:right w:w="0" w:type="dxa"/>
          </w:tblCellMar>
        </w:tblPrEx>
        <w:trPr>
          <w:trHeight w:val="270" w:hRule="atLeast"/>
          <w:jc w:val="center"/>
        </w:trPr>
        <w:tc>
          <w:tcPr>
            <w:tcW w:w="2975" w:type="dxa"/>
            <w:tcBorders>
              <w:top w:val="nil"/>
              <w:left w:val="nil"/>
              <w:bottom w:val="nil"/>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South</w:t>
            </w:r>
          </w:p>
        </w:tc>
        <w:tc>
          <w:tcPr>
            <w:tcW w:w="13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lang w:bidi="ar"/>
              </w:rPr>
              <w:t>23272</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lang w:bidi="ar"/>
              </w:rPr>
              <w:t>75971</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lang w:bidi="ar"/>
              </w:rPr>
              <w:t>139720</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lang w:bidi="ar"/>
              </w:rPr>
              <w:t>226556</w:t>
            </w:r>
          </w:p>
        </w:tc>
        <w:tc>
          <w:tcPr>
            <w:tcW w:w="987"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lang w:bidi="ar"/>
              </w:rPr>
              <w:t>252922</w:t>
            </w:r>
          </w:p>
        </w:tc>
      </w:tr>
      <w:tr>
        <w:tblPrEx>
          <w:tblCellMar>
            <w:top w:w="0" w:type="dxa"/>
            <w:left w:w="0" w:type="dxa"/>
            <w:bottom w:w="0" w:type="dxa"/>
            <w:right w:w="0" w:type="dxa"/>
          </w:tblCellMar>
        </w:tblPrEx>
        <w:trPr>
          <w:trHeight w:val="270" w:hRule="atLeast"/>
          <w:jc w:val="center"/>
        </w:trPr>
        <w:tc>
          <w:tcPr>
            <w:tcW w:w="2975" w:type="dxa"/>
            <w:tcBorders>
              <w:top w:val="nil"/>
              <w:left w:val="nil"/>
              <w:bottom w:val="single" w:color="auto" w:sz="12" w:space="0"/>
              <w:right w:val="nil"/>
            </w:tcBorders>
            <w:noWrap/>
            <w:tcMar>
              <w:top w:w="15" w:type="dxa"/>
              <w:left w:w="15" w:type="dxa"/>
              <w:right w:w="15" w:type="dxa"/>
            </w:tcMar>
            <w:vAlign w:val="center"/>
          </w:tcPr>
          <w:p>
            <w:pPr>
              <w:textAlignment w:val="center"/>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lang w:eastAsia="zh-CN"/>
              </w:rPr>
              <w:t>North</w:t>
            </w:r>
          </w:p>
        </w:tc>
        <w:tc>
          <w:tcPr>
            <w:tcW w:w="1380"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lang w:bidi="ar"/>
              </w:rPr>
              <w:t>24428</w:t>
            </w:r>
          </w:p>
        </w:tc>
        <w:tc>
          <w:tcPr>
            <w:tcW w:w="1080"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lang w:bidi="ar"/>
              </w:rPr>
              <w:t>64590</w:t>
            </w:r>
          </w:p>
        </w:tc>
        <w:tc>
          <w:tcPr>
            <w:tcW w:w="1080"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lang w:bidi="ar"/>
              </w:rPr>
              <w:t>141541</w:t>
            </w:r>
          </w:p>
        </w:tc>
        <w:tc>
          <w:tcPr>
            <w:tcW w:w="1080"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lang w:bidi="ar"/>
              </w:rPr>
              <w:t>252807</w:t>
            </w:r>
          </w:p>
        </w:tc>
        <w:tc>
          <w:tcPr>
            <w:tcW w:w="987"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Times New Roman" w:hAnsi="Times New Roman" w:cs="Times New Roman"/>
                <w:sz w:val="16"/>
                <w:szCs w:val="16"/>
              </w:rPr>
            </w:pPr>
            <w:r>
              <w:rPr>
                <w:rFonts w:ascii="Times New Roman" w:hAnsi="Times New Roman" w:cs="Times New Roman"/>
                <w:sz w:val="16"/>
                <w:szCs w:val="16"/>
                <w:lang w:bidi="ar"/>
              </w:rPr>
              <w:t>285126</w:t>
            </w:r>
          </w:p>
        </w:tc>
      </w:tr>
    </w:tbl>
    <w:p>
      <w:pPr>
        <w:jc w:val="both"/>
        <w:rPr>
          <w:rFonts w:ascii="Times New Roman" w:hAnsi="Times New Roman" w:eastAsia="宋体" w:cs="Times New Roman"/>
          <w:sz w:val="20"/>
          <w:szCs w:val="20"/>
          <w:lang w:eastAsia="zh-CN"/>
        </w:rPr>
      </w:pPr>
      <w:r>
        <w:rPr>
          <w:rFonts w:ascii="Times New Roman" w:hAnsi="Times New Roman" w:cs="Times New Roman"/>
          <w:sz w:val="20"/>
          <w:szCs w:val="20"/>
        </w:rPr>
        <w:t>Each cell in the table represents the economic losses</w:t>
      </w:r>
      <w:r>
        <w:rPr>
          <w:rFonts w:ascii="Times New Roman" w:hAnsi="Times New Roman" w:cs="Times New Roman"/>
          <w:sz w:val="20"/>
          <w:szCs w:val="20"/>
          <w:lang w:eastAsia="zh-CN"/>
        </w:rPr>
        <w:t xml:space="preserve"> </w:t>
      </w:r>
      <w:r>
        <w:rPr>
          <w:rFonts w:ascii="Times New Roman" w:hAnsi="Times New Roman" w:cs="Times New Roman"/>
          <w:sz w:val="20"/>
          <w:szCs w:val="20"/>
        </w:rPr>
        <w:t>(in million CNY¥) caused by the different health effects attributed to PM</w:t>
      </w:r>
      <w:r>
        <w:rPr>
          <w:rFonts w:ascii="Times New Roman" w:hAnsi="Times New Roman" w:cs="Times New Roman"/>
          <w:sz w:val="20"/>
          <w:szCs w:val="20"/>
          <w:vertAlign w:val="subscript"/>
        </w:rPr>
        <w:t>2.5</w:t>
      </w:r>
      <w:r>
        <w:rPr>
          <w:rFonts w:ascii="Times New Roman" w:hAnsi="Times New Roman" w:eastAsia="宋体" w:cs="Times New Roman"/>
          <w:sz w:val="20"/>
          <w:szCs w:val="20"/>
          <w:vertAlign w:val="subscript"/>
          <w:lang w:eastAsia="zh-CN"/>
        </w:rPr>
        <w:t xml:space="preserve"> </w:t>
      </w:r>
      <w:r>
        <w:rPr>
          <w:rFonts w:ascii="Times New Roman" w:hAnsi="Times New Roman" w:eastAsia="宋体" w:cs="Times New Roman"/>
          <w:sz w:val="20"/>
          <w:szCs w:val="20"/>
          <w:lang w:eastAsia="zh-CN"/>
        </w:rPr>
        <w:t xml:space="preserve">exposure. </w:t>
      </w:r>
      <w:r>
        <w:rPr>
          <w:rFonts w:ascii="Times New Roman" w:hAnsi="Times New Roman" w:cs="Times New Roman"/>
          <w:sz w:val="20"/>
          <w:szCs w:val="20"/>
        </w:rPr>
        <w:t>Compare the quantity of different health effects between North and South.</w:t>
      </w:r>
      <w:r>
        <w:rPr>
          <w:rFonts w:ascii="Times New Roman" w:hAnsi="Times New Roman" w:eastAsia="宋体" w:cs="Times New Roman"/>
          <w:sz w:val="20"/>
          <w:szCs w:val="20"/>
          <w:lang w:eastAsia="zh-CN"/>
        </w:rPr>
        <w:t xml:space="preserve"> </w:t>
      </w:r>
    </w:p>
    <w:p>
      <w:pPr>
        <w:rPr>
          <w:rFonts w:ascii="Arial" w:hAnsi="Arial" w:cs="Arial"/>
          <w:color w:val="333333"/>
          <w:sz w:val="20"/>
          <w:szCs w:val="20"/>
        </w:rPr>
      </w:pPr>
      <w:r>
        <w:rPr>
          <w:rFonts w:ascii="Arial" w:hAnsi="Arial" w:cs="Arial"/>
          <w:color w:val="333333"/>
          <w:sz w:val="20"/>
          <w:szCs w:val="20"/>
        </w:rPr>
        <w:br w:type="page"/>
      </w:r>
    </w:p>
    <w:p>
      <w:pPr>
        <w:spacing w:after="0"/>
        <w:rPr>
          <w:rFonts w:ascii="Times New Roman" w:hAnsi="Times New Roman" w:cs="Times New Roman"/>
          <w:b/>
          <w:bCs/>
          <w:sz w:val="20"/>
          <w:szCs w:val="20"/>
        </w:rPr>
      </w:pPr>
      <w:r>
        <w:rPr>
          <w:rFonts w:ascii="Times New Roman" w:hAnsi="Times New Roman" w:cs="Times New Roman"/>
          <w:b/>
          <w:bCs/>
          <w:sz w:val="20"/>
          <w:szCs w:val="20"/>
        </w:rPr>
        <w:t xml:space="preserve">Table </w:t>
      </w:r>
      <w:r>
        <w:rPr>
          <w:rFonts w:hint="eastAsia" w:ascii="Times New Roman" w:hAnsi="Times New Roman" w:cs="Times New Roman"/>
          <w:b/>
          <w:bCs/>
          <w:sz w:val="20"/>
          <w:szCs w:val="20"/>
          <w:lang w:val="en-US" w:eastAsia="zh-CN"/>
        </w:rPr>
        <w:t>S</w:t>
      </w:r>
      <w:r>
        <w:rPr>
          <w:rFonts w:hint="eastAsia" w:eastAsia="宋体" w:cs="Times New Roman"/>
          <w:b/>
          <w:bCs/>
          <w:sz w:val="20"/>
          <w:szCs w:val="20"/>
          <w:lang w:val="en-US" w:eastAsia="zh-CN"/>
        </w:rPr>
        <w:t>9</w:t>
      </w:r>
      <w:r>
        <w:rPr>
          <w:rFonts w:ascii="Times New Roman" w:hAnsi="Times New Roman" w:cs="Times New Roman"/>
          <w:b/>
          <w:bCs/>
          <w:sz w:val="20"/>
          <w:szCs w:val="20"/>
          <w:lang w:eastAsia="zh-CN"/>
        </w:rPr>
        <w:t>.</w:t>
      </w:r>
      <w:r>
        <w:rPr>
          <w:rFonts w:ascii="Times New Roman" w:hAnsi="Times New Roman" w:cs="Times New Roman"/>
          <w:b/>
          <w:bCs/>
          <w:sz w:val="20"/>
          <w:szCs w:val="20"/>
        </w:rPr>
        <w:t xml:space="preserve"> Mann-Whitney U test for North-South health economic losses</w:t>
      </w:r>
    </w:p>
    <w:tbl>
      <w:tblPr>
        <w:tblStyle w:val="89"/>
        <w:tblW w:w="8137" w:type="dxa"/>
        <w:tblInd w:w="93" w:type="dxa"/>
        <w:tblBorders>
          <w:top w:val="single" w:color="auto" w:sz="8"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9"/>
        <w:gridCol w:w="1483"/>
        <w:gridCol w:w="2026"/>
        <w:gridCol w:w="1859"/>
      </w:tblGrid>
      <w:tr>
        <w:tblPrEx>
          <w:tblBorders>
            <w:top w:val="single" w:color="auto" w:sz="8"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2769" w:type="dxa"/>
            <w:tcBorders>
              <w:top w:val="single" w:color="auto" w:sz="12" w:space="0"/>
              <w:left w:val="nil"/>
              <w:bottom w:val="single" w:color="auto" w:sz="8" w:space="0"/>
              <w:right w:val="nil"/>
            </w:tcBorders>
            <w:shd w:val="clear" w:color="auto" w:fill="FFFFFF"/>
            <w:vAlign w:val="center"/>
          </w:tcPr>
          <w:p>
            <w:pPr>
              <w:widowControl w:val="0"/>
              <w:jc w:val="center"/>
              <w:rPr>
                <w:rFonts w:ascii="Times New Roman" w:hAnsi="Times New Roman" w:cs="Times New Roman" w:eastAsiaTheme="minorEastAsia"/>
                <w:kern w:val="0"/>
                <w:sz w:val="20"/>
                <w:szCs w:val="20"/>
                <w:lang w:eastAsia="zh-CN"/>
              </w:rPr>
            </w:pPr>
            <w:r>
              <w:rPr>
                <w:rFonts w:ascii="Times New Roman" w:hAnsi="Times New Roman" w:cs="Times New Roman"/>
                <w:kern w:val="0"/>
                <w:sz w:val="20"/>
                <w:szCs w:val="20"/>
                <w:lang w:eastAsia="zh-CN"/>
              </w:rPr>
              <w:t>Index</w:t>
            </w:r>
          </w:p>
        </w:tc>
        <w:tc>
          <w:tcPr>
            <w:tcW w:w="1483" w:type="dxa"/>
            <w:tcBorders>
              <w:top w:val="single" w:color="auto" w:sz="12" w:space="0"/>
              <w:left w:val="nil"/>
              <w:bottom w:val="single" w:color="auto" w:sz="8" w:space="0"/>
              <w:right w:val="nil"/>
            </w:tcBorders>
            <w:shd w:val="clear" w:color="auto" w:fill="FFFFFF"/>
            <w:vAlign w:val="center"/>
          </w:tcPr>
          <w:p>
            <w:pPr>
              <w:widowControl w:val="0"/>
              <w:jc w:val="center"/>
              <w:rPr>
                <w:rFonts w:ascii="Times New Roman" w:hAnsi="Times New Roman" w:cs="Times New Roman" w:eastAsiaTheme="minorEastAsia"/>
                <w:kern w:val="0"/>
                <w:sz w:val="20"/>
                <w:szCs w:val="20"/>
                <w:lang w:eastAsia="zh-CN"/>
              </w:rPr>
            </w:pPr>
            <w:r>
              <w:rPr>
                <w:rFonts w:ascii="Times New Roman" w:hAnsi="Times New Roman" w:cs="Times New Roman"/>
                <w:kern w:val="0"/>
                <w:sz w:val="20"/>
                <w:szCs w:val="20"/>
              </w:rPr>
              <w:t>N</w:t>
            </w:r>
          </w:p>
        </w:tc>
        <w:tc>
          <w:tcPr>
            <w:tcW w:w="2026" w:type="dxa"/>
            <w:tcBorders>
              <w:top w:val="single" w:color="auto" w:sz="12" w:space="0"/>
              <w:left w:val="nil"/>
              <w:bottom w:val="single" w:color="auto" w:sz="8" w:space="0"/>
              <w:right w:val="nil"/>
            </w:tcBorders>
            <w:shd w:val="clear" w:color="auto" w:fill="FFFFFF"/>
            <w:vAlign w:val="center"/>
          </w:tcPr>
          <w:p>
            <w:pPr>
              <w:widowControl w:val="0"/>
              <w:jc w:val="center"/>
              <w:rPr>
                <w:rFonts w:ascii="Times New Roman" w:hAnsi="Times New Roman" w:cs="Times New Roman" w:eastAsiaTheme="minorEastAsia"/>
                <w:kern w:val="0"/>
                <w:sz w:val="20"/>
                <w:szCs w:val="20"/>
                <w:lang w:eastAsia="zh-CN"/>
              </w:rPr>
            </w:pPr>
            <w:r>
              <w:rPr>
                <w:rFonts w:ascii="Times New Roman" w:hAnsi="Times New Roman" w:cs="Times New Roman"/>
                <w:kern w:val="0"/>
                <w:sz w:val="20"/>
                <w:szCs w:val="20"/>
              </w:rPr>
              <w:t>Average rank</w:t>
            </w:r>
          </w:p>
        </w:tc>
        <w:tc>
          <w:tcPr>
            <w:tcW w:w="1859" w:type="dxa"/>
            <w:tcBorders>
              <w:top w:val="single" w:color="auto" w:sz="12" w:space="0"/>
              <w:left w:val="nil"/>
              <w:bottom w:val="single" w:color="auto" w:sz="8" w:space="0"/>
              <w:right w:val="nil"/>
            </w:tcBorders>
            <w:shd w:val="clear" w:color="auto" w:fill="FFFFFF"/>
            <w:vAlign w:val="center"/>
          </w:tcPr>
          <w:p>
            <w:pPr>
              <w:widowControl w:val="0"/>
              <w:jc w:val="center"/>
              <w:rPr>
                <w:rFonts w:ascii="Times New Roman" w:hAnsi="Times New Roman" w:cs="Times New Roman" w:eastAsiaTheme="minorEastAsia"/>
                <w:kern w:val="0"/>
                <w:sz w:val="20"/>
                <w:szCs w:val="20"/>
                <w:lang w:eastAsia="zh-CN"/>
              </w:rPr>
            </w:pPr>
            <w:r>
              <w:rPr>
                <w:rFonts w:ascii="Times New Roman" w:hAnsi="Times New Roman" w:cs="Times New Roman"/>
                <w:kern w:val="0"/>
                <w:sz w:val="20"/>
                <w:szCs w:val="20"/>
              </w:rPr>
              <w:t>Sum of ranks</w:t>
            </w:r>
          </w:p>
        </w:tc>
      </w:tr>
      <w:tr>
        <w:tblPrEx>
          <w:tblBorders>
            <w:top w:val="single" w:color="auto" w:sz="8"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769" w:type="dxa"/>
            <w:tcBorders>
              <w:top w:val="single" w:color="auto" w:sz="8" w:space="0"/>
              <w:left w:val="nil"/>
              <w:bottom w:val="nil"/>
              <w:right w:val="nil"/>
            </w:tcBorders>
            <w:shd w:val="clear" w:color="auto" w:fill="FFFFFF"/>
          </w:tcPr>
          <w:p>
            <w:pPr>
              <w:widowControl w:val="0"/>
              <w:ind w:firstLine="400" w:firstLineChars="200"/>
              <w:jc w:val="center"/>
              <w:rPr>
                <w:rFonts w:ascii="Times New Roman" w:hAnsi="Times New Roman" w:cs="Times New Roman" w:eastAsiaTheme="minorEastAsia"/>
                <w:kern w:val="0"/>
                <w:sz w:val="20"/>
                <w:szCs w:val="20"/>
                <w:lang w:eastAsia="zh-CN"/>
              </w:rPr>
            </w:pPr>
            <w:r>
              <w:rPr>
                <w:rFonts w:ascii="Times New Roman" w:hAnsi="Times New Roman" w:cs="Times New Roman"/>
                <w:kern w:val="0"/>
                <w:sz w:val="20"/>
                <w:szCs w:val="20"/>
                <w:lang w:eastAsia="zh-CN"/>
              </w:rPr>
              <w:t>South</w:t>
            </w:r>
          </w:p>
        </w:tc>
        <w:tc>
          <w:tcPr>
            <w:tcW w:w="1483" w:type="dxa"/>
            <w:tcBorders>
              <w:top w:val="single" w:color="auto" w:sz="8" w:space="0"/>
              <w:left w:val="nil"/>
              <w:bottom w:val="nil"/>
              <w:right w:val="nil"/>
            </w:tcBorders>
            <w:shd w:val="clear" w:color="auto" w:fill="FFFFFF"/>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99</w:t>
            </w:r>
          </w:p>
        </w:tc>
        <w:tc>
          <w:tcPr>
            <w:tcW w:w="2026" w:type="dxa"/>
            <w:tcBorders>
              <w:top w:val="single" w:color="auto" w:sz="8" w:space="0"/>
              <w:left w:val="nil"/>
              <w:bottom w:val="nil"/>
              <w:right w:val="nil"/>
            </w:tcBorders>
            <w:shd w:val="clear" w:color="auto" w:fill="FFFFFF"/>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100.41</w:t>
            </w:r>
          </w:p>
        </w:tc>
        <w:tc>
          <w:tcPr>
            <w:tcW w:w="1859" w:type="dxa"/>
            <w:tcBorders>
              <w:top w:val="single" w:color="auto" w:sz="8" w:space="0"/>
              <w:left w:val="nil"/>
              <w:bottom w:val="nil"/>
              <w:right w:val="nil"/>
            </w:tcBorders>
            <w:shd w:val="clear" w:color="auto" w:fill="FFFFFF"/>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9941.00</w:t>
            </w:r>
          </w:p>
        </w:tc>
      </w:tr>
      <w:tr>
        <w:tblPrEx>
          <w:tblBorders>
            <w:top w:val="single" w:color="auto" w:sz="8"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2769" w:type="dxa"/>
            <w:tcBorders>
              <w:top w:val="nil"/>
              <w:left w:val="nil"/>
              <w:bottom w:val="single" w:color="auto" w:sz="8" w:space="0"/>
              <w:right w:val="nil"/>
            </w:tcBorders>
            <w:shd w:val="clear" w:color="auto" w:fill="FFFFFF"/>
          </w:tcPr>
          <w:p>
            <w:pPr>
              <w:widowControl w:val="0"/>
              <w:ind w:firstLine="400" w:firstLineChars="200"/>
              <w:jc w:val="center"/>
              <w:rPr>
                <w:rFonts w:ascii="Times New Roman" w:hAnsi="Times New Roman" w:cs="Times New Roman" w:eastAsiaTheme="minorEastAsia"/>
                <w:kern w:val="0"/>
                <w:sz w:val="20"/>
                <w:szCs w:val="20"/>
                <w:lang w:eastAsia="zh-CN"/>
              </w:rPr>
            </w:pPr>
            <w:r>
              <w:rPr>
                <w:rFonts w:ascii="Times New Roman" w:hAnsi="Times New Roman" w:cs="Times New Roman"/>
                <w:kern w:val="0"/>
                <w:sz w:val="20"/>
                <w:szCs w:val="20"/>
                <w:lang w:eastAsia="zh-CN"/>
              </w:rPr>
              <w:t>North</w:t>
            </w:r>
          </w:p>
        </w:tc>
        <w:tc>
          <w:tcPr>
            <w:tcW w:w="1483" w:type="dxa"/>
            <w:tcBorders>
              <w:top w:val="nil"/>
              <w:left w:val="nil"/>
              <w:bottom w:val="single" w:color="auto" w:sz="8" w:space="0"/>
              <w:right w:val="nil"/>
            </w:tcBorders>
            <w:shd w:val="clear" w:color="auto" w:fill="FFFFFF"/>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111</w:t>
            </w:r>
          </w:p>
        </w:tc>
        <w:tc>
          <w:tcPr>
            <w:tcW w:w="2026" w:type="dxa"/>
            <w:tcBorders>
              <w:top w:val="nil"/>
              <w:left w:val="nil"/>
              <w:bottom w:val="single" w:color="auto" w:sz="8" w:space="0"/>
              <w:right w:val="nil"/>
            </w:tcBorders>
            <w:shd w:val="clear" w:color="auto" w:fill="FFFFFF"/>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110.04</w:t>
            </w:r>
          </w:p>
        </w:tc>
        <w:tc>
          <w:tcPr>
            <w:tcW w:w="1859" w:type="dxa"/>
            <w:tcBorders>
              <w:top w:val="nil"/>
              <w:left w:val="nil"/>
              <w:bottom w:val="single" w:color="auto" w:sz="8" w:space="0"/>
              <w:right w:val="nil"/>
            </w:tcBorders>
            <w:shd w:val="clear" w:color="auto" w:fill="FFFFFF"/>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12214.00</w:t>
            </w:r>
          </w:p>
        </w:tc>
      </w:tr>
      <w:tr>
        <w:tblPrEx>
          <w:tblBorders>
            <w:top w:val="single" w:color="auto" w:sz="8"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769" w:type="dxa"/>
            <w:tcBorders>
              <w:top w:val="single" w:color="auto" w:sz="8" w:space="0"/>
              <w:left w:val="nil"/>
              <w:bottom w:val="nil"/>
              <w:right w:val="nil"/>
            </w:tcBorders>
            <w:shd w:val="clear" w:color="auto" w:fill="FFFFFF"/>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Z value</w:t>
            </w:r>
          </w:p>
        </w:tc>
        <w:tc>
          <w:tcPr>
            <w:tcW w:w="5368" w:type="dxa"/>
            <w:gridSpan w:val="3"/>
            <w:tcBorders>
              <w:top w:val="single" w:color="auto" w:sz="8" w:space="0"/>
              <w:left w:val="nil"/>
              <w:bottom w:val="nil"/>
              <w:right w:val="nil"/>
            </w:tcBorders>
            <w:shd w:val="clear" w:color="auto" w:fill="FFFFFF"/>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-1.145</w:t>
            </w:r>
          </w:p>
        </w:tc>
      </w:tr>
      <w:tr>
        <w:tblPrEx>
          <w:tblBorders>
            <w:top w:val="single" w:color="auto" w:sz="8"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2769" w:type="dxa"/>
            <w:tcBorders>
              <w:top w:val="nil"/>
              <w:left w:val="nil"/>
              <w:bottom w:val="single" w:color="auto" w:sz="12" w:space="0"/>
              <w:right w:val="nil"/>
            </w:tcBorders>
            <w:shd w:val="clear" w:color="auto" w:fill="FFFFFF"/>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Sig</w:t>
            </w:r>
          </w:p>
        </w:tc>
        <w:tc>
          <w:tcPr>
            <w:tcW w:w="5368" w:type="dxa"/>
            <w:gridSpan w:val="3"/>
            <w:tcBorders>
              <w:top w:val="nil"/>
              <w:left w:val="nil"/>
              <w:bottom w:val="single" w:color="auto" w:sz="12" w:space="0"/>
              <w:right w:val="nil"/>
            </w:tcBorders>
            <w:shd w:val="clear" w:color="auto" w:fill="FFFFFF"/>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0.252</w:t>
            </w:r>
          </w:p>
        </w:tc>
      </w:tr>
    </w:tbl>
    <w:p>
      <w:pPr>
        <w:rPr>
          <w:rFonts w:ascii="Times New Roman" w:hAnsi="Times New Roman" w:eastAsia="宋体" w:cs="Times New Roman"/>
          <w:sz w:val="20"/>
          <w:szCs w:val="20"/>
          <w:lang w:eastAsia="zh-CN"/>
        </w:rPr>
      </w:pPr>
      <w:r>
        <w:rPr>
          <w:rFonts w:ascii="Times New Roman" w:hAnsi="Times New Roman" w:eastAsia="宋体" w:cs="Times New Roman"/>
          <w:sz w:val="20"/>
          <w:szCs w:val="20"/>
          <w:lang w:eastAsia="zh-CN"/>
        </w:rPr>
        <w:t>The Mann-Whitney U test examines the difference in health-related economic losses caused by PM</w:t>
      </w:r>
      <w:r>
        <w:rPr>
          <w:rFonts w:ascii="Times New Roman" w:hAnsi="Times New Roman" w:eastAsia="宋体" w:cs="Times New Roman"/>
          <w:sz w:val="20"/>
          <w:szCs w:val="20"/>
          <w:vertAlign w:val="subscript"/>
          <w:lang w:eastAsia="zh-CN"/>
        </w:rPr>
        <w:t>2.5</w:t>
      </w:r>
      <w:r>
        <w:rPr>
          <w:rFonts w:ascii="Times New Roman" w:hAnsi="Times New Roman" w:eastAsia="宋体" w:cs="Times New Roman"/>
          <w:sz w:val="20"/>
          <w:szCs w:val="20"/>
          <w:lang w:eastAsia="zh-CN"/>
        </w:rPr>
        <w:t xml:space="preserve"> in the north and the south. The higher the average ranking, the more economic losses. Significance indicates the level at which health-related economic losses differ significantly.</w:t>
      </w:r>
    </w:p>
    <w:p>
      <w:pPr>
        <w:rPr>
          <w:rFonts w:ascii="Arial" w:hAnsi="Arial" w:cs="Arial"/>
          <w:color w:val="333333"/>
          <w:sz w:val="20"/>
          <w:szCs w:val="20"/>
        </w:rPr>
      </w:pPr>
      <w:r>
        <w:rPr>
          <w:rFonts w:ascii="Arial" w:hAnsi="Arial" w:cs="Arial"/>
          <w:color w:val="333333"/>
          <w:sz w:val="20"/>
          <w:szCs w:val="20"/>
        </w:rPr>
        <w:br w:type="page"/>
      </w:r>
    </w:p>
    <w:p>
      <w:pPr>
        <w:spacing w:after="0"/>
        <w:rPr>
          <w:rFonts w:ascii="Times New Roman" w:hAnsi="Times New Roman" w:cs="Times New Roman"/>
          <w:b/>
          <w:bCs/>
          <w:sz w:val="20"/>
          <w:szCs w:val="20"/>
        </w:rPr>
      </w:pPr>
      <w:r>
        <w:rPr>
          <w:rFonts w:ascii="Times New Roman" w:hAnsi="Times New Roman" w:cs="Times New Roman"/>
          <w:b/>
          <w:bCs/>
          <w:sz w:val="20"/>
          <w:szCs w:val="20"/>
        </w:rPr>
        <w:t xml:space="preserve">Table </w:t>
      </w:r>
      <w:r>
        <w:rPr>
          <w:rFonts w:hint="eastAsia" w:ascii="Times New Roman" w:hAnsi="Times New Roman" w:cs="Times New Roman"/>
          <w:b/>
          <w:bCs/>
          <w:sz w:val="20"/>
          <w:szCs w:val="20"/>
          <w:lang w:val="en-US" w:eastAsia="zh-CN"/>
        </w:rPr>
        <w:t>S</w:t>
      </w:r>
      <w:r>
        <w:rPr>
          <w:rFonts w:ascii="Times New Roman" w:hAnsi="Times New Roman" w:cs="Times New Roman"/>
          <w:b/>
          <w:bCs/>
          <w:sz w:val="20"/>
          <w:szCs w:val="20"/>
        </w:rPr>
        <w:t>1</w:t>
      </w:r>
      <w:r>
        <w:rPr>
          <w:rFonts w:hint="eastAsia" w:eastAsia="宋体" w:cs="Times New Roman"/>
          <w:b/>
          <w:bCs/>
          <w:sz w:val="20"/>
          <w:szCs w:val="20"/>
          <w:lang w:val="en-US" w:eastAsia="zh-CN"/>
        </w:rPr>
        <w:t>0</w:t>
      </w:r>
      <w:r>
        <w:rPr>
          <w:rFonts w:ascii="Times New Roman" w:hAnsi="Times New Roman" w:cs="Times New Roman"/>
          <w:b/>
          <w:bCs/>
          <w:sz w:val="20"/>
          <w:szCs w:val="20"/>
          <w:lang w:eastAsia="zh-CN"/>
        </w:rPr>
        <w:t>.</w:t>
      </w:r>
      <w:r>
        <w:rPr>
          <w:rFonts w:ascii="Times New Roman" w:hAnsi="Times New Roman" w:cs="Times New Roman"/>
          <w:b/>
          <w:bCs/>
          <w:sz w:val="20"/>
          <w:szCs w:val="20"/>
        </w:rPr>
        <w:t xml:space="preserve"> Economic </w:t>
      </w:r>
      <w:r>
        <w:rPr>
          <w:rFonts w:ascii="Times New Roman" w:hAnsi="Times New Roman" w:eastAsia="宋体" w:cs="Times New Roman"/>
          <w:b/>
          <w:bCs/>
          <w:sz w:val="20"/>
          <w:szCs w:val="20"/>
          <w:lang w:eastAsia="zh-CN"/>
        </w:rPr>
        <w:t xml:space="preserve">losses </w:t>
      </w:r>
      <w:r>
        <w:rPr>
          <w:rFonts w:ascii="Times New Roman" w:hAnsi="Times New Roman" w:cs="Times New Roman"/>
          <w:b/>
          <w:bCs/>
          <w:sz w:val="20"/>
          <w:szCs w:val="20"/>
        </w:rPr>
        <w:t xml:space="preserve">of health effects </w:t>
      </w:r>
      <w:r>
        <w:rPr>
          <w:rFonts w:ascii="Times New Roman" w:hAnsi="Times New Roman" w:cs="Times New Roman"/>
          <w:b/>
          <w:bCs/>
          <w:sz w:val="20"/>
          <w:szCs w:val="20"/>
          <w:lang w:eastAsia="zh-CN"/>
        </w:rPr>
        <w:t>a</w:t>
      </w:r>
      <w:r>
        <w:rPr>
          <w:rFonts w:ascii="Times New Roman" w:hAnsi="Times New Roman" w:cs="Times New Roman"/>
          <w:b/>
          <w:bCs/>
          <w:sz w:val="20"/>
          <w:szCs w:val="20"/>
        </w:rPr>
        <w:t>ttributed to</w:t>
      </w:r>
      <w:r>
        <w:rPr>
          <w:rFonts w:ascii="Times New Roman" w:hAnsi="Times New Roman" w:cs="Times New Roman"/>
          <w:b/>
          <w:bCs/>
          <w:sz w:val="20"/>
          <w:szCs w:val="20"/>
          <w:lang w:eastAsia="zh-CN"/>
        </w:rPr>
        <w:t xml:space="preserve"> PM</w:t>
      </w:r>
      <w:r>
        <w:rPr>
          <w:rFonts w:ascii="Times New Roman" w:hAnsi="Times New Roman" w:cs="Times New Roman"/>
          <w:b/>
          <w:bCs/>
          <w:sz w:val="20"/>
          <w:szCs w:val="20"/>
          <w:vertAlign w:val="subscript"/>
          <w:lang w:eastAsia="zh-CN"/>
        </w:rPr>
        <w:t>2.5</w:t>
      </w:r>
      <w:r>
        <w:rPr>
          <w:rFonts w:ascii="Times New Roman" w:hAnsi="Times New Roman" w:cs="Times New Roman"/>
          <w:b/>
          <w:bCs/>
          <w:sz w:val="20"/>
          <w:szCs w:val="20"/>
        </w:rPr>
        <w:t xml:space="preserve"> </w:t>
      </w:r>
      <w:r>
        <w:rPr>
          <w:rFonts w:ascii="Times New Roman" w:hAnsi="Times New Roman" w:eastAsia="宋体" w:cs="Times New Roman"/>
          <w:b/>
          <w:bCs/>
          <w:sz w:val="20"/>
          <w:szCs w:val="20"/>
          <w:lang w:eastAsia="zh-CN"/>
        </w:rPr>
        <w:t xml:space="preserve">exposure </w:t>
      </w:r>
      <w:r>
        <w:rPr>
          <w:rFonts w:ascii="Times New Roman" w:hAnsi="Times New Roman" w:cs="Times New Roman"/>
          <w:b/>
          <w:bCs/>
          <w:sz w:val="20"/>
          <w:szCs w:val="20"/>
        </w:rPr>
        <w:t>in seven regions from 2000 to 2016 (</w:t>
      </w:r>
      <w:r>
        <w:rPr>
          <w:rFonts w:ascii="Times New Roman" w:hAnsi="Times New Roman" w:cs="Times New Roman"/>
          <w:b/>
          <w:bCs/>
          <w:sz w:val="20"/>
          <w:szCs w:val="20"/>
          <w:lang w:eastAsia="zh-CN"/>
        </w:rPr>
        <w:t xml:space="preserve">in </w:t>
      </w:r>
      <w:r>
        <w:rPr>
          <w:rFonts w:ascii="Times New Roman" w:hAnsi="Times New Roman" w:cs="Times New Roman"/>
          <w:b/>
          <w:bCs/>
          <w:sz w:val="20"/>
          <w:szCs w:val="20"/>
        </w:rPr>
        <w:t>millions</w:t>
      </w:r>
      <w:r>
        <w:rPr>
          <w:rFonts w:ascii="Times New Roman" w:hAnsi="Times New Roman" w:cs="Times New Roman"/>
          <w:b/>
          <w:bCs/>
          <w:sz w:val="20"/>
          <w:szCs w:val="20"/>
          <w:lang w:eastAsia="zh-CN"/>
        </w:rPr>
        <w:t xml:space="preserve"> CNY¥</w:t>
      </w:r>
      <w:r>
        <w:rPr>
          <w:rFonts w:ascii="Times New Roman" w:hAnsi="Times New Roman" w:cs="Times New Roman"/>
          <w:b/>
          <w:bCs/>
          <w:sz w:val="20"/>
          <w:szCs w:val="20"/>
        </w:rPr>
        <w:t>)</w:t>
      </w:r>
    </w:p>
    <w:tbl>
      <w:tblPr>
        <w:tblStyle w:val="88"/>
        <w:tblW w:w="8229" w:type="dxa"/>
        <w:jc w:val="center"/>
        <w:tblLayout w:type="fixed"/>
        <w:tblCellMar>
          <w:top w:w="0" w:type="dxa"/>
          <w:left w:w="0" w:type="dxa"/>
          <w:bottom w:w="0" w:type="dxa"/>
          <w:right w:w="0" w:type="dxa"/>
        </w:tblCellMar>
      </w:tblPr>
      <w:tblGrid>
        <w:gridCol w:w="2518"/>
        <w:gridCol w:w="1368"/>
        <w:gridCol w:w="1125"/>
        <w:gridCol w:w="1080"/>
        <w:gridCol w:w="1125"/>
        <w:gridCol w:w="1013"/>
      </w:tblGrid>
      <w:tr>
        <w:tblPrEx>
          <w:tblCellMar>
            <w:top w:w="0" w:type="dxa"/>
            <w:left w:w="0" w:type="dxa"/>
            <w:bottom w:w="0" w:type="dxa"/>
            <w:right w:w="0" w:type="dxa"/>
          </w:tblCellMar>
        </w:tblPrEx>
        <w:trPr>
          <w:trHeight w:val="270" w:hRule="atLeast"/>
          <w:jc w:val="center"/>
        </w:trPr>
        <w:tc>
          <w:tcPr>
            <w:tcW w:w="2518"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Times New Roman" w:hAnsi="Times New Roman" w:cs="Times New Roman" w:eastAsiaTheme="minorEastAsia"/>
                <w:sz w:val="20"/>
                <w:szCs w:val="20"/>
                <w:lang w:eastAsia="zh-CN"/>
              </w:rPr>
            </w:pPr>
            <w:r>
              <w:rPr>
                <w:rFonts w:ascii="Times New Roman" w:hAnsi="Times New Roman" w:cs="Times New Roman"/>
                <w:sz w:val="20"/>
                <w:szCs w:val="20"/>
                <w:lang w:eastAsia="zh-CN"/>
              </w:rPr>
              <w:t>Regions</w:t>
            </w:r>
          </w:p>
        </w:tc>
        <w:tc>
          <w:tcPr>
            <w:tcW w:w="1368"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2000</w:t>
            </w:r>
          </w:p>
        </w:tc>
        <w:tc>
          <w:tcPr>
            <w:tcW w:w="1125"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2005</w:t>
            </w:r>
          </w:p>
        </w:tc>
        <w:tc>
          <w:tcPr>
            <w:tcW w:w="1080"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2010</w:t>
            </w:r>
          </w:p>
        </w:tc>
        <w:tc>
          <w:tcPr>
            <w:tcW w:w="1125"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2015</w:t>
            </w:r>
          </w:p>
        </w:tc>
        <w:tc>
          <w:tcPr>
            <w:tcW w:w="1013" w:type="dxa"/>
            <w:tcBorders>
              <w:top w:val="single" w:color="auto" w:sz="12" w:space="0"/>
              <w:left w:val="nil"/>
              <w:bottom w:val="single" w:color="auto" w:sz="8"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rPr>
              <w:t>2016</w:t>
            </w:r>
          </w:p>
        </w:tc>
      </w:tr>
      <w:tr>
        <w:tblPrEx>
          <w:tblCellMar>
            <w:top w:w="0" w:type="dxa"/>
            <w:left w:w="0" w:type="dxa"/>
            <w:bottom w:w="0" w:type="dxa"/>
            <w:right w:w="0" w:type="dxa"/>
          </w:tblCellMar>
        </w:tblPrEx>
        <w:trPr>
          <w:trHeight w:val="270" w:hRule="atLeast"/>
          <w:jc w:val="center"/>
        </w:trPr>
        <w:tc>
          <w:tcPr>
            <w:tcW w:w="2518"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Northeast</w:t>
            </w:r>
          </w:p>
        </w:tc>
        <w:tc>
          <w:tcPr>
            <w:tcW w:w="1368"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2242.4</w:t>
            </w:r>
          </w:p>
        </w:tc>
        <w:tc>
          <w:tcPr>
            <w:tcW w:w="1125"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8660.2</w:t>
            </w:r>
          </w:p>
        </w:tc>
        <w:tc>
          <w:tcPr>
            <w:tcW w:w="1080"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21709.3</w:t>
            </w:r>
          </w:p>
        </w:tc>
        <w:tc>
          <w:tcPr>
            <w:tcW w:w="1125"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49959.3</w:t>
            </w:r>
          </w:p>
        </w:tc>
        <w:tc>
          <w:tcPr>
            <w:tcW w:w="1013" w:type="dxa"/>
            <w:tcBorders>
              <w:top w:val="single" w:color="auto" w:sz="8" w:space="0"/>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56753.0</w:t>
            </w:r>
          </w:p>
        </w:tc>
      </w:tr>
      <w:tr>
        <w:tblPrEx>
          <w:tblCellMar>
            <w:top w:w="0" w:type="dxa"/>
            <w:left w:w="0" w:type="dxa"/>
            <w:bottom w:w="0" w:type="dxa"/>
            <w:right w:w="0" w:type="dxa"/>
          </w:tblCellMar>
        </w:tblPrEx>
        <w:trPr>
          <w:trHeight w:val="270" w:hRule="atLeast"/>
          <w:jc w:val="center"/>
        </w:trPr>
        <w:tc>
          <w:tcPr>
            <w:tcW w:w="2518"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North</w:t>
            </w:r>
          </w:p>
        </w:tc>
        <w:tc>
          <w:tcPr>
            <w:tcW w:w="1368"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6839.3</w:t>
            </w:r>
          </w:p>
        </w:tc>
        <w:tc>
          <w:tcPr>
            <w:tcW w:w="1125"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19766.1</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42222.5</w:t>
            </w:r>
          </w:p>
        </w:tc>
        <w:tc>
          <w:tcPr>
            <w:tcW w:w="1125"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85849.0</w:t>
            </w:r>
          </w:p>
        </w:tc>
        <w:tc>
          <w:tcPr>
            <w:tcW w:w="1013"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99862.4</w:t>
            </w:r>
          </w:p>
        </w:tc>
      </w:tr>
      <w:tr>
        <w:tblPrEx>
          <w:tblCellMar>
            <w:top w:w="0" w:type="dxa"/>
            <w:left w:w="0" w:type="dxa"/>
            <w:bottom w:w="0" w:type="dxa"/>
            <w:right w:w="0" w:type="dxa"/>
          </w:tblCellMar>
        </w:tblPrEx>
        <w:trPr>
          <w:trHeight w:val="270" w:hRule="atLeast"/>
          <w:jc w:val="center"/>
        </w:trPr>
        <w:tc>
          <w:tcPr>
            <w:tcW w:w="2518"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East</w:t>
            </w:r>
          </w:p>
        </w:tc>
        <w:tc>
          <w:tcPr>
            <w:tcW w:w="1368"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13875.9</w:t>
            </w:r>
          </w:p>
        </w:tc>
        <w:tc>
          <w:tcPr>
            <w:tcW w:w="1125"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54802.8</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112138.0</w:t>
            </w:r>
          </w:p>
        </w:tc>
        <w:tc>
          <w:tcPr>
            <w:tcW w:w="1125"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203963.6</w:t>
            </w:r>
          </w:p>
        </w:tc>
        <w:tc>
          <w:tcPr>
            <w:tcW w:w="1013"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231705.1</w:t>
            </w:r>
          </w:p>
        </w:tc>
      </w:tr>
      <w:tr>
        <w:tblPrEx>
          <w:tblCellMar>
            <w:top w:w="0" w:type="dxa"/>
            <w:left w:w="0" w:type="dxa"/>
            <w:bottom w:w="0" w:type="dxa"/>
            <w:right w:w="0" w:type="dxa"/>
          </w:tblCellMar>
        </w:tblPrEx>
        <w:trPr>
          <w:trHeight w:val="270" w:hRule="atLeast"/>
          <w:jc w:val="center"/>
        </w:trPr>
        <w:tc>
          <w:tcPr>
            <w:tcW w:w="2518"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South</w:t>
            </w:r>
          </w:p>
        </w:tc>
        <w:tc>
          <w:tcPr>
            <w:tcW w:w="1368"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2636.5</w:t>
            </w:r>
          </w:p>
        </w:tc>
        <w:tc>
          <w:tcPr>
            <w:tcW w:w="1125"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10503.4</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20243.7</w:t>
            </w:r>
          </w:p>
        </w:tc>
        <w:tc>
          <w:tcPr>
            <w:tcW w:w="1125"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31012.0</w:t>
            </w:r>
          </w:p>
        </w:tc>
        <w:tc>
          <w:tcPr>
            <w:tcW w:w="1013"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35777.2</w:t>
            </w:r>
          </w:p>
        </w:tc>
      </w:tr>
      <w:tr>
        <w:tblPrEx>
          <w:tblCellMar>
            <w:top w:w="0" w:type="dxa"/>
            <w:left w:w="0" w:type="dxa"/>
            <w:bottom w:w="0" w:type="dxa"/>
            <w:right w:w="0" w:type="dxa"/>
          </w:tblCellMar>
        </w:tblPrEx>
        <w:trPr>
          <w:trHeight w:val="270" w:hRule="atLeast"/>
          <w:jc w:val="center"/>
        </w:trPr>
        <w:tc>
          <w:tcPr>
            <w:tcW w:w="2518"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Midlands</w:t>
            </w:r>
          </w:p>
        </w:tc>
        <w:tc>
          <w:tcPr>
            <w:tcW w:w="1368"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6185.6</w:t>
            </w:r>
          </w:p>
        </w:tc>
        <w:tc>
          <w:tcPr>
            <w:tcW w:w="1125"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19648.1</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39073.8</w:t>
            </w:r>
          </w:p>
        </w:tc>
        <w:tc>
          <w:tcPr>
            <w:tcW w:w="1125"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57694.5</w:t>
            </w:r>
          </w:p>
        </w:tc>
        <w:tc>
          <w:tcPr>
            <w:tcW w:w="1013"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67217.4</w:t>
            </w:r>
          </w:p>
        </w:tc>
      </w:tr>
      <w:tr>
        <w:tblPrEx>
          <w:tblCellMar>
            <w:top w:w="0" w:type="dxa"/>
            <w:left w:w="0" w:type="dxa"/>
            <w:bottom w:w="0" w:type="dxa"/>
            <w:right w:w="0" w:type="dxa"/>
          </w:tblCellMar>
        </w:tblPrEx>
        <w:trPr>
          <w:trHeight w:val="270" w:hRule="atLeast"/>
          <w:jc w:val="center"/>
        </w:trPr>
        <w:tc>
          <w:tcPr>
            <w:tcW w:w="2518"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Northwest</w:t>
            </w:r>
          </w:p>
        </w:tc>
        <w:tc>
          <w:tcPr>
            <w:tcW w:w="1368"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200.8</w:t>
            </w:r>
          </w:p>
        </w:tc>
        <w:tc>
          <w:tcPr>
            <w:tcW w:w="1125"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636.1</w:t>
            </w:r>
          </w:p>
        </w:tc>
        <w:tc>
          <w:tcPr>
            <w:tcW w:w="1080"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1201.5</w:t>
            </w:r>
          </w:p>
        </w:tc>
        <w:tc>
          <w:tcPr>
            <w:tcW w:w="1125"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4726.5</w:t>
            </w:r>
          </w:p>
        </w:tc>
        <w:tc>
          <w:tcPr>
            <w:tcW w:w="1013" w:type="dxa"/>
            <w:tcBorders>
              <w:top w:val="nil"/>
              <w:left w:val="nil"/>
              <w:bottom w:val="nil"/>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5375.7</w:t>
            </w:r>
          </w:p>
        </w:tc>
      </w:tr>
      <w:tr>
        <w:tblPrEx>
          <w:tblCellMar>
            <w:top w:w="0" w:type="dxa"/>
            <w:left w:w="0" w:type="dxa"/>
            <w:bottom w:w="0" w:type="dxa"/>
            <w:right w:w="0" w:type="dxa"/>
          </w:tblCellMar>
        </w:tblPrEx>
        <w:trPr>
          <w:trHeight w:val="270" w:hRule="atLeast"/>
          <w:jc w:val="center"/>
        </w:trPr>
        <w:tc>
          <w:tcPr>
            <w:tcW w:w="2518"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Southwest</w:t>
            </w:r>
          </w:p>
        </w:tc>
        <w:tc>
          <w:tcPr>
            <w:tcW w:w="1368"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3648.8</w:t>
            </w:r>
          </w:p>
        </w:tc>
        <w:tc>
          <w:tcPr>
            <w:tcW w:w="1125"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14443.6</w:t>
            </w:r>
          </w:p>
        </w:tc>
        <w:tc>
          <w:tcPr>
            <w:tcW w:w="1080"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32551.6</w:t>
            </w:r>
          </w:p>
        </w:tc>
        <w:tc>
          <w:tcPr>
            <w:tcW w:w="1125"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33997.6</w:t>
            </w:r>
          </w:p>
        </w:tc>
        <w:tc>
          <w:tcPr>
            <w:tcW w:w="1013" w:type="dxa"/>
            <w:tcBorders>
              <w:top w:val="nil"/>
              <w:left w:val="nil"/>
              <w:bottom w:val="single" w:color="auto" w:sz="12" w:space="0"/>
              <w:right w:val="nil"/>
            </w:tcBorders>
            <w:noWrap/>
            <w:tcMar>
              <w:top w:w="15" w:type="dxa"/>
              <w:left w:w="15" w:type="dxa"/>
              <w:right w:w="15" w:type="dxa"/>
            </w:tcMar>
            <w:vAlign w:val="center"/>
          </w:tcPr>
          <w:p>
            <w:pPr>
              <w:jc w:val="center"/>
              <w:textAlignment w:val="center"/>
              <w:rPr>
                <w:rFonts w:ascii="Times New Roman" w:hAnsi="Times New Roman" w:cs="Times New Roman"/>
                <w:sz w:val="20"/>
                <w:szCs w:val="20"/>
              </w:rPr>
            </w:pPr>
            <w:r>
              <w:rPr>
                <w:rFonts w:ascii="Times New Roman" w:hAnsi="Times New Roman" w:cs="Times New Roman"/>
                <w:sz w:val="20"/>
                <w:szCs w:val="20"/>
                <w:lang w:bidi="ar"/>
              </w:rPr>
              <w:t>40934.7</w:t>
            </w:r>
          </w:p>
        </w:tc>
      </w:tr>
    </w:tbl>
    <w:p>
      <w:pPr>
        <w:rPr>
          <w:rFonts w:ascii="Times New Roman" w:hAnsi="Times New Roman" w:eastAsia="宋体" w:cs="Times New Roman"/>
          <w:sz w:val="20"/>
          <w:szCs w:val="20"/>
          <w:lang w:eastAsia="zh-CN"/>
        </w:rPr>
      </w:pPr>
      <w:r>
        <w:rPr>
          <w:rFonts w:ascii="Times New Roman" w:hAnsi="Times New Roman" w:cs="Times New Roman"/>
          <w:sz w:val="20"/>
          <w:szCs w:val="20"/>
        </w:rPr>
        <w:t>Each cell in the table represents</w:t>
      </w:r>
      <w:r>
        <w:rPr>
          <w:rFonts w:ascii="Times New Roman" w:hAnsi="Times New Roman" w:eastAsia="宋体" w:cs="Times New Roman"/>
          <w:sz w:val="20"/>
          <w:szCs w:val="20"/>
          <w:lang w:eastAsia="zh-CN"/>
        </w:rPr>
        <w:t xml:space="preserve"> the economic losses (in millions CNY¥) of health effects attributed to PM</w:t>
      </w:r>
      <w:r>
        <w:rPr>
          <w:rFonts w:ascii="Times New Roman" w:hAnsi="Times New Roman" w:eastAsia="宋体" w:cs="Times New Roman"/>
          <w:sz w:val="20"/>
          <w:szCs w:val="20"/>
          <w:vertAlign w:val="subscript"/>
          <w:lang w:eastAsia="zh-CN"/>
        </w:rPr>
        <w:t xml:space="preserve">2.5 </w:t>
      </w:r>
      <w:r>
        <w:rPr>
          <w:rFonts w:ascii="Times New Roman" w:hAnsi="Times New Roman" w:eastAsia="宋体" w:cs="Times New Roman"/>
          <w:sz w:val="20"/>
          <w:szCs w:val="20"/>
          <w:lang w:eastAsia="zh-CN"/>
        </w:rPr>
        <w:t>exposure. Compare the health-related economic losses of seven regions during 2000-2016.</w:t>
      </w:r>
    </w:p>
    <w:p>
      <w:pPr>
        <w:rPr>
          <w:rFonts w:ascii="Arial" w:hAnsi="Arial" w:cs="Arial"/>
          <w:color w:val="333333"/>
          <w:sz w:val="20"/>
          <w:szCs w:val="20"/>
        </w:rPr>
      </w:pPr>
      <w:r>
        <w:rPr>
          <w:rFonts w:ascii="Arial" w:hAnsi="Arial" w:cs="Arial"/>
          <w:color w:val="333333"/>
          <w:sz w:val="20"/>
          <w:szCs w:val="20"/>
        </w:rPr>
        <w:br w:type="page"/>
      </w:r>
    </w:p>
    <w:p>
      <w:pPr>
        <w:tabs>
          <w:tab w:val="left" w:pos="1836"/>
          <w:tab w:val="center" w:pos="4215"/>
        </w:tabs>
        <w:spacing w:after="0"/>
        <w:rPr>
          <w:rFonts w:ascii="Times New Roman" w:hAnsi="Times New Roman" w:cs="Times New Roman"/>
          <w:b/>
          <w:bCs/>
          <w:sz w:val="20"/>
          <w:szCs w:val="20"/>
        </w:rPr>
      </w:pPr>
      <w:r>
        <w:rPr>
          <w:rFonts w:ascii="Times New Roman" w:hAnsi="Times New Roman" w:cs="Times New Roman"/>
          <w:b/>
          <w:bCs/>
          <w:sz w:val="20"/>
          <w:szCs w:val="20"/>
          <w:lang w:eastAsia="zh-CN"/>
        </w:rPr>
        <w:t xml:space="preserve">Table </w:t>
      </w:r>
      <w:r>
        <w:rPr>
          <w:rFonts w:hint="eastAsia" w:ascii="Times New Roman" w:hAnsi="Times New Roman" w:cs="Times New Roman"/>
          <w:b/>
          <w:bCs/>
          <w:sz w:val="20"/>
          <w:szCs w:val="20"/>
          <w:lang w:val="en-US" w:eastAsia="zh-CN"/>
        </w:rPr>
        <w:t>S</w:t>
      </w:r>
      <w:r>
        <w:rPr>
          <w:rFonts w:ascii="Times New Roman" w:hAnsi="Times New Roman" w:cs="Times New Roman"/>
          <w:b/>
          <w:bCs/>
          <w:sz w:val="20"/>
          <w:szCs w:val="20"/>
          <w:lang w:eastAsia="zh-CN"/>
        </w:rPr>
        <w:t>1</w:t>
      </w:r>
      <w:r>
        <w:rPr>
          <w:rFonts w:hint="eastAsia" w:cs="Times New Roman"/>
          <w:b/>
          <w:bCs/>
          <w:sz w:val="20"/>
          <w:szCs w:val="20"/>
          <w:lang w:val="en-US" w:eastAsia="zh-CN"/>
        </w:rPr>
        <w:t>1</w:t>
      </w:r>
      <w:r>
        <w:rPr>
          <w:rFonts w:ascii="Times New Roman" w:hAnsi="Times New Roman" w:cs="Times New Roman"/>
          <w:b/>
          <w:bCs/>
          <w:sz w:val="20"/>
          <w:szCs w:val="20"/>
          <w:lang w:eastAsia="zh-CN"/>
        </w:rPr>
        <w:t xml:space="preserve">. </w:t>
      </w:r>
      <w:r>
        <w:rPr>
          <w:rFonts w:ascii="Times New Roman" w:hAnsi="Times New Roman" w:cs="Times New Roman"/>
          <w:b/>
          <w:bCs/>
          <w:sz w:val="20"/>
          <w:szCs w:val="20"/>
        </w:rPr>
        <w:t>Kruskal-Wallis test for health and economic losses in seven regions</w:t>
      </w:r>
    </w:p>
    <w:tbl>
      <w:tblPr>
        <w:tblStyle w:val="88"/>
        <w:tblW w:w="8329"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380"/>
        <w:gridCol w:w="2007"/>
        <w:gridCol w:w="394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326" w:hRule="atLeast"/>
          <w:jc w:val="center"/>
        </w:trPr>
        <w:tc>
          <w:tcPr>
            <w:tcW w:w="2380" w:type="dxa"/>
            <w:tcBorders>
              <w:top w:val="single" w:color="auto" w:sz="12" w:space="0"/>
              <w:left w:val="nil"/>
              <w:bottom w:val="single" w:color="auto" w:sz="8" w:space="0"/>
              <w:right w:val="nil"/>
              <w:tl2br w:val="nil"/>
              <w:tr2bl w:val="nil"/>
            </w:tcBorders>
            <w:shd w:val="clear" w:color="auto" w:fill="FFFFFF"/>
            <w:vAlign w:val="center"/>
          </w:tcPr>
          <w:p>
            <w:pPr>
              <w:spacing w:line="320" w:lineRule="atLeast"/>
              <w:ind w:left="60" w:right="60"/>
              <w:jc w:val="center"/>
              <w:rPr>
                <w:rFonts w:ascii="Times New Roman" w:hAnsi="Times New Roman" w:cs="Times New Roman" w:eastAsiaTheme="minorEastAsia"/>
                <w:sz w:val="20"/>
                <w:szCs w:val="20"/>
                <w:lang w:eastAsia="zh-CN"/>
              </w:rPr>
            </w:pPr>
            <w:r>
              <w:rPr>
                <w:rFonts w:ascii="Times New Roman" w:hAnsi="Times New Roman" w:cs="Times New Roman"/>
                <w:sz w:val="20"/>
                <w:szCs w:val="20"/>
                <w:lang w:eastAsia="zh-CN"/>
              </w:rPr>
              <w:t>Regions</w:t>
            </w:r>
          </w:p>
        </w:tc>
        <w:tc>
          <w:tcPr>
            <w:tcW w:w="2007" w:type="dxa"/>
            <w:tcBorders>
              <w:top w:val="single" w:color="auto" w:sz="12" w:space="0"/>
              <w:left w:val="nil"/>
              <w:bottom w:val="single" w:color="auto" w:sz="8" w:space="0"/>
              <w:right w:val="nil"/>
              <w:tl2br w:val="nil"/>
              <w:tr2bl w:val="nil"/>
            </w:tcBorders>
            <w:shd w:val="clear" w:color="auto" w:fill="FFFFFF"/>
            <w:vAlign w:val="center"/>
          </w:tcPr>
          <w:p>
            <w:pPr>
              <w:spacing w:line="320" w:lineRule="atLeast"/>
              <w:ind w:left="60" w:right="60"/>
              <w:jc w:val="center"/>
              <w:rPr>
                <w:rFonts w:ascii="Times New Roman" w:hAnsi="Times New Roman" w:cs="Times New Roman" w:eastAsiaTheme="minorEastAsia"/>
                <w:sz w:val="20"/>
                <w:szCs w:val="20"/>
                <w:lang w:eastAsia="zh-CN"/>
              </w:rPr>
            </w:pPr>
            <w:r>
              <w:rPr>
                <w:rFonts w:ascii="Times New Roman" w:hAnsi="Times New Roman" w:cs="Times New Roman"/>
                <w:sz w:val="20"/>
                <w:szCs w:val="20"/>
              </w:rPr>
              <w:t>N</w:t>
            </w:r>
          </w:p>
        </w:tc>
        <w:tc>
          <w:tcPr>
            <w:tcW w:w="3942" w:type="dxa"/>
            <w:tcBorders>
              <w:top w:val="single" w:color="auto" w:sz="12" w:space="0"/>
              <w:left w:val="nil"/>
              <w:bottom w:val="single" w:color="auto" w:sz="8" w:space="0"/>
              <w:right w:val="nil"/>
              <w:tl2br w:val="nil"/>
              <w:tr2bl w:val="nil"/>
            </w:tcBorders>
            <w:shd w:val="clear" w:color="auto" w:fill="FFFFFF"/>
            <w:vAlign w:val="center"/>
          </w:tcPr>
          <w:p>
            <w:pPr>
              <w:spacing w:line="320" w:lineRule="atLeast"/>
              <w:ind w:left="60" w:right="60"/>
              <w:jc w:val="center"/>
              <w:rPr>
                <w:rFonts w:ascii="Times New Roman" w:hAnsi="Times New Roman" w:cs="Times New Roman" w:eastAsiaTheme="minorEastAsia"/>
                <w:sz w:val="20"/>
                <w:szCs w:val="20"/>
                <w:lang w:eastAsia="zh-CN"/>
              </w:rPr>
            </w:pPr>
            <w:r>
              <w:rPr>
                <w:rFonts w:ascii="Times New Roman" w:hAnsi="Times New Roman" w:cs="Times New Roman"/>
                <w:sz w:val="20"/>
                <w:szCs w:val="20"/>
                <w:lang w:eastAsia="zh-CN"/>
              </w:rPr>
              <w:t>A</w:t>
            </w:r>
            <w:r>
              <w:rPr>
                <w:rFonts w:ascii="Times New Roman" w:hAnsi="Times New Roman" w:cs="Times New Roman" w:eastAsiaTheme="minorEastAsia"/>
                <w:sz w:val="20"/>
                <w:szCs w:val="20"/>
                <w:lang w:eastAsia="zh-CN"/>
              </w:rPr>
              <w:t>verage rank</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312" w:hRule="atLeast"/>
          <w:jc w:val="center"/>
        </w:trPr>
        <w:tc>
          <w:tcPr>
            <w:tcW w:w="2380" w:type="dxa"/>
            <w:tcBorders>
              <w:top w:val="single" w:color="auto" w:sz="8" w:space="0"/>
              <w:left w:val="nil"/>
              <w:bottom w:val="nil"/>
              <w:right w:val="nil"/>
              <w:tl2br w:val="nil"/>
              <w:tr2bl w:val="nil"/>
            </w:tcBorders>
            <w:shd w:val="clear" w:color="auto" w:fill="FFFFFF"/>
            <w:vAlign w:val="center"/>
          </w:tcPr>
          <w:p>
            <w:pPr>
              <w:ind w:firstLine="200" w:firstLineChars="100"/>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Northeast</w:t>
            </w:r>
          </w:p>
        </w:tc>
        <w:tc>
          <w:tcPr>
            <w:tcW w:w="2007" w:type="dxa"/>
            <w:tcBorders>
              <w:top w:val="single" w:color="auto" w:sz="8" w:space="0"/>
              <w:left w:val="nil"/>
              <w:bottom w:val="nil"/>
              <w:right w:val="nil"/>
              <w:tl2br w:val="nil"/>
              <w:tr2bl w:val="nil"/>
            </w:tcBorders>
            <w:shd w:val="clear" w:color="auto" w:fill="FFFFFF"/>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21</w:t>
            </w:r>
          </w:p>
        </w:tc>
        <w:tc>
          <w:tcPr>
            <w:tcW w:w="3942" w:type="dxa"/>
            <w:tcBorders>
              <w:top w:val="single" w:color="auto" w:sz="8" w:space="0"/>
              <w:left w:val="nil"/>
              <w:bottom w:val="nil"/>
              <w:right w:val="nil"/>
              <w:tl2br w:val="nil"/>
              <w:tr2bl w:val="nil"/>
            </w:tcBorders>
            <w:shd w:val="clear" w:color="auto" w:fill="FFFFFF"/>
            <w:vAlign w:val="center"/>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107.71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94" w:hRule="atLeast"/>
          <w:jc w:val="center"/>
        </w:trPr>
        <w:tc>
          <w:tcPr>
            <w:tcW w:w="2380" w:type="dxa"/>
            <w:tcBorders>
              <w:top w:val="nil"/>
              <w:left w:val="nil"/>
              <w:bottom w:val="nil"/>
              <w:right w:val="nil"/>
              <w:tl2br w:val="nil"/>
              <w:tr2bl w:val="nil"/>
            </w:tcBorders>
            <w:shd w:val="clear" w:color="auto" w:fill="FFFFFF"/>
            <w:vAlign w:val="center"/>
          </w:tcPr>
          <w:p>
            <w:pPr>
              <w:ind w:firstLine="200" w:firstLineChars="100"/>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North</w:t>
            </w:r>
          </w:p>
        </w:tc>
        <w:tc>
          <w:tcPr>
            <w:tcW w:w="2007" w:type="dxa"/>
            <w:tcBorders>
              <w:top w:val="nil"/>
              <w:left w:val="nil"/>
              <w:bottom w:val="nil"/>
              <w:right w:val="nil"/>
              <w:tl2br w:val="nil"/>
              <w:tr2bl w:val="nil"/>
            </w:tcBorders>
            <w:shd w:val="clear" w:color="auto" w:fill="FFFFFF"/>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55</w:t>
            </w:r>
          </w:p>
        </w:tc>
        <w:tc>
          <w:tcPr>
            <w:tcW w:w="3942" w:type="dxa"/>
            <w:tcBorders>
              <w:top w:val="nil"/>
              <w:left w:val="nil"/>
              <w:bottom w:val="nil"/>
              <w:right w:val="nil"/>
              <w:tl2br w:val="nil"/>
              <w:tr2bl w:val="nil"/>
            </w:tcBorders>
            <w:shd w:val="clear" w:color="auto" w:fill="FFFFFF"/>
            <w:vAlign w:val="center"/>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144.69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94" w:hRule="atLeast"/>
          <w:jc w:val="center"/>
        </w:trPr>
        <w:tc>
          <w:tcPr>
            <w:tcW w:w="2380" w:type="dxa"/>
            <w:tcBorders>
              <w:top w:val="nil"/>
              <w:left w:val="nil"/>
              <w:bottom w:val="nil"/>
              <w:right w:val="nil"/>
              <w:tl2br w:val="nil"/>
              <w:tr2bl w:val="nil"/>
            </w:tcBorders>
            <w:shd w:val="clear" w:color="auto" w:fill="FFFFFF"/>
            <w:vAlign w:val="center"/>
          </w:tcPr>
          <w:p>
            <w:pPr>
              <w:ind w:firstLine="200" w:firstLineChars="100"/>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East</w:t>
            </w:r>
          </w:p>
        </w:tc>
        <w:tc>
          <w:tcPr>
            <w:tcW w:w="2007" w:type="dxa"/>
            <w:tcBorders>
              <w:top w:val="nil"/>
              <w:left w:val="nil"/>
              <w:bottom w:val="nil"/>
              <w:right w:val="nil"/>
              <w:tl2br w:val="nil"/>
              <w:tr2bl w:val="nil"/>
            </w:tcBorders>
            <w:shd w:val="clear" w:color="auto" w:fill="FFFFFF"/>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14</w:t>
            </w:r>
          </w:p>
        </w:tc>
        <w:tc>
          <w:tcPr>
            <w:tcW w:w="3942" w:type="dxa"/>
            <w:tcBorders>
              <w:top w:val="nil"/>
              <w:left w:val="nil"/>
              <w:bottom w:val="nil"/>
              <w:right w:val="nil"/>
              <w:tl2br w:val="nil"/>
              <w:tr2bl w:val="nil"/>
            </w:tcBorders>
            <w:shd w:val="clear" w:color="auto" w:fill="FFFFFF"/>
            <w:vAlign w:val="center"/>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121.86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94" w:hRule="atLeast"/>
          <w:jc w:val="center"/>
        </w:trPr>
        <w:tc>
          <w:tcPr>
            <w:tcW w:w="2380" w:type="dxa"/>
            <w:tcBorders>
              <w:top w:val="nil"/>
              <w:left w:val="nil"/>
              <w:bottom w:val="nil"/>
              <w:right w:val="nil"/>
              <w:tl2br w:val="nil"/>
              <w:tr2bl w:val="nil"/>
            </w:tcBorders>
            <w:shd w:val="clear" w:color="auto" w:fill="FFFFFF"/>
            <w:vAlign w:val="center"/>
          </w:tcPr>
          <w:p>
            <w:pPr>
              <w:ind w:firstLine="200" w:firstLineChars="100"/>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South</w:t>
            </w:r>
          </w:p>
        </w:tc>
        <w:tc>
          <w:tcPr>
            <w:tcW w:w="2007" w:type="dxa"/>
            <w:tcBorders>
              <w:top w:val="nil"/>
              <w:left w:val="nil"/>
              <w:bottom w:val="nil"/>
              <w:right w:val="nil"/>
              <w:tl2br w:val="nil"/>
              <w:tr2bl w:val="nil"/>
            </w:tcBorders>
            <w:shd w:val="clear" w:color="auto" w:fill="FFFFFF"/>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41</w:t>
            </w:r>
          </w:p>
        </w:tc>
        <w:tc>
          <w:tcPr>
            <w:tcW w:w="3942" w:type="dxa"/>
            <w:tcBorders>
              <w:top w:val="nil"/>
              <w:left w:val="nil"/>
              <w:bottom w:val="nil"/>
              <w:right w:val="nil"/>
              <w:tl2br w:val="nil"/>
              <w:tr2bl w:val="nil"/>
            </w:tcBorders>
            <w:shd w:val="clear" w:color="auto" w:fill="FFFFFF"/>
            <w:vAlign w:val="center"/>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99.61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94" w:hRule="atLeast"/>
          <w:jc w:val="center"/>
        </w:trPr>
        <w:tc>
          <w:tcPr>
            <w:tcW w:w="2380" w:type="dxa"/>
            <w:tcBorders>
              <w:top w:val="nil"/>
              <w:left w:val="nil"/>
              <w:bottom w:val="nil"/>
              <w:right w:val="nil"/>
              <w:tl2br w:val="nil"/>
              <w:tr2bl w:val="nil"/>
            </w:tcBorders>
            <w:shd w:val="clear" w:color="auto" w:fill="FFFFFF"/>
            <w:vAlign w:val="center"/>
          </w:tcPr>
          <w:p>
            <w:pPr>
              <w:ind w:firstLine="200" w:firstLineChars="100"/>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Midlands</w:t>
            </w:r>
          </w:p>
        </w:tc>
        <w:tc>
          <w:tcPr>
            <w:tcW w:w="2007" w:type="dxa"/>
            <w:tcBorders>
              <w:top w:val="nil"/>
              <w:left w:val="nil"/>
              <w:bottom w:val="nil"/>
              <w:right w:val="nil"/>
              <w:tl2br w:val="nil"/>
              <w:tr2bl w:val="nil"/>
            </w:tcBorders>
            <w:shd w:val="clear" w:color="auto" w:fill="FFFFFF"/>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31</w:t>
            </w:r>
          </w:p>
        </w:tc>
        <w:tc>
          <w:tcPr>
            <w:tcW w:w="3942" w:type="dxa"/>
            <w:tcBorders>
              <w:top w:val="nil"/>
              <w:left w:val="nil"/>
              <w:bottom w:val="nil"/>
              <w:right w:val="nil"/>
              <w:tl2br w:val="nil"/>
              <w:tr2bl w:val="nil"/>
            </w:tcBorders>
            <w:shd w:val="clear" w:color="auto" w:fill="FFFFFF"/>
            <w:vAlign w:val="center"/>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90.42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94" w:hRule="atLeast"/>
          <w:jc w:val="center"/>
        </w:trPr>
        <w:tc>
          <w:tcPr>
            <w:tcW w:w="2380" w:type="dxa"/>
            <w:tcBorders>
              <w:top w:val="nil"/>
              <w:left w:val="nil"/>
              <w:bottom w:val="nil"/>
              <w:right w:val="nil"/>
              <w:tl2br w:val="nil"/>
              <w:tr2bl w:val="nil"/>
            </w:tcBorders>
            <w:shd w:val="clear" w:color="auto" w:fill="FFFFFF"/>
            <w:vAlign w:val="center"/>
          </w:tcPr>
          <w:p>
            <w:pPr>
              <w:ind w:firstLine="200" w:firstLineChars="100"/>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Northwest</w:t>
            </w:r>
          </w:p>
        </w:tc>
        <w:tc>
          <w:tcPr>
            <w:tcW w:w="2007" w:type="dxa"/>
            <w:tcBorders>
              <w:top w:val="nil"/>
              <w:left w:val="nil"/>
              <w:bottom w:val="nil"/>
              <w:right w:val="nil"/>
              <w:tl2br w:val="nil"/>
              <w:tr2bl w:val="nil"/>
            </w:tcBorders>
            <w:shd w:val="clear" w:color="auto" w:fill="FFFFFF"/>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10</w:t>
            </w:r>
          </w:p>
        </w:tc>
        <w:tc>
          <w:tcPr>
            <w:tcW w:w="3942" w:type="dxa"/>
            <w:tcBorders>
              <w:top w:val="nil"/>
              <w:left w:val="nil"/>
              <w:bottom w:val="nil"/>
              <w:right w:val="nil"/>
              <w:tl2br w:val="nil"/>
              <w:tr2bl w:val="nil"/>
            </w:tcBorders>
            <w:shd w:val="clear" w:color="auto" w:fill="FFFFFF"/>
            <w:vAlign w:val="center"/>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49.65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306" w:hRule="atLeast"/>
          <w:jc w:val="center"/>
        </w:trPr>
        <w:tc>
          <w:tcPr>
            <w:tcW w:w="2380" w:type="dxa"/>
            <w:tcBorders>
              <w:top w:val="nil"/>
              <w:left w:val="nil"/>
              <w:bottom w:val="single" w:color="auto" w:sz="8" w:space="0"/>
              <w:right w:val="nil"/>
              <w:tl2br w:val="nil"/>
              <w:tr2bl w:val="nil"/>
            </w:tcBorders>
            <w:shd w:val="clear" w:color="auto" w:fill="FFFFFF"/>
            <w:vAlign w:val="center"/>
          </w:tcPr>
          <w:p>
            <w:pPr>
              <w:ind w:firstLine="200" w:firstLineChars="100"/>
              <w:jc w:val="center"/>
              <w:textAlignment w:val="center"/>
              <w:rPr>
                <w:rFonts w:ascii="Times New Roman" w:hAnsi="Times New Roman" w:cs="Times New Roman"/>
                <w:sz w:val="20"/>
                <w:szCs w:val="20"/>
              </w:rPr>
            </w:pPr>
            <w:r>
              <w:rPr>
                <w:rFonts w:ascii="Times New Roman" w:hAnsi="Times New Roman" w:cs="Times New Roman"/>
                <w:sz w:val="20"/>
                <w:szCs w:val="20"/>
                <w:lang w:eastAsia="zh-CN"/>
              </w:rPr>
              <w:t>Southwest</w:t>
            </w:r>
          </w:p>
        </w:tc>
        <w:tc>
          <w:tcPr>
            <w:tcW w:w="2007" w:type="dxa"/>
            <w:tcBorders>
              <w:top w:val="nil"/>
              <w:left w:val="nil"/>
              <w:bottom w:val="single" w:color="auto" w:sz="8" w:space="0"/>
              <w:right w:val="nil"/>
              <w:tl2br w:val="nil"/>
              <w:tr2bl w:val="nil"/>
            </w:tcBorders>
            <w:shd w:val="clear" w:color="auto" w:fill="FFFFFF"/>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38</w:t>
            </w:r>
          </w:p>
        </w:tc>
        <w:tc>
          <w:tcPr>
            <w:tcW w:w="3942" w:type="dxa"/>
            <w:tcBorders>
              <w:top w:val="nil"/>
              <w:left w:val="nil"/>
              <w:bottom w:val="single" w:color="auto" w:sz="8" w:space="0"/>
              <w:right w:val="nil"/>
              <w:tl2br w:val="nil"/>
              <w:tr2bl w:val="nil"/>
            </w:tcBorders>
            <w:shd w:val="clear" w:color="auto" w:fill="FFFFFF"/>
            <w:vAlign w:val="center"/>
          </w:tcPr>
          <w:p>
            <w:pPr>
              <w:spacing w:line="320" w:lineRule="atLeast"/>
              <w:ind w:left="60" w:right="60"/>
              <w:jc w:val="center"/>
              <w:rPr>
                <w:rFonts w:ascii="Times New Roman" w:hAnsi="Times New Roman" w:cs="Times New Roman"/>
                <w:sz w:val="20"/>
                <w:szCs w:val="20"/>
              </w:rPr>
            </w:pPr>
            <w:r>
              <w:rPr>
                <w:rFonts w:ascii="Times New Roman" w:hAnsi="Times New Roman" w:cs="Times New Roman"/>
                <w:sz w:val="20"/>
                <w:szCs w:val="20"/>
              </w:rPr>
              <w:t>74.88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312" w:hRule="atLeast"/>
          <w:jc w:val="center"/>
        </w:trPr>
        <w:tc>
          <w:tcPr>
            <w:tcW w:w="2380" w:type="dxa"/>
            <w:tcBorders>
              <w:top w:val="single" w:color="auto" w:sz="8" w:space="0"/>
              <w:left w:val="nil"/>
              <w:bottom w:val="nil"/>
              <w:right w:val="nil"/>
              <w:tl2br w:val="nil"/>
              <w:tr2bl w:val="nil"/>
            </w:tcBorders>
            <w:shd w:val="clear" w:color="auto" w:fill="FFFFFF"/>
          </w:tcPr>
          <w:p>
            <w:pPr>
              <w:spacing w:line="320" w:lineRule="atLeast"/>
              <w:ind w:right="60"/>
              <w:jc w:val="center"/>
              <w:rPr>
                <w:rFonts w:ascii="Times New Roman" w:hAnsi="Times New Roman" w:cs="Times New Roman"/>
                <w:sz w:val="20"/>
                <w:szCs w:val="20"/>
              </w:rPr>
            </w:pPr>
            <w:r>
              <w:rPr>
                <w:rFonts w:ascii="Times New Roman" w:hAnsi="Times New Roman" w:cs="Times New Roman"/>
                <w:sz w:val="20"/>
                <w:szCs w:val="20"/>
              </w:rPr>
              <w:t>Chi-square</w:t>
            </w:r>
          </w:p>
        </w:tc>
        <w:tc>
          <w:tcPr>
            <w:tcW w:w="5949" w:type="dxa"/>
            <w:gridSpan w:val="2"/>
            <w:tcBorders>
              <w:top w:val="single" w:color="auto" w:sz="8" w:space="0"/>
              <w:left w:val="nil"/>
              <w:bottom w:val="nil"/>
              <w:right w:val="nil"/>
              <w:tl2br w:val="nil"/>
              <w:tr2bl w:val="nil"/>
            </w:tcBorders>
            <w:shd w:val="clear" w:color="auto" w:fill="FFFFFF"/>
          </w:tcPr>
          <w:p>
            <w:pPr>
              <w:jc w:val="center"/>
              <w:rPr>
                <w:rFonts w:ascii="Times New Roman" w:hAnsi="Times New Roman" w:cs="Times New Roman"/>
                <w:sz w:val="20"/>
                <w:szCs w:val="20"/>
              </w:rPr>
            </w:pPr>
            <w:r>
              <w:rPr>
                <w:rFonts w:ascii="Times New Roman" w:hAnsi="Times New Roman" w:cs="Times New Roman"/>
                <w:sz w:val="20"/>
                <w:szCs w:val="20"/>
              </w:rPr>
              <w:t>44.310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294" w:hRule="atLeast"/>
          <w:jc w:val="center"/>
        </w:trPr>
        <w:tc>
          <w:tcPr>
            <w:tcW w:w="2380" w:type="dxa"/>
            <w:tcBorders>
              <w:top w:val="nil"/>
              <w:left w:val="nil"/>
              <w:bottom w:val="nil"/>
              <w:right w:val="nil"/>
              <w:tl2br w:val="nil"/>
              <w:tr2bl w:val="nil"/>
            </w:tcBorders>
            <w:shd w:val="clear" w:color="auto" w:fill="FFFFFF"/>
          </w:tcPr>
          <w:p>
            <w:pPr>
              <w:spacing w:line="320" w:lineRule="atLeast"/>
              <w:ind w:right="60"/>
              <w:jc w:val="center"/>
              <w:rPr>
                <w:rFonts w:ascii="Times New Roman" w:hAnsi="Times New Roman" w:cs="Times New Roman"/>
                <w:sz w:val="20"/>
                <w:szCs w:val="20"/>
              </w:rPr>
            </w:pPr>
            <w:r>
              <w:rPr>
                <w:rFonts w:ascii="Times New Roman" w:hAnsi="Times New Roman" w:cs="Times New Roman"/>
                <w:sz w:val="20"/>
                <w:szCs w:val="20"/>
              </w:rPr>
              <w:t>df</w:t>
            </w:r>
          </w:p>
        </w:tc>
        <w:tc>
          <w:tcPr>
            <w:tcW w:w="5949" w:type="dxa"/>
            <w:gridSpan w:val="2"/>
            <w:tcBorders>
              <w:top w:val="nil"/>
              <w:left w:val="nil"/>
              <w:bottom w:val="nil"/>
              <w:right w:val="nil"/>
              <w:tl2br w:val="nil"/>
              <w:tr2bl w:val="nil"/>
            </w:tcBorders>
            <w:shd w:val="clear" w:color="auto" w:fill="FFFFFF"/>
          </w:tcPr>
          <w:p>
            <w:pPr>
              <w:jc w:val="center"/>
              <w:rPr>
                <w:rFonts w:ascii="Times New Roman" w:hAnsi="Times New Roman" w:cs="Times New Roman"/>
                <w:sz w:val="20"/>
                <w:szCs w:val="20"/>
              </w:rPr>
            </w:pPr>
            <w:r>
              <w:rPr>
                <w:rFonts w:ascii="Times New Roman" w:hAnsi="Times New Roman" w:cs="Times New Roman"/>
                <w:sz w:val="20"/>
                <w:szCs w:val="20"/>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312" w:hRule="atLeast"/>
          <w:jc w:val="center"/>
        </w:trPr>
        <w:tc>
          <w:tcPr>
            <w:tcW w:w="2380" w:type="dxa"/>
            <w:tcBorders>
              <w:top w:val="nil"/>
              <w:left w:val="nil"/>
              <w:bottom w:val="single" w:color="auto" w:sz="8" w:space="0"/>
              <w:right w:val="nil"/>
              <w:tl2br w:val="nil"/>
              <w:tr2bl w:val="nil"/>
            </w:tcBorders>
            <w:shd w:val="clear" w:color="auto" w:fill="FFFFFF"/>
          </w:tcPr>
          <w:p>
            <w:pPr>
              <w:spacing w:line="320" w:lineRule="atLeast"/>
              <w:ind w:right="60"/>
              <w:jc w:val="center"/>
              <w:rPr>
                <w:rFonts w:ascii="Times New Roman" w:hAnsi="Times New Roman" w:cs="Times New Roman"/>
                <w:sz w:val="20"/>
                <w:szCs w:val="20"/>
              </w:rPr>
            </w:pPr>
            <w:r>
              <w:rPr>
                <w:rFonts w:ascii="Times New Roman" w:hAnsi="Times New Roman" w:cs="Times New Roman"/>
                <w:sz w:val="20"/>
                <w:szCs w:val="20"/>
              </w:rPr>
              <w:t>sig</w:t>
            </w:r>
          </w:p>
        </w:tc>
        <w:tc>
          <w:tcPr>
            <w:tcW w:w="5949" w:type="dxa"/>
            <w:gridSpan w:val="2"/>
            <w:tcBorders>
              <w:top w:val="nil"/>
              <w:left w:val="nil"/>
              <w:bottom w:val="single" w:color="auto" w:sz="8" w:space="0"/>
              <w:right w:val="nil"/>
              <w:tl2br w:val="nil"/>
              <w:tr2bl w:val="nil"/>
            </w:tcBorders>
            <w:shd w:val="clear" w:color="auto" w:fill="FFFFFF"/>
          </w:tcPr>
          <w:p>
            <w:pPr>
              <w:jc w:val="center"/>
              <w:rPr>
                <w:rFonts w:ascii="Times New Roman" w:hAnsi="Times New Roman" w:cs="Times New Roman"/>
                <w:sz w:val="20"/>
                <w:szCs w:val="20"/>
              </w:rPr>
            </w:pPr>
            <w:r>
              <w:rPr>
                <w:rFonts w:ascii="Times New Roman" w:hAnsi="Times New Roman" w:cs="Times New Roman"/>
                <w:sz w:val="20"/>
                <w:szCs w:val="20"/>
              </w:rPr>
              <w:t>0.00</w:t>
            </w:r>
            <w:r>
              <w:rPr>
                <w:rFonts w:ascii="Times New Roman" w:hAnsi="Times New Roman" w:cs="Times New Roman"/>
                <w:sz w:val="20"/>
                <w:szCs w:val="20"/>
                <w:lang w:eastAsia="zh-CN"/>
              </w:rPr>
              <w:t>0</w:t>
            </w:r>
            <w:r>
              <w:rPr>
                <w:rFonts w:ascii="Times New Roman" w:hAnsi="Times New Roman" w:cs="Times New Roman"/>
                <w:sz w:val="20"/>
                <w:szCs w:val="20"/>
              </w:rPr>
              <w:t>***</w:t>
            </w:r>
          </w:p>
        </w:tc>
      </w:tr>
    </w:tbl>
    <w:p>
      <w:pPr>
        <w:spacing w:after="0"/>
        <w:jc w:val="both"/>
        <w:rPr>
          <w:rFonts w:ascii="Times New Roman" w:hAnsi="Times New Roman" w:cs="Times New Roman"/>
          <w:sz w:val="20"/>
          <w:szCs w:val="20"/>
        </w:rPr>
      </w:pPr>
      <w:r>
        <w:rPr>
          <w:rFonts w:ascii="Times New Roman" w:hAnsi="Times New Roman" w:cs="Times New Roman"/>
          <w:sz w:val="20"/>
          <w:szCs w:val="20"/>
        </w:rPr>
        <w:t xml:space="preserve">***Significant at </w:t>
      </w:r>
      <w:r>
        <w:rPr>
          <w:rFonts w:ascii="Times New Roman" w:hAnsi="Times New Roman" w:cs="Times New Roman"/>
          <w:sz w:val="20"/>
          <w:szCs w:val="20"/>
          <w:lang w:eastAsia="zh-CN"/>
        </w:rPr>
        <w:t>1</w:t>
      </w:r>
      <w:r>
        <w:rPr>
          <w:rFonts w:ascii="Times New Roman" w:hAnsi="Times New Roman" w:cs="Times New Roman"/>
          <w:sz w:val="20"/>
          <w:szCs w:val="20"/>
        </w:rPr>
        <w:t>%.</w:t>
      </w:r>
    </w:p>
    <w:p>
      <w:pPr>
        <w:jc w:val="both"/>
        <w:rPr>
          <w:rFonts w:ascii="Times New Roman" w:hAnsi="Times New Roman" w:cs="Times New Roman"/>
          <w:sz w:val="20"/>
          <w:szCs w:val="20"/>
        </w:rPr>
      </w:pPr>
      <w:r>
        <w:rPr>
          <w:rFonts w:ascii="Times New Roman" w:hAnsi="Times New Roman" w:cs="Times New Roman"/>
          <w:sz w:val="20"/>
          <w:szCs w:val="20"/>
        </w:rPr>
        <w:t>The Kruskal-Wallis test examined the differences in the health-related economic losses caused by PM2.5 exposure in seven regions. A higher average ranking means a relatively higher degree of economic loss. Significance indicates the level of economic loss in the seven regions.</w:t>
      </w:r>
    </w:p>
    <w:p>
      <w:pPr>
        <w:rPr>
          <w:rFonts w:ascii="Arial" w:hAnsi="Arial" w:cs="Arial"/>
          <w:color w:val="333333"/>
          <w:sz w:val="20"/>
          <w:szCs w:val="20"/>
        </w:rPr>
      </w:pPr>
      <w:r>
        <w:rPr>
          <w:rFonts w:ascii="Arial" w:hAnsi="Arial" w:cs="Arial"/>
          <w:color w:val="333333"/>
          <w:sz w:val="20"/>
          <w:szCs w:val="20"/>
        </w:rPr>
        <w:br w:type="page"/>
      </w:r>
    </w:p>
    <w:p>
      <w:pPr>
        <w:spacing w:after="0"/>
        <w:rPr>
          <w:rFonts w:ascii="Times New Roman" w:hAnsi="Times New Roman" w:cs="Times New Roman" w:eastAsiaTheme="minorEastAsia"/>
          <w:b/>
          <w:bCs/>
          <w:sz w:val="20"/>
          <w:szCs w:val="20"/>
        </w:rPr>
      </w:pPr>
      <w:r>
        <w:rPr>
          <w:rFonts w:ascii="Times New Roman" w:hAnsi="Times New Roman" w:cs="Times New Roman"/>
          <w:b/>
          <w:bCs/>
          <w:sz w:val="20"/>
          <w:szCs w:val="20"/>
        </w:rPr>
        <w:t xml:space="preserve">Table </w:t>
      </w:r>
      <w:r>
        <w:rPr>
          <w:rFonts w:hint="eastAsia" w:ascii="Times New Roman" w:hAnsi="Times New Roman" w:cs="Times New Roman"/>
          <w:b/>
          <w:bCs/>
          <w:sz w:val="20"/>
          <w:szCs w:val="20"/>
          <w:lang w:val="en-US" w:eastAsia="zh-CN"/>
        </w:rPr>
        <w:t>S</w:t>
      </w:r>
      <w:r>
        <w:rPr>
          <w:rFonts w:ascii="Times New Roman" w:hAnsi="Times New Roman" w:cs="Times New Roman"/>
          <w:b/>
          <w:bCs/>
          <w:sz w:val="20"/>
          <w:szCs w:val="20"/>
        </w:rPr>
        <w:t>1</w:t>
      </w:r>
      <w:r>
        <w:rPr>
          <w:rFonts w:hint="eastAsia" w:eastAsia="宋体" w:cs="Times New Roman"/>
          <w:b/>
          <w:bCs/>
          <w:sz w:val="20"/>
          <w:szCs w:val="20"/>
          <w:lang w:val="en-US" w:eastAsia="zh-CN"/>
        </w:rPr>
        <w:t>2</w:t>
      </w:r>
      <w:r>
        <w:rPr>
          <w:rFonts w:ascii="Times New Roman" w:hAnsi="Times New Roman" w:cs="Times New Roman"/>
          <w:b/>
          <w:bCs/>
          <w:sz w:val="20"/>
          <w:szCs w:val="20"/>
        </w:rPr>
        <w:t xml:space="preserve"> Global Moran's I value of China's urban health</w:t>
      </w:r>
      <w:r>
        <w:rPr>
          <w:rFonts w:ascii="Times New Roman" w:hAnsi="Times New Roman" w:cs="Times New Roman"/>
          <w:b/>
          <w:bCs/>
          <w:sz w:val="20"/>
          <w:szCs w:val="20"/>
          <w:lang w:eastAsia="zh-CN"/>
        </w:rPr>
        <w:t>-related</w:t>
      </w:r>
      <w:r>
        <w:rPr>
          <w:rFonts w:ascii="Times New Roman" w:hAnsi="Times New Roman" w:cs="Times New Roman"/>
          <w:b/>
          <w:bCs/>
          <w:sz w:val="20"/>
          <w:szCs w:val="20"/>
        </w:rPr>
        <w:t xml:space="preserve"> economic losses in 2016</w:t>
      </w:r>
    </w:p>
    <w:tbl>
      <w:tblPr>
        <w:tblStyle w:val="89"/>
        <w:tblW w:w="0" w:type="auto"/>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0"/>
        <w:gridCol w:w="1420"/>
        <w:gridCol w:w="1420"/>
        <w:gridCol w:w="1420"/>
        <w:gridCol w:w="1421"/>
        <w:gridCol w:w="1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8" w:type="dxa"/>
            <w:gridSpan w:val="6"/>
            <w:tcBorders>
              <w:top w:val="single" w:color="auto" w:sz="12" w:space="0"/>
              <w:left w:val="nil"/>
              <w:bottom w:val="single" w:color="auto" w:sz="8" w:space="0"/>
              <w:right w:val="nil"/>
            </w:tcBorders>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Moran's</w:t>
            </w:r>
            <w:r>
              <w:rPr>
                <w:rFonts w:ascii="Times New Roman" w:hAnsi="Times New Roman" w:cs="Times New Roman"/>
                <w:kern w:val="0"/>
                <w:sz w:val="20"/>
                <w:szCs w:val="20"/>
              </w:rPr>
              <w:tab/>
            </w:r>
            <w:r>
              <w:rPr>
                <w:rFonts w:ascii="Times New Roman" w:hAnsi="Times New Roman" w:cs="Times New Roman"/>
                <w:kern w:val="0"/>
                <w:sz w:val="20"/>
                <w:szCs w:val="20"/>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90" w:type="dxa"/>
            <w:tcBorders>
              <w:top w:val="single" w:color="auto" w:sz="8" w:space="0"/>
              <w:left w:val="nil"/>
              <w:bottom w:val="nil"/>
              <w:right w:val="nil"/>
            </w:tcBorders>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Variables</w:t>
            </w:r>
          </w:p>
        </w:tc>
        <w:tc>
          <w:tcPr>
            <w:tcW w:w="1420" w:type="dxa"/>
            <w:tcBorders>
              <w:top w:val="single" w:color="auto" w:sz="8" w:space="0"/>
              <w:left w:val="nil"/>
              <w:bottom w:val="nil"/>
              <w:right w:val="nil"/>
            </w:tcBorders>
          </w:tcPr>
          <w:p>
            <w:pPr>
              <w:widowControl w:val="0"/>
              <w:jc w:val="center"/>
              <w:rPr>
                <w:rFonts w:ascii="Times New Roman" w:hAnsi="Times New Roman" w:cs="Times New Roman" w:eastAsiaTheme="minorEastAsia"/>
                <w:kern w:val="0"/>
                <w:sz w:val="20"/>
                <w:szCs w:val="20"/>
              </w:rPr>
            </w:pPr>
            <w:r>
              <w:rPr>
                <w:rFonts w:ascii="Times New Roman" w:hAnsi="Times New Roman" w:cs="Times New Roman"/>
                <w:kern w:val="0"/>
                <w:sz w:val="20"/>
                <w:szCs w:val="20"/>
              </w:rPr>
              <w:t>I</w:t>
            </w:r>
          </w:p>
        </w:tc>
        <w:tc>
          <w:tcPr>
            <w:tcW w:w="1420" w:type="dxa"/>
            <w:tcBorders>
              <w:top w:val="single" w:color="auto" w:sz="8" w:space="0"/>
              <w:left w:val="nil"/>
              <w:bottom w:val="nil"/>
              <w:right w:val="nil"/>
            </w:tcBorders>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E(I)</w:t>
            </w:r>
          </w:p>
        </w:tc>
        <w:tc>
          <w:tcPr>
            <w:tcW w:w="1420" w:type="dxa"/>
            <w:tcBorders>
              <w:top w:val="single" w:color="auto" w:sz="8" w:space="0"/>
              <w:left w:val="nil"/>
              <w:bottom w:val="nil"/>
              <w:right w:val="nil"/>
            </w:tcBorders>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S</w:t>
            </w:r>
            <w:r>
              <w:rPr>
                <w:rFonts w:ascii="Times New Roman" w:hAnsi="Times New Roman" w:cs="Times New Roman"/>
                <w:kern w:val="0"/>
                <w:sz w:val="20"/>
                <w:szCs w:val="20"/>
                <w:lang w:eastAsia="zh-CN"/>
              </w:rPr>
              <w:t>.</w:t>
            </w:r>
            <w:r>
              <w:rPr>
                <w:rFonts w:ascii="Times New Roman" w:hAnsi="Times New Roman" w:cs="Times New Roman"/>
                <w:kern w:val="0"/>
                <w:sz w:val="20"/>
                <w:szCs w:val="20"/>
              </w:rPr>
              <w:t>d(I)</w:t>
            </w:r>
          </w:p>
        </w:tc>
        <w:tc>
          <w:tcPr>
            <w:tcW w:w="1421" w:type="dxa"/>
            <w:tcBorders>
              <w:top w:val="single" w:color="auto" w:sz="8" w:space="0"/>
              <w:left w:val="nil"/>
              <w:bottom w:val="nil"/>
              <w:right w:val="nil"/>
            </w:tcBorders>
          </w:tcPr>
          <w:p>
            <w:pPr>
              <w:widowControl w:val="0"/>
              <w:jc w:val="center"/>
              <w:rPr>
                <w:rFonts w:ascii="Times New Roman" w:hAnsi="Times New Roman" w:cs="Times New Roman" w:eastAsiaTheme="minorEastAsia"/>
                <w:kern w:val="0"/>
                <w:sz w:val="20"/>
                <w:szCs w:val="20"/>
              </w:rPr>
            </w:pPr>
            <w:r>
              <w:rPr>
                <w:rFonts w:ascii="Times New Roman" w:hAnsi="Times New Roman" w:cs="Times New Roman"/>
                <w:kern w:val="0"/>
                <w:sz w:val="20"/>
                <w:szCs w:val="20"/>
              </w:rPr>
              <w:t>Z</w:t>
            </w:r>
          </w:p>
        </w:tc>
        <w:tc>
          <w:tcPr>
            <w:tcW w:w="1317" w:type="dxa"/>
            <w:tcBorders>
              <w:top w:val="single" w:color="auto" w:sz="8" w:space="0"/>
              <w:left w:val="nil"/>
              <w:bottom w:val="nil"/>
              <w:right w:val="nil"/>
            </w:tcBorders>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p-value*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0" w:type="dxa"/>
            <w:tcBorders>
              <w:top w:val="nil"/>
              <w:left w:val="nil"/>
              <w:bottom w:val="single" w:color="auto" w:sz="12" w:space="0"/>
              <w:right w:val="nil"/>
            </w:tcBorders>
          </w:tcPr>
          <w:p>
            <w:pPr>
              <w:widowControl w:val="0"/>
              <w:jc w:val="center"/>
              <w:rPr>
                <w:rFonts w:ascii="Times New Roman" w:hAnsi="Times New Roman" w:cs="Times New Roman" w:eastAsiaTheme="minorEastAsia"/>
                <w:kern w:val="0"/>
                <w:sz w:val="20"/>
                <w:szCs w:val="20"/>
                <w:lang w:eastAsia="zh-CN"/>
              </w:rPr>
            </w:pPr>
            <w:r>
              <w:rPr>
                <w:rFonts w:ascii="Times New Roman" w:hAnsi="Times New Roman" w:cs="Times New Roman"/>
                <w:kern w:val="0"/>
                <w:sz w:val="20"/>
                <w:szCs w:val="20"/>
                <w:lang w:eastAsia="zh-CN"/>
              </w:rPr>
              <w:t>Var</w:t>
            </w:r>
          </w:p>
        </w:tc>
        <w:tc>
          <w:tcPr>
            <w:tcW w:w="1420" w:type="dxa"/>
            <w:tcBorders>
              <w:top w:val="nil"/>
              <w:left w:val="nil"/>
              <w:bottom w:val="single" w:color="auto" w:sz="12" w:space="0"/>
              <w:right w:val="nil"/>
            </w:tcBorders>
          </w:tcPr>
          <w:p>
            <w:pPr>
              <w:widowControl w:val="0"/>
              <w:jc w:val="center"/>
              <w:rPr>
                <w:rFonts w:ascii="Times New Roman" w:hAnsi="Times New Roman" w:eastAsia="宋体" w:cs="Times New Roman"/>
                <w:kern w:val="0"/>
                <w:sz w:val="20"/>
                <w:szCs w:val="20"/>
                <w:lang w:eastAsia="zh-CN"/>
              </w:rPr>
            </w:pPr>
            <w:r>
              <w:rPr>
                <w:rFonts w:ascii="Times New Roman" w:hAnsi="Times New Roman" w:cs="Times New Roman"/>
                <w:kern w:val="0"/>
                <w:sz w:val="20"/>
                <w:szCs w:val="20"/>
              </w:rPr>
              <w:t>0.</w:t>
            </w:r>
            <w:r>
              <w:rPr>
                <w:rFonts w:ascii="Times New Roman" w:hAnsi="Times New Roman" w:cs="Times New Roman"/>
                <w:kern w:val="0"/>
                <w:sz w:val="20"/>
                <w:szCs w:val="20"/>
                <w:lang w:eastAsia="zh-CN"/>
              </w:rPr>
              <w:t>225</w:t>
            </w:r>
          </w:p>
        </w:tc>
        <w:tc>
          <w:tcPr>
            <w:tcW w:w="1420" w:type="dxa"/>
            <w:tcBorders>
              <w:top w:val="nil"/>
              <w:left w:val="nil"/>
              <w:bottom w:val="single" w:color="auto" w:sz="12" w:space="0"/>
              <w:right w:val="nil"/>
            </w:tcBorders>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-0.005</w:t>
            </w:r>
          </w:p>
        </w:tc>
        <w:tc>
          <w:tcPr>
            <w:tcW w:w="1420" w:type="dxa"/>
            <w:tcBorders>
              <w:top w:val="nil"/>
              <w:left w:val="nil"/>
              <w:bottom w:val="single" w:color="auto" w:sz="12" w:space="0"/>
              <w:right w:val="nil"/>
            </w:tcBorders>
          </w:tcPr>
          <w:p>
            <w:pPr>
              <w:widowControl w:val="0"/>
              <w:jc w:val="center"/>
              <w:rPr>
                <w:rFonts w:ascii="Times New Roman" w:hAnsi="Times New Roman" w:eastAsia="宋体" w:cs="Times New Roman"/>
                <w:kern w:val="0"/>
                <w:sz w:val="20"/>
                <w:szCs w:val="20"/>
                <w:lang w:eastAsia="zh-CN"/>
              </w:rPr>
            </w:pPr>
            <w:r>
              <w:rPr>
                <w:rFonts w:ascii="Times New Roman" w:hAnsi="Times New Roman" w:cs="Times New Roman"/>
                <w:kern w:val="0"/>
                <w:sz w:val="20"/>
                <w:szCs w:val="20"/>
              </w:rPr>
              <w:t>0.03</w:t>
            </w:r>
            <w:r>
              <w:rPr>
                <w:rFonts w:ascii="Times New Roman" w:hAnsi="Times New Roman" w:cs="Times New Roman"/>
                <w:kern w:val="0"/>
                <w:sz w:val="20"/>
                <w:szCs w:val="20"/>
                <w:lang w:eastAsia="zh-CN"/>
              </w:rPr>
              <w:t>4</w:t>
            </w:r>
          </w:p>
        </w:tc>
        <w:tc>
          <w:tcPr>
            <w:tcW w:w="1421" w:type="dxa"/>
            <w:tcBorders>
              <w:top w:val="nil"/>
              <w:left w:val="nil"/>
              <w:bottom w:val="single" w:color="auto" w:sz="12" w:space="0"/>
              <w:right w:val="nil"/>
            </w:tcBorders>
          </w:tcPr>
          <w:p>
            <w:pPr>
              <w:widowControl w:val="0"/>
              <w:jc w:val="center"/>
              <w:rPr>
                <w:rFonts w:ascii="Times New Roman" w:hAnsi="Times New Roman" w:cs="Times New Roman"/>
                <w:kern w:val="0"/>
                <w:sz w:val="20"/>
                <w:szCs w:val="20"/>
              </w:rPr>
            </w:pPr>
            <w:r>
              <w:rPr>
                <w:rFonts w:ascii="Times New Roman" w:hAnsi="Times New Roman" w:cs="Times New Roman"/>
                <w:kern w:val="0"/>
                <w:sz w:val="20"/>
                <w:szCs w:val="20"/>
              </w:rPr>
              <w:t xml:space="preserve"> 6.814</w:t>
            </w:r>
          </w:p>
        </w:tc>
        <w:tc>
          <w:tcPr>
            <w:tcW w:w="1317" w:type="dxa"/>
            <w:tcBorders>
              <w:top w:val="nil"/>
              <w:left w:val="nil"/>
              <w:bottom w:val="single" w:color="auto" w:sz="12" w:space="0"/>
              <w:right w:val="nil"/>
            </w:tcBorders>
          </w:tcPr>
          <w:p>
            <w:pPr>
              <w:widowControl w:val="0"/>
              <w:jc w:val="center"/>
              <w:rPr>
                <w:rFonts w:ascii="Times New Roman" w:hAnsi="Times New Roman" w:eastAsia="宋体" w:cs="Times New Roman"/>
                <w:kern w:val="0"/>
                <w:sz w:val="20"/>
                <w:szCs w:val="20"/>
                <w:lang w:eastAsia="zh-CN"/>
              </w:rPr>
            </w:pPr>
            <w:r>
              <w:rPr>
                <w:rFonts w:ascii="Times New Roman" w:hAnsi="Times New Roman" w:cs="Times New Roman"/>
                <w:kern w:val="0"/>
                <w:sz w:val="20"/>
                <w:szCs w:val="20"/>
                <w:lang w:eastAsia="zh-CN"/>
              </w:rPr>
              <w:t>0.000</w:t>
            </w:r>
            <w:r>
              <w:rPr>
                <w:rFonts w:ascii="Times New Roman" w:hAnsi="Times New Roman" w:cs="Times New Roman"/>
                <w:kern w:val="0"/>
                <w:sz w:val="20"/>
                <w:szCs w:val="20"/>
              </w:rPr>
              <w:t>**</w:t>
            </w:r>
            <w:r>
              <w:rPr>
                <w:rFonts w:ascii="Times New Roman" w:hAnsi="Times New Roman" w:cs="Times New Roman"/>
                <w:kern w:val="0"/>
                <w:sz w:val="20"/>
                <w:szCs w:val="20"/>
                <w:lang w:eastAsia="zh-CN"/>
              </w:rPr>
              <w:t>*</w:t>
            </w:r>
          </w:p>
        </w:tc>
      </w:tr>
    </w:tbl>
    <w:p>
      <w:pPr>
        <w:pStyle w:val="22"/>
        <w:spacing w:after="0"/>
        <w:rPr>
          <w:rFonts w:ascii="Times New Roman" w:hAnsi="Times New Roman" w:eastAsia="宋体" w:cs="Times New Roman"/>
          <w:szCs w:val="20"/>
          <w:lang w:eastAsia="zh-CN"/>
        </w:rPr>
      </w:pPr>
      <w:r>
        <w:rPr>
          <w:rFonts w:ascii="Times New Roman" w:hAnsi="Times New Roman" w:eastAsia="宋体" w:cs="Times New Roman"/>
          <w:szCs w:val="20"/>
          <w:lang w:eastAsia="zh-CN"/>
        </w:rPr>
        <w:t>***Significant at 1%.</w:t>
      </w:r>
    </w:p>
    <w:p>
      <w:pPr>
        <w:rPr>
          <w:rFonts w:ascii="Times New Roman" w:hAnsi="Times New Roman" w:cs="Times New Roman"/>
          <w:sz w:val="20"/>
          <w:szCs w:val="20"/>
        </w:rPr>
      </w:pPr>
      <w:r>
        <w:rPr>
          <w:rFonts w:ascii="Times New Roman" w:hAnsi="Times New Roman" w:eastAsia="宋体" w:cs="Times New Roman"/>
          <w:sz w:val="20"/>
          <w:szCs w:val="20"/>
          <w:lang w:eastAsia="zh-CN"/>
        </w:rPr>
        <w:t>The global Moran index is used to test the spatial correlation. Space is positively correlated between the space units if Moran's I&gt;0 is anything to go by. If Moran's I&lt;0 is, there is a spatial negative correlation between the space units. If Moran's I=0 indicates that there is no spatial correlation. S.d (I) means the standard deviation of global Moran's I. P-value indicates the accuracy of the result.</w:t>
      </w:r>
    </w:p>
    <w:p>
      <w:pPr>
        <w:rPr>
          <w:rFonts w:ascii="Arial" w:hAnsi="Arial" w:cs="Arial"/>
          <w:color w:val="333333"/>
          <w:sz w:val="20"/>
          <w:szCs w:val="20"/>
        </w:rPr>
      </w:pPr>
      <w:r>
        <w:rPr>
          <w:rFonts w:ascii="Arial" w:hAnsi="Arial" w:cs="Arial"/>
          <w:color w:val="333333"/>
          <w:sz w:val="20"/>
          <w:szCs w:val="20"/>
        </w:rPr>
        <w:br w:type="page"/>
      </w:r>
    </w:p>
    <w:p>
      <w:pPr>
        <w:pStyle w:val="106"/>
        <w:rPr>
          <w:rFonts w:ascii="Arial" w:hAnsi="Arial" w:cs="Arial"/>
          <w:b/>
          <w:sz w:val="20"/>
        </w:rPr>
      </w:pPr>
      <w:r>
        <w:rPr>
          <w:rFonts w:ascii="Arial" w:hAnsi="Arial" w:cs="Arial"/>
          <w:b/>
          <w:sz w:val="20"/>
        </w:rPr>
        <w:t>SI References</w:t>
      </w:r>
    </w:p>
    <w:p>
      <w:pPr>
        <w:pStyle w:val="106"/>
        <w:rPr>
          <w:rFonts w:ascii="Arial" w:hAnsi="Arial" w:cs="Arial"/>
          <w:b/>
          <w:sz w:val="20"/>
        </w:rPr>
      </w:pPr>
    </w:p>
    <w:p>
      <w:pPr>
        <w:numPr>
          <w:ilvl w:val="0"/>
          <w:numId w:val="11"/>
        </w:numPr>
        <w:spacing w:after="0"/>
        <w:ind w:left="514" w:leftChars="63" w:hanging="363"/>
        <w:jc w:val="both"/>
        <w:rPr>
          <w:rFonts w:hint="eastAsia" w:ascii="Times New Roman" w:hAnsi="Times New Roman" w:cs="Times New Roman"/>
          <w:b/>
          <w:bCs/>
          <w:sz w:val="20"/>
          <w:szCs w:val="20"/>
        </w:rPr>
      </w:pPr>
      <w:r>
        <w:rPr>
          <w:rFonts w:ascii="Arial" w:hAnsi="Arial" w:cs="Arial"/>
          <w:sz w:val="20"/>
          <w:szCs w:val="20"/>
        </w:rPr>
        <w:t>Huang, et al. Health benefit evaluation for PM</w:t>
      </w:r>
      <w:r>
        <w:rPr>
          <w:rFonts w:ascii="Arial" w:hAnsi="Arial" w:cs="Arial"/>
          <w:sz w:val="20"/>
          <w:szCs w:val="20"/>
          <w:vertAlign w:val="subscript"/>
        </w:rPr>
        <w:t>2.5</w:t>
      </w:r>
      <w:r>
        <w:rPr>
          <w:rFonts w:ascii="Arial" w:hAnsi="Arial" w:cs="Arial"/>
          <w:sz w:val="20"/>
          <w:szCs w:val="20"/>
        </w:rPr>
        <w:t xml:space="preserve"> pollution control in Beijing-Tianjin-Hebei region of China.China Environmental Science 33(1):166-174 (2013).</w:t>
      </w:r>
    </w:p>
    <w:p>
      <w:pPr>
        <w:numPr>
          <w:ilvl w:val="0"/>
          <w:numId w:val="11"/>
        </w:numPr>
        <w:spacing w:after="0"/>
        <w:ind w:left="514" w:leftChars="63" w:hanging="363"/>
        <w:jc w:val="both"/>
        <w:rPr>
          <w:rFonts w:ascii="Arial" w:hAnsi="Arial" w:cs="Arial"/>
          <w:sz w:val="20"/>
          <w:szCs w:val="20"/>
        </w:rPr>
      </w:pPr>
      <w:r>
        <w:rPr>
          <w:rFonts w:ascii="Arial" w:hAnsi="Arial" w:cs="Arial"/>
          <w:sz w:val="20"/>
          <w:szCs w:val="20"/>
        </w:rPr>
        <w:t>Liu, et al. Economic Assessment of Acute Health Impact Due to Inhalable Particulate Air Pollution in the Pearl River Delta. Acta Scientiarum Naturalium Universitatis Pekinensis 46(5):829-834 (2010).</w:t>
      </w:r>
    </w:p>
    <w:p>
      <w:pPr>
        <w:numPr>
          <w:ilvl w:val="0"/>
          <w:numId w:val="11"/>
        </w:numPr>
        <w:spacing w:after="0"/>
        <w:ind w:left="514" w:leftChars="63" w:hanging="363"/>
        <w:jc w:val="both"/>
        <w:rPr>
          <w:rFonts w:ascii="Arial" w:hAnsi="Arial" w:cs="Arial"/>
          <w:sz w:val="20"/>
          <w:szCs w:val="20"/>
        </w:rPr>
      </w:pPr>
      <w:r>
        <w:rPr>
          <w:rFonts w:ascii="Arial" w:hAnsi="Arial" w:cs="Arial"/>
          <w:sz w:val="20"/>
          <w:szCs w:val="20"/>
        </w:rPr>
        <w:t>Xie et al.Exposure-response functions for health effects of ambient particulate matter pollution applicable for China. China Environmental Science 29(10):1034-1040(2009).</w:t>
      </w:r>
    </w:p>
    <w:p>
      <w:pPr>
        <w:pStyle w:val="81"/>
        <w:numPr>
          <w:ilvl w:val="0"/>
          <w:numId w:val="0"/>
        </w:numPr>
        <w:shd w:val="clear" w:color="auto" w:fill="FFFFFF"/>
        <w:ind w:left="360" w:leftChars="0"/>
        <w:textAlignment w:val="baseline"/>
        <w:rPr>
          <w:rFonts w:ascii="Arial" w:hAnsi="Arial" w:cs="Arial"/>
          <w:color w:val="333333"/>
          <w:sz w:val="20"/>
          <w:szCs w:val="20"/>
        </w:rPr>
      </w:pPr>
    </w:p>
    <w:sectPr>
      <w:headerReference r:id="rId3" w:type="default"/>
      <w:footerReference r:id="rId4" w:type="default"/>
      <w:pgSz w:w="12240" w:h="15840"/>
      <w:pgMar w:top="1440" w:right="1800" w:bottom="1440" w:left="1800" w:header="720" w:footer="720" w:gutter="0"/>
      <w:pgNumType w:start="1"/>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jc w:val="right"/>
    </w:pPr>
    <w:r>
      <w:fldChar w:fldCharType="begin"/>
    </w:r>
    <w:r>
      <w:instrText xml:space="preserve"> PAGE   \* MERGEFORMAT </w:instrText>
    </w:r>
    <w:r>
      <w:fldChar w:fldCharType="separate"/>
    </w:r>
    <w:r>
      <w:t>2</w:t>
    </w:r>
    <w:r>
      <w:fldChar w:fldCharType="end"/>
    </w:r>
  </w:p>
  <w:p>
    <w:pPr>
      <w:pStyle w:val="5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sz w:val="20"/>
      </w:rPr>
    </w:pP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31A2C3"/>
    <w:multiLevelType w:val="singleLevel"/>
    <w:tmpl w:val="DE31A2C3"/>
    <w:lvl w:ilvl="0" w:tentative="0">
      <w:start w:val="1"/>
      <w:numFmt w:val="decimal"/>
      <w:lvlText w:val="%1."/>
      <w:lvlJc w:val="left"/>
      <w:pPr>
        <w:ind w:left="425" w:hanging="425"/>
      </w:pPr>
      <w:rPr>
        <w:rFonts w:hint="default"/>
      </w:rPr>
    </w:lvl>
  </w:abstractNum>
  <w:abstractNum w:abstractNumId="1">
    <w:nsid w:val="FFFFFF7C"/>
    <w:multiLevelType w:val="singleLevel"/>
    <w:tmpl w:val="FFFFFF7C"/>
    <w:lvl w:ilvl="0" w:tentative="0">
      <w:start w:val="1"/>
      <w:numFmt w:val="decimal"/>
      <w:pStyle w:val="65"/>
      <w:lvlText w:val="%1."/>
      <w:lvlJc w:val="left"/>
      <w:pPr>
        <w:tabs>
          <w:tab w:val="left" w:pos="1800"/>
        </w:tabs>
        <w:ind w:left="1800" w:hanging="360"/>
      </w:pPr>
    </w:lvl>
  </w:abstractNum>
  <w:abstractNum w:abstractNumId="2">
    <w:nsid w:val="FFFFFF7D"/>
    <w:multiLevelType w:val="singleLevel"/>
    <w:tmpl w:val="FFFFFF7D"/>
    <w:lvl w:ilvl="0" w:tentative="0">
      <w:start w:val="1"/>
      <w:numFmt w:val="decimal"/>
      <w:pStyle w:val="47"/>
      <w:lvlText w:val="%1."/>
      <w:lvlJc w:val="left"/>
      <w:pPr>
        <w:tabs>
          <w:tab w:val="left" w:pos="1440"/>
        </w:tabs>
        <w:ind w:left="1440" w:hanging="360"/>
      </w:pPr>
    </w:lvl>
  </w:abstractNum>
  <w:abstractNum w:abstractNumId="3">
    <w:nsid w:val="FFFFFF7E"/>
    <w:multiLevelType w:val="singleLevel"/>
    <w:tmpl w:val="FFFFFF7E"/>
    <w:lvl w:ilvl="0" w:tentative="0">
      <w:start w:val="1"/>
      <w:numFmt w:val="decimal"/>
      <w:pStyle w:val="36"/>
      <w:lvlText w:val="%1."/>
      <w:lvlJc w:val="left"/>
      <w:pPr>
        <w:tabs>
          <w:tab w:val="left" w:pos="1080"/>
        </w:tabs>
        <w:ind w:left="1080" w:hanging="360"/>
      </w:pPr>
    </w:lvl>
  </w:abstractNum>
  <w:abstractNum w:abstractNumId="4">
    <w:nsid w:val="FFFFFF7F"/>
    <w:multiLevelType w:val="singleLevel"/>
    <w:tmpl w:val="FFFFFF7F"/>
    <w:lvl w:ilvl="0" w:tentative="0">
      <w:start w:val="1"/>
      <w:numFmt w:val="decimal"/>
      <w:pStyle w:val="14"/>
      <w:lvlText w:val="%1."/>
      <w:lvlJc w:val="left"/>
      <w:pPr>
        <w:tabs>
          <w:tab w:val="left" w:pos="720"/>
        </w:tabs>
        <w:ind w:left="720" w:hanging="360"/>
      </w:pPr>
    </w:lvl>
  </w:abstractNum>
  <w:abstractNum w:abstractNumId="5">
    <w:nsid w:val="FFFFFF80"/>
    <w:multiLevelType w:val="singleLevel"/>
    <w:tmpl w:val="FFFFFF80"/>
    <w:lvl w:ilvl="0" w:tentative="0">
      <w:start w:val="1"/>
      <w:numFmt w:val="bullet"/>
      <w:pStyle w:val="46"/>
      <w:lvlText w:val=""/>
      <w:lvlJc w:val="left"/>
      <w:pPr>
        <w:tabs>
          <w:tab w:val="left" w:pos="1800"/>
        </w:tabs>
        <w:ind w:left="1800" w:hanging="360"/>
      </w:pPr>
      <w:rPr>
        <w:rFonts w:hint="default" w:ascii="Symbol" w:hAnsi="Symbol"/>
      </w:rPr>
    </w:lvl>
  </w:abstractNum>
  <w:abstractNum w:abstractNumId="6">
    <w:nsid w:val="FFFFFF81"/>
    <w:multiLevelType w:val="singleLevel"/>
    <w:tmpl w:val="FFFFFF81"/>
    <w:lvl w:ilvl="0" w:tentative="0">
      <w:start w:val="1"/>
      <w:numFmt w:val="bullet"/>
      <w:pStyle w:val="17"/>
      <w:lvlText w:val=""/>
      <w:lvlJc w:val="left"/>
      <w:pPr>
        <w:tabs>
          <w:tab w:val="left" w:pos="1440"/>
        </w:tabs>
        <w:ind w:left="1440" w:hanging="360"/>
      </w:pPr>
      <w:rPr>
        <w:rFonts w:hint="default" w:ascii="Symbol" w:hAnsi="Symbol"/>
      </w:rPr>
    </w:lvl>
  </w:abstractNum>
  <w:abstractNum w:abstractNumId="7">
    <w:nsid w:val="FFFFFF82"/>
    <w:multiLevelType w:val="singleLevel"/>
    <w:tmpl w:val="FFFFFF82"/>
    <w:lvl w:ilvl="0" w:tentative="0">
      <w:start w:val="1"/>
      <w:numFmt w:val="bullet"/>
      <w:pStyle w:val="33"/>
      <w:lvlText w:val=""/>
      <w:lvlJc w:val="left"/>
      <w:pPr>
        <w:tabs>
          <w:tab w:val="left" w:pos="1080"/>
        </w:tabs>
        <w:ind w:left="1080" w:hanging="360"/>
      </w:pPr>
      <w:rPr>
        <w:rFonts w:hint="default" w:ascii="Symbol" w:hAnsi="Symbol"/>
      </w:rPr>
    </w:lvl>
  </w:abstractNum>
  <w:abstractNum w:abstractNumId="8">
    <w:nsid w:val="FFFFFF83"/>
    <w:multiLevelType w:val="singleLevel"/>
    <w:tmpl w:val="FFFFFF83"/>
    <w:lvl w:ilvl="0" w:tentative="0">
      <w:start w:val="1"/>
      <w:numFmt w:val="bullet"/>
      <w:pStyle w:val="40"/>
      <w:lvlText w:val=""/>
      <w:lvlJc w:val="left"/>
      <w:pPr>
        <w:tabs>
          <w:tab w:val="left" w:pos="720"/>
        </w:tabs>
        <w:ind w:left="720" w:hanging="360"/>
      </w:pPr>
      <w:rPr>
        <w:rFonts w:hint="default" w:ascii="Symbol" w:hAnsi="Symbol"/>
      </w:rPr>
    </w:lvl>
  </w:abstractNum>
  <w:abstractNum w:abstractNumId="9">
    <w:nsid w:val="FFFFFF88"/>
    <w:multiLevelType w:val="singleLevel"/>
    <w:tmpl w:val="FFFFFF88"/>
    <w:lvl w:ilvl="0" w:tentative="0">
      <w:start w:val="1"/>
      <w:numFmt w:val="decimal"/>
      <w:pStyle w:val="20"/>
      <w:lvlText w:val="%1."/>
      <w:lvlJc w:val="left"/>
      <w:pPr>
        <w:tabs>
          <w:tab w:val="left" w:pos="360"/>
        </w:tabs>
        <w:ind w:left="360" w:hanging="360"/>
      </w:pPr>
    </w:lvl>
  </w:abstractNum>
  <w:abstractNum w:abstractNumId="10">
    <w:nsid w:val="FFFFFF89"/>
    <w:multiLevelType w:val="singleLevel"/>
    <w:tmpl w:val="FFFFFF89"/>
    <w:lvl w:ilvl="0" w:tentative="0">
      <w:start w:val="1"/>
      <w:numFmt w:val="bullet"/>
      <w:pStyle w:val="24"/>
      <w:lvlText w:val=""/>
      <w:lvlJc w:val="left"/>
      <w:pPr>
        <w:tabs>
          <w:tab w:val="left" w:pos="360"/>
        </w:tabs>
        <w:ind w:left="360" w:hanging="360"/>
      </w:pPr>
      <w:rPr>
        <w:rFonts w:hint="default" w:ascii="Symbol" w:hAnsi="Symbol"/>
      </w:rPr>
    </w:lvl>
  </w:abstractNum>
  <w:num w:numId="1">
    <w:abstractNumId w:val="4"/>
  </w:num>
  <w:num w:numId="2">
    <w:abstractNumId w:val="6"/>
  </w:num>
  <w:num w:numId="3">
    <w:abstractNumId w:val="9"/>
  </w:num>
  <w:num w:numId="4">
    <w:abstractNumId w:val="10"/>
  </w:num>
  <w:num w:numId="5">
    <w:abstractNumId w:val="7"/>
  </w:num>
  <w:num w:numId="6">
    <w:abstractNumId w:val="3"/>
  </w:num>
  <w:num w:numId="7">
    <w:abstractNumId w:val="8"/>
  </w:num>
  <w:num w:numId="8">
    <w:abstractNumId w:val="5"/>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30F"/>
    <w:rsid w:val="000004B2"/>
    <w:rsid w:val="00015F74"/>
    <w:rsid w:val="00017C53"/>
    <w:rsid w:val="00030840"/>
    <w:rsid w:val="00065EBD"/>
    <w:rsid w:val="00083B44"/>
    <w:rsid w:val="000850DC"/>
    <w:rsid w:val="000C2771"/>
    <w:rsid w:val="000F0DCE"/>
    <w:rsid w:val="00112C5B"/>
    <w:rsid w:val="00114193"/>
    <w:rsid w:val="00115A38"/>
    <w:rsid w:val="0011687B"/>
    <w:rsid w:val="00124F82"/>
    <w:rsid w:val="0016337A"/>
    <w:rsid w:val="00164269"/>
    <w:rsid w:val="001A1BDE"/>
    <w:rsid w:val="001C0520"/>
    <w:rsid w:val="001C0975"/>
    <w:rsid w:val="001F0876"/>
    <w:rsid w:val="001F167C"/>
    <w:rsid w:val="001F5E91"/>
    <w:rsid w:val="002077B9"/>
    <w:rsid w:val="00262D72"/>
    <w:rsid w:val="00294FBB"/>
    <w:rsid w:val="002C030F"/>
    <w:rsid w:val="002C667A"/>
    <w:rsid w:val="00325D90"/>
    <w:rsid w:val="00331D75"/>
    <w:rsid w:val="00355362"/>
    <w:rsid w:val="00363E44"/>
    <w:rsid w:val="00387114"/>
    <w:rsid w:val="00395E86"/>
    <w:rsid w:val="00397983"/>
    <w:rsid w:val="003A2FD8"/>
    <w:rsid w:val="003B40E6"/>
    <w:rsid w:val="003F6E14"/>
    <w:rsid w:val="00405336"/>
    <w:rsid w:val="004571D5"/>
    <w:rsid w:val="00461D81"/>
    <w:rsid w:val="0046356B"/>
    <w:rsid w:val="00477182"/>
    <w:rsid w:val="004779CB"/>
    <w:rsid w:val="004A159F"/>
    <w:rsid w:val="004B2F21"/>
    <w:rsid w:val="004E42D8"/>
    <w:rsid w:val="004E7BA2"/>
    <w:rsid w:val="004F7EDF"/>
    <w:rsid w:val="005001AC"/>
    <w:rsid w:val="00527D71"/>
    <w:rsid w:val="005607DD"/>
    <w:rsid w:val="005A558C"/>
    <w:rsid w:val="005D088E"/>
    <w:rsid w:val="005E28F8"/>
    <w:rsid w:val="005E6513"/>
    <w:rsid w:val="006069C6"/>
    <w:rsid w:val="00611A19"/>
    <w:rsid w:val="006140DF"/>
    <w:rsid w:val="00651114"/>
    <w:rsid w:val="0065772A"/>
    <w:rsid w:val="00670299"/>
    <w:rsid w:val="00691985"/>
    <w:rsid w:val="006A1B64"/>
    <w:rsid w:val="006D169A"/>
    <w:rsid w:val="006E3E68"/>
    <w:rsid w:val="007108F5"/>
    <w:rsid w:val="00713E5B"/>
    <w:rsid w:val="007402FC"/>
    <w:rsid w:val="007411A1"/>
    <w:rsid w:val="00797F24"/>
    <w:rsid w:val="007B5946"/>
    <w:rsid w:val="007F5297"/>
    <w:rsid w:val="00807D35"/>
    <w:rsid w:val="00820484"/>
    <w:rsid w:val="00824DF3"/>
    <w:rsid w:val="00840BB2"/>
    <w:rsid w:val="00885C9B"/>
    <w:rsid w:val="008D5D2A"/>
    <w:rsid w:val="00914B63"/>
    <w:rsid w:val="009258B8"/>
    <w:rsid w:val="009354F3"/>
    <w:rsid w:val="00943C3C"/>
    <w:rsid w:val="009447DC"/>
    <w:rsid w:val="00961BA5"/>
    <w:rsid w:val="009743A9"/>
    <w:rsid w:val="009A5287"/>
    <w:rsid w:val="009A670E"/>
    <w:rsid w:val="009B2AC5"/>
    <w:rsid w:val="009B7984"/>
    <w:rsid w:val="009F4BED"/>
    <w:rsid w:val="009F7D93"/>
    <w:rsid w:val="00A3403B"/>
    <w:rsid w:val="00A51A12"/>
    <w:rsid w:val="00A627D4"/>
    <w:rsid w:val="00A72B81"/>
    <w:rsid w:val="00A74DA2"/>
    <w:rsid w:val="00AC15B4"/>
    <w:rsid w:val="00AD499C"/>
    <w:rsid w:val="00B15008"/>
    <w:rsid w:val="00B36869"/>
    <w:rsid w:val="00B42F9C"/>
    <w:rsid w:val="00B43B31"/>
    <w:rsid w:val="00B47CFA"/>
    <w:rsid w:val="00B57F00"/>
    <w:rsid w:val="00B77B2A"/>
    <w:rsid w:val="00B82C22"/>
    <w:rsid w:val="00B8723B"/>
    <w:rsid w:val="00B93DBA"/>
    <w:rsid w:val="00B9440A"/>
    <w:rsid w:val="00BB2D2A"/>
    <w:rsid w:val="00BD58CF"/>
    <w:rsid w:val="00C046DC"/>
    <w:rsid w:val="00C04CC1"/>
    <w:rsid w:val="00C50C6D"/>
    <w:rsid w:val="00C600D9"/>
    <w:rsid w:val="00CC1384"/>
    <w:rsid w:val="00CD3720"/>
    <w:rsid w:val="00CF16C9"/>
    <w:rsid w:val="00CF1848"/>
    <w:rsid w:val="00CF5C2F"/>
    <w:rsid w:val="00D04BCF"/>
    <w:rsid w:val="00D143D9"/>
    <w:rsid w:val="00D269AB"/>
    <w:rsid w:val="00D346C2"/>
    <w:rsid w:val="00DA59EA"/>
    <w:rsid w:val="00DD421A"/>
    <w:rsid w:val="00E257C8"/>
    <w:rsid w:val="00E37047"/>
    <w:rsid w:val="00E60D0F"/>
    <w:rsid w:val="00E9773B"/>
    <w:rsid w:val="00EA596B"/>
    <w:rsid w:val="00EC13A3"/>
    <w:rsid w:val="00EC7C85"/>
    <w:rsid w:val="00F125EE"/>
    <w:rsid w:val="00F12E98"/>
    <w:rsid w:val="00F22029"/>
    <w:rsid w:val="00F514EC"/>
    <w:rsid w:val="00F630EA"/>
    <w:rsid w:val="00F7007E"/>
    <w:rsid w:val="00F70200"/>
    <w:rsid w:val="00F73193"/>
    <w:rsid w:val="00F74F95"/>
    <w:rsid w:val="00F80705"/>
    <w:rsid w:val="00FA1481"/>
    <w:rsid w:val="00FF04E3"/>
    <w:rsid w:val="0D31552E"/>
    <w:rsid w:val="1C6F44E3"/>
    <w:rsid w:val="1DFB33C0"/>
    <w:rsid w:val="314D6FB9"/>
    <w:rsid w:val="356A329D"/>
    <w:rsid w:val="3A4E5D26"/>
    <w:rsid w:val="56623603"/>
    <w:rsid w:val="59C60C10"/>
    <w:rsid w:val="5B551CE7"/>
    <w:rsid w:val="5F137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name="heading 1"/>
    <w:lsdException w:qFormat="1" w:unhideWhenUsed="0" w:uiPriority="0" w:name="heading 2"/>
    <w:lsdException w:qFormat="1" w:unhideWhenUsed="0" w:uiPriority="0" w:name="heading 3"/>
    <w:lsdException w:qFormat="1" w:unhideWhenUsed="0" w:uiPriority="0" w:name="heading 4"/>
    <w:lsdException w:qFormat="1" w:unhideWhenUsed="0" w:uiPriority="0" w:name="heading 5"/>
    <w:lsdException w:qFormat="1" w:unhideWhenUsed="0" w:uiPriority="0" w:name="heading 6"/>
    <w:lsdException w:qFormat="1" w:unhideWhenUsed="0" w:uiPriority="0" w:name="heading 7"/>
    <w:lsdException w:qFormat="1" w:unhideWhenUsed="0" w:uiPriority="0" w:name="heading 8"/>
    <w:lsdException w:qFormat="1" w:unhideWhenUsed="0" w:uiPriority="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name="Normal Indent"/>
    <w:lsdException w:qFormat="1" w:unhideWhenUsed="0" w:uiPriority="0" w:name="footnote text"/>
    <w:lsdException w:qFormat="1" w:unhideWhenUsed="0" w:uiPriority="0" w:name="annotation text"/>
    <w:lsdException w:qFormat="1" w:unhideWhenUsed="0" w:uiPriority="0" w:name="header"/>
    <w:lsdException w:qFormat="1" w:unhideWhenUsed="0" w:uiPriority="0" w:name="footer"/>
    <w:lsdException w:qFormat="1" w:unhideWhenUsed="0" w:uiPriority="0" w:name="index heading"/>
    <w:lsdException w:qFormat="1" w:unhideWhenUsed="0" w:uiPriority="0" w:name="caption"/>
    <w:lsdException w:qFormat="1" w:unhideWhenUsed="0" w:uiPriority="0" w:name="table of figures"/>
    <w:lsdException w:qFormat="1" w:unhideWhenUsed="0" w:uiPriority="0" w:name="envelope address"/>
    <w:lsdException w:qFormat="1" w:unhideWhenUsed="0" w:uiPriority="0" w:name="envelope return"/>
    <w:lsdException w:uiPriority="0" w:name="footnote reference"/>
    <w:lsdException w:qFormat="1" w:unhideWhenUsed="0" w:uiPriority="0" w:name="annotation reference"/>
    <w:lsdException w:uiPriority="0" w:name="line number"/>
    <w:lsdException w:qFormat="1" w:unhideWhenUsed="0" w:uiPriority="0" w:name="page number"/>
    <w:lsdException w:uiPriority="0"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name="List"/>
    <w:lsdException w:qFormat="1" w:unhideWhenUsed="0" w:uiPriority="0" w:name="List Bullet"/>
    <w:lsdException w:qFormat="1" w:unhideWhenUsed="0" w:uiPriority="0" w:name="List Number"/>
    <w:lsdException w:qFormat="1" w:unhideWhenUsed="0" w:uiPriority="0" w:name="List 2"/>
    <w:lsdException w:qFormat="1" w:unhideWhenUsed="0" w:uiPriority="0" w:name="List 3"/>
    <w:lsdException w:qFormat="1" w:unhideWhenUsed="0" w:uiPriority="0" w:name="List 4"/>
    <w:lsdException w:qFormat="1" w:unhideWhenUsed="0" w:uiPriority="0" w:name="List 5"/>
    <w:lsdException w:qFormat="1" w:unhideWhenUsed="0" w:uiPriority="0" w:name="List Bullet 2"/>
    <w:lsdException w:qFormat="1" w:unhideWhenUsed="0" w:uiPriority="0" w:name="List Bullet 3"/>
    <w:lsdException w:qFormat="1" w:unhideWhenUsed="0" w:uiPriority="0" w:name="List Bullet 4"/>
    <w:lsdException w:qFormat="1" w:unhideWhenUsed="0" w:uiPriority="0" w:name="List Bullet 5"/>
    <w:lsdException w:qFormat="1" w:unhideWhenUsed="0" w:uiPriority="0" w:name="List Number 2"/>
    <w:lsdException w:qFormat="1" w:unhideWhenUsed="0" w:uiPriority="0" w:name="List Number 3"/>
    <w:lsdException w:qFormat="1" w:unhideWhenUsed="0" w:uiPriority="0" w:name="List Number 4"/>
    <w:lsdException w:qFormat="1" w:unhideWhenUsed="0" w:uiPriority="0" w:name="List Number 5"/>
    <w:lsdException w:qFormat="1" w:unhideWhenUsed="0" w:uiPriority="0" w:name="Title"/>
    <w:lsdException w:qFormat="1" w:unhideWhenUsed="0" w:uiPriority="0" w:name="Closing"/>
    <w:lsdException w:qFormat="1" w:unhideWhenUsed="0" w:uiPriority="0" w:name="Signature"/>
    <w:lsdException w:qFormat="1" w:uiPriority="1" w:name="Default Paragraph Font"/>
    <w:lsdException w:qFormat="1" w:unhideWhenUsed="0" w:uiPriority="0" w:name="Body Text"/>
    <w:lsdException w:qFormat="1" w:unhideWhenUsed="0" w:uiPriority="0" w:name="Body Text Indent"/>
    <w:lsdException w:qFormat="1" w:unhideWhenUsed="0" w:uiPriority="0" w:name="List Continue"/>
    <w:lsdException w:qFormat="1" w:unhideWhenUsed="0" w:uiPriority="0" w:name="List Continue 2"/>
    <w:lsdException w:qFormat="1" w:unhideWhenUsed="0" w:uiPriority="0" w:name="List Continue 3"/>
    <w:lsdException w:qFormat="1" w:unhideWhenUsed="0" w:uiPriority="0" w:name="List Continue 4"/>
    <w:lsdException w:qFormat="1" w:unhideWhenUsed="0" w:uiPriority="0" w:name="List Continue 5"/>
    <w:lsdException w:qFormat="1" w:unhideWhenUsed="0" w:uiPriority="0" w:name="Message Header"/>
    <w:lsdException w:qFormat="1" w:unhideWhenUsed="0" w:uiPriority="0" w:name="Subtitle"/>
    <w:lsdException w:qFormat="1" w:unhideWhenUsed="0" w:uiPriority="0" w:name="Salutation"/>
    <w:lsdException w:qFormat="1" w:unhideWhenUsed="0" w:uiPriority="0" w:name="Date"/>
    <w:lsdException w:qFormat="1" w:unhideWhenUsed="0" w:uiPriority="0" w:name="Body Text First Indent"/>
    <w:lsdException w:qFormat="1" w:unhideWhenUsed="0" w:uiPriority="0" w:name="Body Text First Indent 2"/>
    <w:lsdException w:qFormat="1" w:unhideWhenUsed="0" w:uiPriority="0" w:name="Note Heading"/>
    <w:lsdException w:qFormat="1" w:unhideWhenUsed="0" w:uiPriority="0" w:name="Body Text 2"/>
    <w:lsdException w:qFormat="1" w:unhideWhenUsed="0" w:uiPriority="0" w:name="Body Text 3"/>
    <w:lsdException w:qFormat="1" w:unhideWhenUsed="0" w:uiPriority="0" w:name="Body Text Indent 2"/>
    <w:lsdException w:qFormat="1" w:unhideWhenUsed="0" w:uiPriority="0" w:name="Body Text Indent 3"/>
    <w:lsdException w:qFormat="1" w:unhideWhenUsed="0" w:uiPriority="0" w:name="Block Text"/>
    <w:lsdException w:qFormat="1" w:unhideWhenUsed="0" w:uiPriority="0" w:name="Hyperlink"/>
    <w:lsdException w:qFormat="1" w:uiPriority="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name="Plain Text"/>
    <w:lsdException w:qFormat="1" w:unhideWhenUsed="0" w:uiPriority="0" w:name="E-mail Signature"/>
    <w:lsdException w:qFormat="1" w:unhideWhenUsed="0" w:uiPriority="99" w:name="Normal (Web)"/>
    <w:lsdException w:uiPriority="0" w:name="HTML Acronym"/>
    <w:lsdException w:qFormat="1" w:unhideWhenUsed="0" w:uiPriority="0" w:name="HTML Address"/>
    <w:lsdException w:uiPriority="0" w:name="HTML Cite"/>
    <w:lsdException w:uiPriority="0" w:name="HTML Code"/>
    <w:lsdException w:uiPriority="0" w:name="HTML Definition"/>
    <w:lsdException w:uiPriority="0" w:name="HTML Keyboard"/>
    <w:lsdException w:qFormat="1" w:unhideWhenUsed="0"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1"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name="List Paragraph"/>
    <w:lsdException w:qFormat="1" w:unhideWhenUsed="0" w:uiPriority="29" w:name="Quote"/>
    <w:lsdException w:qFormat="1" w:unhideWhenUsed="0" w:uiPriority="3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lang w:val="en-US" w:eastAsia="en-US" w:bidi="ar-SA"/>
    </w:rPr>
  </w:style>
  <w:style w:type="paragraph" w:styleId="3">
    <w:name w:val="heading 1"/>
    <w:basedOn w:val="1"/>
    <w:next w:val="1"/>
    <w:link w:val="96"/>
    <w:semiHidden/>
    <w:qFormat/>
    <w:uiPriority w:val="0"/>
    <w:pPr>
      <w:keepNext/>
      <w:spacing w:before="240" w:after="60"/>
      <w:outlineLvl w:val="0"/>
    </w:pPr>
    <w:rPr>
      <w:b/>
      <w:bCs/>
      <w:kern w:val="32"/>
      <w:szCs w:val="24"/>
    </w:rPr>
  </w:style>
  <w:style w:type="paragraph" w:styleId="4">
    <w:name w:val="heading 2"/>
    <w:basedOn w:val="1"/>
    <w:next w:val="1"/>
    <w:link w:val="97"/>
    <w:semiHidden/>
    <w:qFormat/>
    <w:uiPriority w:val="0"/>
    <w:pPr>
      <w:keepNext/>
      <w:spacing w:before="240" w:after="60"/>
      <w:outlineLvl w:val="1"/>
    </w:pPr>
    <w:rPr>
      <w:rFonts w:ascii="Cambria" w:hAnsi="Cambria"/>
      <w:b/>
      <w:bCs/>
      <w:i/>
      <w:iCs/>
      <w:sz w:val="28"/>
      <w:szCs w:val="28"/>
    </w:rPr>
  </w:style>
  <w:style w:type="paragraph" w:styleId="5">
    <w:name w:val="heading 3"/>
    <w:basedOn w:val="1"/>
    <w:next w:val="1"/>
    <w:semiHidden/>
    <w:qFormat/>
    <w:uiPriority w:val="0"/>
    <w:pPr>
      <w:keepNext/>
      <w:spacing w:line="480" w:lineRule="auto"/>
      <w:outlineLvl w:val="2"/>
    </w:pPr>
    <w:rPr>
      <w:rFonts w:ascii="Times" w:hAnsi="Times" w:eastAsia="Times"/>
      <w:b/>
    </w:rPr>
  </w:style>
  <w:style w:type="paragraph" w:styleId="6">
    <w:name w:val="heading 4"/>
    <w:basedOn w:val="1"/>
    <w:next w:val="1"/>
    <w:semiHidden/>
    <w:qFormat/>
    <w:uiPriority w:val="0"/>
    <w:pPr>
      <w:keepNext/>
      <w:spacing w:line="480" w:lineRule="auto"/>
      <w:outlineLvl w:val="3"/>
    </w:pPr>
    <w:rPr>
      <w:rFonts w:ascii="Times" w:hAnsi="Times"/>
      <w:b/>
      <w:color w:val="0000FF"/>
      <w:sz w:val="44"/>
    </w:rPr>
  </w:style>
  <w:style w:type="paragraph" w:styleId="7">
    <w:name w:val="heading 5"/>
    <w:basedOn w:val="1"/>
    <w:next w:val="1"/>
    <w:link w:val="98"/>
    <w:semiHidden/>
    <w:qFormat/>
    <w:uiPriority w:val="0"/>
    <w:pPr>
      <w:spacing w:before="240" w:after="60"/>
      <w:outlineLvl w:val="4"/>
    </w:pPr>
    <w:rPr>
      <w:rFonts w:ascii="Calibri" w:hAnsi="Calibri"/>
      <w:b/>
      <w:bCs/>
      <w:i/>
      <w:iCs/>
      <w:sz w:val="26"/>
      <w:szCs w:val="26"/>
    </w:rPr>
  </w:style>
  <w:style w:type="paragraph" w:styleId="8">
    <w:name w:val="heading 6"/>
    <w:basedOn w:val="1"/>
    <w:next w:val="1"/>
    <w:link w:val="99"/>
    <w:semiHidden/>
    <w:qFormat/>
    <w:uiPriority w:val="0"/>
    <w:pPr>
      <w:spacing w:before="240" w:after="60"/>
      <w:outlineLvl w:val="5"/>
    </w:pPr>
    <w:rPr>
      <w:rFonts w:ascii="Calibri" w:hAnsi="Calibri"/>
      <w:b/>
      <w:bCs/>
      <w:sz w:val="22"/>
      <w:szCs w:val="22"/>
    </w:rPr>
  </w:style>
  <w:style w:type="paragraph" w:styleId="9">
    <w:name w:val="heading 7"/>
    <w:basedOn w:val="1"/>
    <w:next w:val="1"/>
    <w:link w:val="100"/>
    <w:semiHidden/>
    <w:qFormat/>
    <w:uiPriority w:val="0"/>
    <w:pPr>
      <w:spacing w:before="240" w:after="60"/>
      <w:outlineLvl w:val="6"/>
    </w:pPr>
    <w:rPr>
      <w:rFonts w:ascii="Calibri" w:hAnsi="Calibri"/>
      <w:szCs w:val="24"/>
    </w:rPr>
  </w:style>
  <w:style w:type="paragraph" w:styleId="10">
    <w:name w:val="heading 8"/>
    <w:basedOn w:val="1"/>
    <w:next w:val="1"/>
    <w:link w:val="101"/>
    <w:semiHidden/>
    <w:qFormat/>
    <w:uiPriority w:val="0"/>
    <w:pPr>
      <w:spacing w:before="240" w:after="60"/>
      <w:outlineLvl w:val="7"/>
    </w:pPr>
    <w:rPr>
      <w:rFonts w:ascii="Calibri" w:hAnsi="Calibri"/>
      <w:i/>
      <w:iCs/>
      <w:szCs w:val="24"/>
    </w:rPr>
  </w:style>
  <w:style w:type="paragraph" w:styleId="11">
    <w:name w:val="heading 9"/>
    <w:basedOn w:val="1"/>
    <w:next w:val="1"/>
    <w:link w:val="102"/>
    <w:semiHidden/>
    <w:qFormat/>
    <w:uiPriority w:val="0"/>
    <w:pPr>
      <w:spacing w:before="240" w:after="60"/>
      <w:outlineLvl w:val="8"/>
    </w:pPr>
    <w:rPr>
      <w:rFonts w:ascii="Cambria" w:hAnsi="Cambria"/>
      <w:sz w:val="22"/>
      <w:szCs w:val="22"/>
    </w:rPr>
  </w:style>
  <w:style w:type="character" w:default="1" w:styleId="90">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132"/>
    <w:semiHidden/>
    <w:qFormat/>
    <w:uiPriority w:val="0"/>
    <w:pPr>
      <w:tabs>
        <w:tab w:val="left" w:pos="480"/>
        <w:tab w:val="left" w:pos="960"/>
        <w:tab w:val="left" w:pos="1440"/>
        <w:tab w:val="left" w:pos="1920"/>
        <w:tab w:val="left" w:pos="2400"/>
        <w:tab w:val="left" w:pos="2880"/>
        <w:tab w:val="left" w:pos="3360"/>
        <w:tab w:val="left" w:pos="3840"/>
        <w:tab w:val="left" w:pos="4320"/>
      </w:tabs>
    </w:pPr>
    <w:rPr>
      <w:rFonts w:ascii="Courier New" w:hAnsi="Courier New" w:eastAsia="Times New Roman" w:cs="Courier New"/>
      <w:lang w:val="en-US" w:eastAsia="en-US" w:bidi="ar-SA"/>
    </w:rPr>
  </w:style>
  <w:style w:type="paragraph" w:styleId="12">
    <w:name w:val="List 3"/>
    <w:basedOn w:val="1"/>
    <w:semiHidden/>
    <w:qFormat/>
    <w:uiPriority w:val="0"/>
    <w:pPr>
      <w:ind w:left="1080" w:hanging="360"/>
      <w:contextualSpacing/>
    </w:pPr>
  </w:style>
  <w:style w:type="paragraph" w:styleId="13">
    <w:name w:val="toc 7"/>
    <w:basedOn w:val="1"/>
    <w:next w:val="1"/>
    <w:semiHidden/>
    <w:qFormat/>
    <w:uiPriority w:val="0"/>
    <w:pPr>
      <w:ind w:left="1440"/>
    </w:pPr>
  </w:style>
  <w:style w:type="paragraph" w:styleId="14">
    <w:name w:val="List Number 2"/>
    <w:basedOn w:val="1"/>
    <w:semiHidden/>
    <w:qFormat/>
    <w:uiPriority w:val="0"/>
    <w:pPr>
      <w:numPr>
        <w:ilvl w:val="0"/>
        <w:numId w:val="1"/>
      </w:numPr>
      <w:contextualSpacing/>
    </w:pPr>
  </w:style>
  <w:style w:type="paragraph" w:styleId="15">
    <w:name w:val="table of authorities"/>
    <w:basedOn w:val="1"/>
    <w:next w:val="1"/>
    <w:semiHidden/>
    <w:qFormat/>
    <w:uiPriority w:val="0"/>
    <w:pPr>
      <w:ind w:left="240" w:hanging="240"/>
    </w:pPr>
  </w:style>
  <w:style w:type="paragraph" w:styleId="16">
    <w:name w:val="Note Heading"/>
    <w:basedOn w:val="1"/>
    <w:next w:val="1"/>
    <w:link w:val="135"/>
    <w:semiHidden/>
    <w:qFormat/>
    <w:uiPriority w:val="0"/>
  </w:style>
  <w:style w:type="paragraph" w:styleId="17">
    <w:name w:val="List Bullet 4"/>
    <w:basedOn w:val="1"/>
    <w:semiHidden/>
    <w:qFormat/>
    <w:uiPriority w:val="0"/>
    <w:pPr>
      <w:numPr>
        <w:ilvl w:val="0"/>
        <w:numId w:val="2"/>
      </w:numPr>
      <w:contextualSpacing/>
    </w:pPr>
  </w:style>
  <w:style w:type="paragraph" w:styleId="18">
    <w:name w:val="index 8"/>
    <w:basedOn w:val="1"/>
    <w:next w:val="1"/>
    <w:semiHidden/>
    <w:qFormat/>
    <w:uiPriority w:val="0"/>
    <w:pPr>
      <w:ind w:left="1920" w:hanging="240"/>
    </w:pPr>
  </w:style>
  <w:style w:type="paragraph" w:styleId="19">
    <w:name w:val="E-mail Signature"/>
    <w:basedOn w:val="1"/>
    <w:link w:val="122"/>
    <w:semiHidden/>
    <w:qFormat/>
    <w:uiPriority w:val="0"/>
  </w:style>
  <w:style w:type="paragraph" w:styleId="20">
    <w:name w:val="List Number"/>
    <w:basedOn w:val="1"/>
    <w:semiHidden/>
    <w:qFormat/>
    <w:uiPriority w:val="0"/>
    <w:pPr>
      <w:numPr>
        <w:ilvl w:val="0"/>
        <w:numId w:val="3"/>
      </w:numPr>
      <w:contextualSpacing/>
    </w:pPr>
  </w:style>
  <w:style w:type="paragraph" w:styleId="21">
    <w:name w:val="Normal Indent"/>
    <w:basedOn w:val="1"/>
    <w:semiHidden/>
    <w:qFormat/>
    <w:uiPriority w:val="0"/>
    <w:pPr>
      <w:ind w:left="720"/>
    </w:pPr>
  </w:style>
  <w:style w:type="paragraph" w:styleId="22">
    <w:name w:val="caption"/>
    <w:basedOn w:val="1"/>
    <w:next w:val="1"/>
    <w:semiHidden/>
    <w:qFormat/>
    <w:uiPriority w:val="0"/>
    <w:rPr>
      <w:b/>
      <w:bCs/>
      <w:sz w:val="20"/>
    </w:rPr>
  </w:style>
  <w:style w:type="paragraph" w:styleId="23">
    <w:name w:val="index 5"/>
    <w:basedOn w:val="1"/>
    <w:next w:val="1"/>
    <w:semiHidden/>
    <w:qFormat/>
    <w:uiPriority w:val="0"/>
    <w:pPr>
      <w:ind w:left="1200" w:hanging="240"/>
    </w:pPr>
  </w:style>
  <w:style w:type="paragraph" w:styleId="24">
    <w:name w:val="List Bullet"/>
    <w:basedOn w:val="1"/>
    <w:semiHidden/>
    <w:qFormat/>
    <w:uiPriority w:val="0"/>
    <w:pPr>
      <w:numPr>
        <w:ilvl w:val="0"/>
        <w:numId w:val="4"/>
      </w:numPr>
      <w:contextualSpacing/>
    </w:pPr>
  </w:style>
  <w:style w:type="paragraph" w:styleId="25">
    <w:name w:val="envelope address"/>
    <w:basedOn w:val="1"/>
    <w:semiHidden/>
    <w:qFormat/>
    <w:uiPriority w:val="0"/>
    <w:pPr>
      <w:framePr w:w="7920" w:h="1980" w:hRule="exact" w:hSpace="180" w:wrap="around" w:vAnchor="margin" w:hAnchor="page" w:xAlign="center" w:yAlign="bottom"/>
      <w:ind w:left="2880"/>
    </w:pPr>
    <w:rPr>
      <w:rFonts w:ascii="Cambria" w:hAnsi="Cambria"/>
      <w:szCs w:val="24"/>
    </w:rPr>
  </w:style>
  <w:style w:type="paragraph" w:styleId="26">
    <w:name w:val="Document Map"/>
    <w:basedOn w:val="1"/>
    <w:link w:val="121"/>
    <w:semiHidden/>
    <w:qFormat/>
    <w:uiPriority w:val="0"/>
    <w:rPr>
      <w:rFonts w:ascii="Tahoma" w:hAnsi="Tahoma" w:cs="Tahoma"/>
      <w:sz w:val="16"/>
      <w:szCs w:val="16"/>
    </w:rPr>
  </w:style>
  <w:style w:type="paragraph" w:styleId="27">
    <w:name w:val="toa heading"/>
    <w:basedOn w:val="1"/>
    <w:next w:val="1"/>
    <w:semiHidden/>
    <w:qFormat/>
    <w:uiPriority w:val="0"/>
    <w:pPr>
      <w:spacing w:before="120"/>
    </w:pPr>
    <w:rPr>
      <w:rFonts w:ascii="Cambria" w:hAnsi="Cambria"/>
      <w:b/>
      <w:bCs/>
      <w:szCs w:val="24"/>
    </w:rPr>
  </w:style>
  <w:style w:type="paragraph" w:styleId="28">
    <w:name w:val="annotation text"/>
    <w:basedOn w:val="1"/>
    <w:link w:val="118"/>
    <w:semiHidden/>
    <w:qFormat/>
    <w:uiPriority w:val="0"/>
    <w:rPr>
      <w:sz w:val="20"/>
    </w:rPr>
  </w:style>
  <w:style w:type="paragraph" w:styleId="29">
    <w:name w:val="index 6"/>
    <w:basedOn w:val="1"/>
    <w:next w:val="1"/>
    <w:semiHidden/>
    <w:qFormat/>
    <w:uiPriority w:val="0"/>
    <w:pPr>
      <w:ind w:left="1440" w:hanging="240"/>
    </w:pPr>
  </w:style>
  <w:style w:type="paragraph" w:styleId="30">
    <w:name w:val="Salutation"/>
    <w:basedOn w:val="1"/>
    <w:next w:val="1"/>
    <w:link w:val="139"/>
    <w:semiHidden/>
    <w:qFormat/>
    <w:uiPriority w:val="0"/>
  </w:style>
  <w:style w:type="paragraph" w:styleId="31">
    <w:name w:val="Body Text 3"/>
    <w:basedOn w:val="1"/>
    <w:link w:val="111"/>
    <w:semiHidden/>
    <w:qFormat/>
    <w:uiPriority w:val="0"/>
    <w:pPr>
      <w:spacing w:after="120"/>
    </w:pPr>
    <w:rPr>
      <w:sz w:val="16"/>
      <w:szCs w:val="16"/>
    </w:rPr>
  </w:style>
  <w:style w:type="paragraph" w:styleId="32">
    <w:name w:val="Closing"/>
    <w:basedOn w:val="1"/>
    <w:link w:val="117"/>
    <w:semiHidden/>
    <w:qFormat/>
    <w:uiPriority w:val="0"/>
    <w:pPr>
      <w:ind w:left="4320"/>
    </w:pPr>
  </w:style>
  <w:style w:type="paragraph" w:styleId="33">
    <w:name w:val="List Bullet 3"/>
    <w:basedOn w:val="1"/>
    <w:semiHidden/>
    <w:qFormat/>
    <w:uiPriority w:val="0"/>
    <w:pPr>
      <w:numPr>
        <w:ilvl w:val="0"/>
        <w:numId w:val="5"/>
      </w:numPr>
      <w:contextualSpacing/>
    </w:pPr>
  </w:style>
  <w:style w:type="paragraph" w:styleId="34">
    <w:name w:val="Body Text"/>
    <w:basedOn w:val="1"/>
    <w:link w:val="109"/>
    <w:semiHidden/>
    <w:qFormat/>
    <w:uiPriority w:val="0"/>
    <w:pPr>
      <w:spacing w:after="120"/>
    </w:pPr>
  </w:style>
  <w:style w:type="paragraph" w:styleId="35">
    <w:name w:val="Body Text Indent"/>
    <w:basedOn w:val="1"/>
    <w:link w:val="113"/>
    <w:semiHidden/>
    <w:qFormat/>
    <w:uiPriority w:val="0"/>
    <w:pPr>
      <w:spacing w:after="120"/>
      <w:ind w:left="360"/>
    </w:pPr>
  </w:style>
  <w:style w:type="paragraph" w:styleId="36">
    <w:name w:val="List Number 3"/>
    <w:basedOn w:val="1"/>
    <w:semiHidden/>
    <w:qFormat/>
    <w:uiPriority w:val="0"/>
    <w:pPr>
      <w:numPr>
        <w:ilvl w:val="0"/>
        <w:numId w:val="6"/>
      </w:numPr>
      <w:contextualSpacing/>
    </w:pPr>
  </w:style>
  <w:style w:type="paragraph" w:styleId="37">
    <w:name w:val="List 2"/>
    <w:basedOn w:val="1"/>
    <w:semiHidden/>
    <w:qFormat/>
    <w:uiPriority w:val="0"/>
    <w:pPr>
      <w:ind w:left="720" w:hanging="360"/>
      <w:contextualSpacing/>
    </w:pPr>
  </w:style>
  <w:style w:type="paragraph" w:styleId="38">
    <w:name w:val="List Continue"/>
    <w:basedOn w:val="1"/>
    <w:semiHidden/>
    <w:qFormat/>
    <w:uiPriority w:val="0"/>
    <w:pPr>
      <w:spacing w:after="120"/>
      <w:ind w:left="360"/>
      <w:contextualSpacing/>
    </w:pPr>
  </w:style>
  <w:style w:type="paragraph" w:styleId="39">
    <w:name w:val="Block Text"/>
    <w:basedOn w:val="1"/>
    <w:semiHidden/>
    <w:qFormat/>
    <w:uiPriority w:val="0"/>
    <w:pPr>
      <w:spacing w:after="120"/>
      <w:ind w:left="1440" w:right="1440"/>
    </w:pPr>
  </w:style>
  <w:style w:type="paragraph" w:styleId="40">
    <w:name w:val="List Bullet 2"/>
    <w:basedOn w:val="1"/>
    <w:semiHidden/>
    <w:qFormat/>
    <w:uiPriority w:val="0"/>
    <w:pPr>
      <w:numPr>
        <w:ilvl w:val="0"/>
        <w:numId w:val="7"/>
      </w:numPr>
      <w:contextualSpacing/>
    </w:pPr>
  </w:style>
  <w:style w:type="paragraph" w:styleId="41">
    <w:name w:val="HTML Address"/>
    <w:basedOn w:val="1"/>
    <w:link w:val="127"/>
    <w:semiHidden/>
    <w:qFormat/>
    <w:uiPriority w:val="0"/>
    <w:rPr>
      <w:i/>
      <w:iCs/>
    </w:rPr>
  </w:style>
  <w:style w:type="paragraph" w:styleId="42">
    <w:name w:val="index 4"/>
    <w:basedOn w:val="1"/>
    <w:next w:val="1"/>
    <w:semiHidden/>
    <w:qFormat/>
    <w:uiPriority w:val="0"/>
    <w:pPr>
      <w:ind w:left="960" w:hanging="240"/>
    </w:pPr>
  </w:style>
  <w:style w:type="paragraph" w:styleId="43">
    <w:name w:val="toc 5"/>
    <w:basedOn w:val="1"/>
    <w:next w:val="1"/>
    <w:semiHidden/>
    <w:qFormat/>
    <w:uiPriority w:val="0"/>
    <w:pPr>
      <w:ind w:left="960"/>
    </w:pPr>
  </w:style>
  <w:style w:type="paragraph" w:styleId="44">
    <w:name w:val="toc 3"/>
    <w:basedOn w:val="1"/>
    <w:next w:val="1"/>
    <w:semiHidden/>
    <w:qFormat/>
    <w:uiPriority w:val="0"/>
    <w:pPr>
      <w:ind w:left="480"/>
    </w:pPr>
  </w:style>
  <w:style w:type="paragraph" w:styleId="45">
    <w:name w:val="Plain Text"/>
    <w:basedOn w:val="1"/>
    <w:link w:val="136"/>
    <w:semiHidden/>
    <w:qFormat/>
    <w:uiPriority w:val="0"/>
    <w:rPr>
      <w:rFonts w:ascii="Courier New" w:hAnsi="Courier New" w:cs="Courier New"/>
      <w:sz w:val="20"/>
    </w:rPr>
  </w:style>
  <w:style w:type="paragraph" w:styleId="46">
    <w:name w:val="List Bullet 5"/>
    <w:basedOn w:val="1"/>
    <w:semiHidden/>
    <w:qFormat/>
    <w:uiPriority w:val="0"/>
    <w:pPr>
      <w:numPr>
        <w:ilvl w:val="0"/>
        <w:numId w:val="8"/>
      </w:numPr>
      <w:contextualSpacing/>
    </w:pPr>
  </w:style>
  <w:style w:type="paragraph" w:styleId="47">
    <w:name w:val="List Number 4"/>
    <w:basedOn w:val="1"/>
    <w:semiHidden/>
    <w:qFormat/>
    <w:uiPriority w:val="0"/>
    <w:pPr>
      <w:numPr>
        <w:ilvl w:val="0"/>
        <w:numId w:val="9"/>
      </w:numPr>
      <w:contextualSpacing/>
    </w:pPr>
  </w:style>
  <w:style w:type="paragraph" w:styleId="48">
    <w:name w:val="toc 8"/>
    <w:basedOn w:val="1"/>
    <w:next w:val="1"/>
    <w:semiHidden/>
    <w:qFormat/>
    <w:uiPriority w:val="0"/>
    <w:pPr>
      <w:ind w:left="1680"/>
    </w:pPr>
  </w:style>
  <w:style w:type="paragraph" w:styleId="49">
    <w:name w:val="index 3"/>
    <w:basedOn w:val="1"/>
    <w:next w:val="1"/>
    <w:semiHidden/>
    <w:qFormat/>
    <w:uiPriority w:val="0"/>
    <w:pPr>
      <w:ind w:left="720" w:hanging="240"/>
    </w:pPr>
  </w:style>
  <w:style w:type="paragraph" w:styleId="50">
    <w:name w:val="Date"/>
    <w:basedOn w:val="1"/>
    <w:next w:val="1"/>
    <w:link w:val="120"/>
    <w:semiHidden/>
    <w:qFormat/>
    <w:uiPriority w:val="0"/>
  </w:style>
  <w:style w:type="paragraph" w:styleId="51">
    <w:name w:val="Body Text Indent 2"/>
    <w:basedOn w:val="1"/>
    <w:link w:val="115"/>
    <w:semiHidden/>
    <w:qFormat/>
    <w:uiPriority w:val="0"/>
    <w:pPr>
      <w:spacing w:after="120" w:line="480" w:lineRule="auto"/>
      <w:ind w:left="360"/>
    </w:pPr>
  </w:style>
  <w:style w:type="paragraph" w:styleId="52">
    <w:name w:val="endnote text"/>
    <w:basedOn w:val="1"/>
    <w:link w:val="123"/>
    <w:semiHidden/>
    <w:qFormat/>
    <w:uiPriority w:val="0"/>
    <w:rPr>
      <w:sz w:val="20"/>
    </w:rPr>
  </w:style>
  <w:style w:type="paragraph" w:styleId="53">
    <w:name w:val="List Continue 5"/>
    <w:basedOn w:val="1"/>
    <w:semiHidden/>
    <w:qFormat/>
    <w:uiPriority w:val="0"/>
    <w:pPr>
      <w:spacing w:after="120"/>
      <w:ind w:left="1800"/>
      <w:contextualSpacing/>
    </w:pPr>
  </w:style>
  <w:style w:type="paragraph" w:styleId="54">
    <w:name w:val="Balloon Text"/>
    <w:basedOn w:val="1"/>
    <w:link w:val="107"/>
    <w:semiHidden/>
    <w:qFormat/>
    <w:uiPriority w:val="0"/>
    <w:rPr>
      <w:rFonts w:ascii="Tahoma" w:hAnsi="Tahoma" w:cs="Tahoma"/>
      <w:sz w:val="16"/>
      <w:szCs w:val="16"/>
    </w:rPr>
  </w:style>
  <w:style w:type="paragraph" w:styleId="55">
    <w:name w:val="footer"/>
    <w:basedOn w:val="1"/>
    <w:link w:val="124"/>
    <w:semiHidden/>
    <w:qFormat/>
    <w:uiPriority w:val="0"/>
    <w:pPr>
      <w:tabs>
        <w:tab w:val="center" w:pos="4680"/>
        <w:tab w:val="right" w:pos="9360"/>
      </w:tabs>
    </w:pPr>
  </w:style>
  <w:style w:type="paragraph" w:styleId="56">
    <w:name w:val="envelope return"/>
    <w:basedOn w:val="1"/>
    <w:semiHidden/>
    <w:qFormat/>
    <w:uiPriority w:val="0"/>
    <w:rPr>
      <w:rFonts w:ascii="Cambria" w:hAnsi="Cambria"/>
      <w:sz w:val="20"/>
    </w:rPr>
  </w:style>
  <w:style w:type="paragraph" w:styleId="57">
    <w:name w:val="header"/>
    <w:basedOn w:val="1"/>
    <w:link w:val="126"/>
    <w:semiHidden/>
    <w:qFormat/>
    <w:uiPriority w:val="0"/>
    <w:pPr>
      <w:tabs>
        <w:tab w:val="center" w:pos="4680"/>
        <w:tab w:val="right" w:pos="9360"/>
      </w:tabs>
    </w:pPr>
  </w:style>
  <w:style w:type="paragraph" w:styleId="58">
    <w:name w:val="Signature"/>
    <w:basedOn w:val="1"/>
    <w:link w:val="140"/>
    <w:semiHidden/>
    <w:qFormat/>
    <w:uiPriority w:val="0"/>
    <w:pPr>
      <w:ind w:left="4320"/>
    </w:pPr>
  </w:style>
  <w:style w:type="paragraph" w:styleId="59">
    <w:name w:val="toc 1"/>
    <w:basedOn w:val="1"/>
    <w:next w:val="1"/>
    <w:semiHidden/>
    <w:qFormat/>
    <w:uiPriority w:val="0"/>
  </w:style>
  <w:style w:type="paragraph" w:styleId="60">
    <w:name w:val="List Continue 4"/>
    <w:basedOn w:val="1"/>
    <w:semiHidden/>
    <w:qFormat/>
    <w:uiPriority w:val="0"/>
    <w:pPr>
      <w:spacing w:after="120"/>
      <w:ind w:left="1440"/>
      <w:contextualSpacing/>
    </w:pPr>
  </w:style>
  <w:style w:type="paragraph" w:styleId="61">
    <w:name w:val="toc 4"/>
    <w:basedOn w:val="1"/>
    <w:next w:val="1"/>
    <w:semiHidden/>
    <w:qFormat/>
    <w:uiPriority w:val="0"/>
    <w:pPr>
      <w:ind w:left="720"/>
    </w:pPr>
  </w:style>
  <w:style w:type="paragraph" w:styleId="62">
    <w:name w:val="index heading"/>
    <w:basedOn w:val="1"/>
    <w:next w:val="63"/>
    <w:semiHidden/>
    <w:qFormat/>
    <w:uiPriority w:val="0"/>
    <w:rPr>
      <w:rFonts w:ascii="Cambria" w:hAnsi="Cambria"/>
      <w:b/>
      <w:bCs/>
    </w:rPr>
  </w:style>
  <w:style w:type="paragraph" w:styleId="63">
    <w:name w:val="index 1"/>
    <w:basedOn w:val="1"/>
    <w:next w:val="1"/>
    <w:semiHidden/>
    <w:qFormat/>
    <w:uiPriority w:val="0"/>
    <w:pPr>
      <w:ind w:left="240" w:hanging="240"/>
    </w:pPr>
  </w:style>
  <w:style w:type="paragraph" w:styleId="64">
    <w:name w:val="Subtitle"/>
    <w:basedOn w:val="1"/>
    <w:next w:val="1"/>
    <w:link w:val="141"/>
    <w:semiHidden/>
    <w:qFormat/>
    <w:uiPriority w:val="0"/>
    <w:pPr>
      <w:spacing w:after="60"/>
      <w:jc w:val="center"/>
      <w:outlineLvl w:val="1"/>
    </w:pPr>
    <w:rPr>
      <w:rFonts w:ascii="Cambria" w:hAnsi="Cambria"/>
      <w:szCs w:val="24"/>
    </w:rPr>
  </w:style>
  <w:style w:type="paragraph" w:styleId="65">
    <w:name w:val="List Number 5"/>
    <w:basedOn w:val="1"/>
    <w:semiHidden/>
    <w:qFormat/>
    <w:uiPriority w:val="0"/>
    <w:pPr>
      <w:numPr>
        <w:ilvl w:val="0"/>
        <w:numId w:val="10"/>
      </w:numPr>
      <w:contextualSpacing/>
    </w:pPr>
  </w:style>
  <w:style w:type="paragraph" w:styleId="66">
    <w:name w:val="List"/>
    <w:basedOn w:val="1"/>
    <w:semiHidden/>
    <w:qFormat/>
    <w:uiPriority w:val="0"/>
    <w:pPr>
      <w:ind w:left="360" w:hanging="360"/>
      <w:contextualSpacing/>
    </w:pPr>
  </w:style>
  <w:style w:type="paragraph" w:styleId="67">
    <w:name w:val="footnote text"/>
    <w:basedOn w:val="1"/>
    <w:link w:val="125"/>
    <w:semiHidden/>
    <w:qFormat/>
    <w:uiPriority w:val="0"/>
    <w:rPr>
      <w:sz w:val="20"/>
    </w:rPr>
  </w:style>
  <w:style w:type="paragraph" w:styleId="68">
    <w:name w:val="toc 6"/>
    <w:basedOn w:val="1"/>
    <w:next w:val="1"/>
    <w:semiHidden/>
    <w:qFormat/>
    <w:uiPriority w:val="0"/>
    <w:pPr>
      <w:ind w:left="1200"/>
    </w:pPr>
  </w:style>
  <w:style w:type="paragraph" w:styleId="69">
    <w:name w:val="List 5"/>
    <w:basedOn w:val="1"/>
    <w:semiHidden/>
    <w:qFormat/>
    <w:uiPriority w:val="0"/>
    <w:pPr>
      <w:ind w:left="1800" w:hanging="360"/>
      <w:contextualSpacing/>
    </w:pPr>
  </w:style>
  <w:style w:type="paragraph" w:styleId="70">
    <w:name w:val="Body Text Indent 3"/>
    <w:basedOn w:val="1"/>
    <w:link w:val="116"/>
    <w:semiHidden/>
    <w:qFormat/>
    <w:uiPriority w:val="0"/>
    <w:pPr>
      <w:spacing w:after="120"/>
      <w:ind w:left="360"/>
    </w:pPr>
    <w:rPr>
      <w:sz w:val="16"/>
      <w:szCs w:val="16"/>
    </w:rPr>
  </w:style>
  <w:style w:type="paragraph" w:styleId="71">
    <w:name w:val="index 7"/>
    <w:basedOn w:val="1"/>
    <w:next w:val="1"/>
    <w:semiHidden/>
    <w:qFormat/>
    <w:uiPriority w:val="0"/>
    <w:pPr>
      <w:ind w:left="1680" w:hanging="240"/>
    </w:pPr>
  </w:style>
  <w:style w:type="paragraph" w:styleId="72">
    <w:name w:val="index 9"/>
    <w:basedOn w:val="1"/>
    <w:next w:val="1"/>
    <w:semiHidden/>
    <w:qFormat/>
    <w:uiPriority w:val="0"/>
    <w:pPr>
      <w:ind w:left="2160" w:hanging="240"/>
    </w:pPr>
  </w:style>
  <w:style w:type="paragraph" w:styleId="73">
    <w:name w:val="table of figures"/>
    <w:basedOn w:val="1"/>
    <w:next w:val="1"/>
    <w:semiHidden/>
    <w:qFormat/>
    <w:uiPriority w:val="0"/>
  </w:style>
  <w:style w:type="paragraph" w:styleId="74">
    <w:name w:val="toc 2"/>
    <w:basedOn w:val="1"/>
    <w:next w:val="1"/>
    <w:semiHidden/>
    <w:qFormat/>
    <w:uiPriority w:val="0"/>
    <w:pPr>
      <w:ind w:left="240"/>
    </w:pPr>
  </w:style>
  <w:style w:type="paragraph" w:styleId="75">
    <w:name w:val="toc 9"/>
    <w:basedOn w:val="1"/>
    <w:next w:val="1"/>
    <w:semiHidden/>
    <w:qFormat/>
    <w:uiPriority w:val="0"/>
    <w:pPr>
      <w:ind w:left="1920"/>
    </w:pPr>
  </w:style>
  <w:style w:type="paragraph" w:styleId="76">
    <w:name w:val="Body Text 2"/>
    <w:basedOn w:val="1"/>
    <w:link w:val="110"/>
    <w:semiHidden/>
    <w:qFormat/>
    <w:uiPriority w:val="0"/>
    <w:pPr>
      <w:spacing w:after="120" w:line="480" w:lineRule="auto"/>
    </w:pPr>
  </w:style>
  <w:style w:type="paragraph" w:styleId="77">
    <w:name w:val="List 4"/>
    <w:basedOn w:val="1"/>
    <w:semiHidden/>
    <w:qFormat/>
    <w:uiPriority w:val="0"/>
    <w:pPr>
      <w:ind w:left="1440" w:hanging="360"/>
      <w:contextualSpacing/>
    </w:pPr>
  </w:style>
  <w:style w:type="paragraph" w:styleId="78">
    <w:name w:val="List Continue 2"/>
    <w:basedOn w:val="1"/>
    <w:semiHidden/>
    <w:qFormat/>
    <w:uiPriority w:val="0"/>
    <w:pPr>
      <w:spacing w:after="120"/>
      <w:ind w:left="720"/>
      <w:contextualSpacing/>
    </w:pPr>
  </w:style>
  <w:style w:type="paragraph" w:styleId="79">
    <w:name w:val="Message Header"/>
    <w:basedOn w:val="1"/>
    <w:link w:val="133"/>
    <w:semiHidden/>
    <w:qFormat/>
    <w:uiPriority w:val="0"/>
    <w:pPr>
      <w:pBdr>
        <w:top w:val="single" w:color="auto" w:sz="6" w:space="1"/>
        <w:left w:val="single" w:color="auto" w:sz="6" w:space="1"/>
        <w:bottom w:val="single" w:color="auto" w:sz="6" w:space="1"/>
        <w:right w:val="single" w:color="auto" w:sz="6" w:space="1"/>
      </w:pBdr>
      <w:shd w:val="pct20" w:color="auto" w:fill="auto"/>
      <w:ind w:left="1080" w:hanging="1080"/>
    </w:pPr>
    <w:rPr>
      <w:rFonts w:ascii="Cambria" w:hAnsi="Cambria"/>
      <w:szCs w:val="24"/>
    </w:rPr>
  </w:style>
  <w:style w:type="paragraph" w:styleId="80">
    <w:name w:val="HTML Preformatted"/>
    <w:basedOn w:val="1"/>
    <w:link w:val="128"/>
    <w:semiHidden/>
    <w:qFormat/>
    <w:uiPriority w:val="0"/>
    <w:rPr>
      <w:rFonts w:ascii="Courier New" w:hAnsi="Courier New" w:cs="Courier New"/>
      <w:sz w:val="20"/>
    </w:rPr>
  </w:style>
  <w:style w:type="paragraph" w:styleId="81">
    <w:name w:val="Normal (Web)"/>
    <w:basedOn w:val="1"/>
    <w:semiHidden/>
    <w:qFormat/>
    <w:uiPriority w:val="99"/>
    <w:rPr>
      <w:szCs w:val="24"/>
    </w:rPr>
  </w:style>
  <w:style w:type="paragraph" w:styleId="82">
    <w:name w:val="List Continue 3"/>
    <w:basedOn w:val="1"/>
    <w:semiHidden/>
    <w:qFormat/>
    <w:uiPriority w:val="0"/>
    <w:pPr>
      <w:spacing w:after="120"/>
      <w:ind w:left="1080"/>
      <w:contextualSpacing/>
    </w:pPr>
  </w:style>
  <w:style w:type="paragraph" w:styleId="83">
    <w:name w:val="index 2"/>
    <w:basedOn w:val="1"/>
    <w:next w:val="1"/>
    <w:semiHidden/>
    <w:qFormat/>
    <w:uiPriority w:val="0"/>
    <w:pPr>
      <w:ind w:left="480" w:hanging="240"/>
    </w:pPr>
  </w:style>
  <w:style w:type="paragraph" w:styleId="84">
    <w:name w:val="Title"/>
    <w:basedOn w:val="1"/>
    <w:next w:val="1"/>
    <w:link w:val="142"/>
    <w:semiHidden/>
    <w:qFormat/>
    <w:uiPriority w:val="0"/>
    <w:pPr>
      <w:spacing w:before="240" w:after="60"/>
      <w:jc w:val="center"/>
      <w:outlineLvl w:val="0"/>
    </w:pPr>
    <w:rPr>
      <w:rFonts w:ascii="Cambria" w:hAnsi="Cambria"/>
      <w:b/>
      <w:bCs/>
      <w:kern w:val="28"/>
      <w:sz w:val="32"/>
      <w:szCs w:val="32"/>
    </w:rPr>
  </w:style>
  <w:style w:type="paragraph" w:styleId="85">
    <w:name w:val="annotation subject"/>
    <w:basedOn w:val="28"/>
    <w:next w:val="28"/>
    <w:link w:val="119"/>
    <w:semiHidden/>
    <w:qFormat/>
    <w:uiPriority w:val="0"/>
    <w:rPr>
      <w:b/>
      <w:bCs/>
    </w:rPr>
  </w:style>
  <w:style w:type="paragraph" w:styleId="86">
    <w:name w:val="Body Text First Indent"/>
    <w:basedOn w:val="34"/>
    <w:link w:val="112"/>
    <w:semiHidden/>
    <w:qFormat/>
    <w:uiPriority w:val="0"/>
    <w:pPr>
      <w:ind w:firstLine="210"/>
    </w:pPr>
  </w:style>
  <w:style w:type="paragraph" w:styleId="87">
    <w:name w:val="Body Text First Indent 2"/>
    <w:basedOn w:val="35"/>
    <w:link w:val="114"/>
    <w:semiHidden/>
    <w:qFormat/>
    <w:uiPriority w:val="0"/>
    <w:pPr>
      <w:ind w:firstLine="210"/>
    </w:pPr>
  </w:style>
  <w:style w:type="table" w:styleId="89">
    <w:name w:val="Table Grid"/>
    <w:basedOn w:val="88"/>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page number"/>
    <w:basedOn w:val="90"/>
    <w:semiHidden/>
    <w:qFormat/>
    <w:uiPriority w:val="0"/>
  </w:style>
  <w:style w:type="character" w:styleId="92">
    <w:name w:val="FollowedHyperlink"/>
    <w:basedOn w:val="90"/>
    <w:semiHidden/>
    <w:unhideWhenUsed/>
    <w:qFormat/>
    <w:uiPriority w:val="0"/>
    <w:rPr>
      <w:color w:val="800080" w:themeColor="followedHyperlink"/>
      <w:u w:val="single"/>
      <w14:textFill>
        <w14:solidFill>
          <w14:schemeClr w14:val="folHlink"/>
        </w14:solidFill>
      </w14:textFill>
    </w:rPr>
  </w:style>
  <w:style w:type="character" w:styleId="93">
    <w:name w:val="Emphasis"/>
    <w:basedOn w:val="90"/>
    <w:qFormat/>
    <w:uiPriority w:val="20"/>
    <w:rPr>
      <w:i/>
      <w:iCs/>
    </w:rPr>
  </w:style>
  <w:style w:type="character" w:styleId="94">
    <w:name w:val="Hyperlink"/>
    <w:basedOn w:val="90"/>
    <w:semiHidden/>
    <w:qFormat/>
    <w:uiPriority w:val="0"/>
    <w:rPr>
      <w:color w:val="0000FF"/>
      <w:u w:val="single"/>
    </w:rPr>
  </w:style>
  <w:style w:type="character" w:styleId="95">
    <w:name w:val="annotation reference"/>
    <w:basedOn w:val="90"/>
    <w:semiHidden/>
    <w:qFormat/>
    <w:uiPriority w:val="0"/>
    <w:rPr>
      <w:sz w:val="16"/>
      <w:szCs w:val="16"/>
    </w:rPr>
  </w:style>
  <w:style w:type="character" w:customStyle="1" w:styleId="96">
    <w:name w:val="Heading 1 Char"/>
    <w:basedOn w:val="90"/>
    <w:link w:val="3"/>
    <w:semiHidden/>
    <w:qFormat/>
    <w:uiPriority w:val="0"/>
    <w:rPr>
      <w:b/>
      <w:bCs/>
      <w:kern w:val="32"/>
      <w:sz w:val="24"/>
      <w:szCs w:val="24"/>
    </w:rPr>
  </w:style>
  <w:style w:type="character" w:customStyle="1" w:styleId="97">
    <w:name w:val="Heading 2 Char"/>
    <w:basedOn w:val="90"/>
    <w:link w:val="4"/>
    <w:semiHidden/>
    <w:qFormat/>
    <w:uiPriority w:val="0"/>
    <w:rPr>
      <w:rFonts w:ascii="Cambria" w:hAnsi="Cambria"/>
      <w:b/>
      <w:bCs/>
      <w:i/>
      <w:iCs/>
      <w:sz w:val="28"/>
      <w:szCs w:val="28"/>
    </w:rPr>
  </w:style>
  <w:style w:type="character" w:customStyle="1" w:styleId="98">
    <w:name w:val="Heading 5 Char"/>
    <w:basedOn w:val="90"/>
    <w:link w:val="7"/>
    <w:semiHidden/>
    <w:qFormat/>
    <w:uiPriority w:val="0"/>
    <w:rPr>
      <w:rFonts w:ascii="Calibri" w:hAnsi="Calibri"/>
      <w:b/>
      <w:bCs/>
      <w:i/>
      <w:iCs/>
      <w:sz w:val="26"/>
      <w:szCs w:val="26"/>
    </w:rPr>
  </w:style>
  <w:style w:type="character" w:customStyle="1" w:styleId="99">
    <w:name w:val="Heading 6 Char"/>
    <w:basedOn w:val="90"/>
    <w:link w:val="8"/>
    <w:semiHidden/>
    <w:qFormat/>
    <w:uiPriority w:val="0"/>
    <w:rPr>
      <w:rFonts w:ascii="Calibri" w:hAnsi="Calibri"/>
      <w:b/>
      <w:bCs/>
      <w:sz w:val="22"/>
      <w:szCs w:val="22"/>
    </w:rPr>
  </w:style>
  <w:style w:type="character" w:customStyle="1" w:styleId="100">
    <w:name w:val="Heading 7 Char"/>
    <w:basedOn w:val="90"/>
    <w:link w:val="9"/>
    <w:semiHidden/>
    <w:qFormat/>
    <w:uiPriority w:val="0"/>
    <w:rPr>
      <w:rFonts w:ascii="Calibri" w:hAnsi="Calibri"/>
      <w:sz w:val="24"/>
      <w:szCs w:val="24"/>
    </w:rPr>
  </w:style>
  <w:style w:type="character" w:customStyle="1" w:styleId="101">
    <w:name w:val="Heading 8 Char"/>
    <w:basedOn w:val="90"/>
    <w:link w:val="10"/>
    <w:semiHidden/>
    <w:qFormat/>
    <w:uiPriority w:val="0"/>
    <w:rPr>
      <w:rFonts w:ascii="Calibri" w:hAnsi="Calibri"/>
      <w:i/>
      <w:iCs/>
      <w:sz w:val="24"/>
      <w:szCs w:val="24"/>
    </w:rPr>
  </w:style>
  <w:style w:type="character" w:customStyle="1" w:styleId="102">
    <w:name w:val="Heading 9 Char"/>
    <w:basedOn w:val="90"/>
    <w:link w:val="11"/>
    <w:semiHidden/>
    <w:qFormat/>
    <w:uiPriority w:val="0"/>
    <w:rPr>
      <w:rFonts w:ascii="Cambria" w:hAnsi="Cambria"/>
      <w:sz w:val="22"/>
      <w:szCs w:val="22"/>
    </w:rPr>
  </w:style>
  <w:style w:type="paragraph" w:customStyle="1" w:styleId="103">
    <w:name w:val="SM Heading"/>
    <w:basedOn w:val="3"/>
    <w:qFormat/>
    <w:uiPriority w:val="0"/>
  </w:style>
  <w:style w:type="paragraph" w:customStyle="1" w:styleId="104">
    <w:name w:val="SM Subheading"/>
    <w:basedOn w:val="1"/>
    <w:qFormat/>
    <w:uiPriority w:val="0"/>
    <w:rPr>
      <w:u w:val="words"/>
    </w:rPr>
  </w:style>
  <w:style w:type="paragraph" w:customStyle="1" w:styleId="105">
    <w:name w:val="SM Text"/>
    <w:basedOn w:val="1"/>
    <w:qFormat/>
    <w:uiPriority w:val="0"/>
    <w:pPr>
      <w:ind w:firstLine="480"/>
    </w:pPr>
  </w:style>
  <w:style w:type="paragraph" w:customStyle="1" w:styleId="106">
    <w:name w:val="SM caption"/>
    <w:basedOn w:val="105"/>
    <w:qFormat/>
    <w:uiPriority w:val="0"/>
    <w:pPr>
      <w:ind w:firstLine="0"/>
    </w:pPr>
  </w:style>
  <w:style w:type="character" w:customStyle="1" w:styleId="107">
    <w:name w:val="Balloon Text Char"/>
    <w:basedOn w:val="90"/>
    <w:link w:val="54"/>
    <w:semiHidden/>
    <w:qFormat/>
    <w:uiPriority w:val="0"/>
    <w:rPr>
      <w:rFonts w:ascii="Tahoma" w:hAnsi="Tahoma" w:cs="Tahoma"/>
      <w:sz w:val="16"/>
      <w:szCs w:val="16"/>
    </w:rPr>
  </w:style>
  <w:style w:type="paragraph" w:customStyle="1" w:styleId="108">
    <w:name w:val="Bibliography"/>
    <w:basedOn w:val="1"/>
    <w:next w:val="1"/>
    <w:semiHidden/>
    <w:qFormat/>
    <w:uiPriority w:val="37"/>
  </w:style>
  <w:style w:type="character" w:customStyle="1" w:styleId="109">
    <w:name w:val="Body Text Char"/>
    <w:basedOn w:val="90"/>
    <w:link w:val="34"/>
    <w:semiHidden/>
    <w:qFormat/>
    <w:uiPriority w:val="0"/>
    <w:rPr>
      <w:sz w:val="24"/>
    </w:rPr>
  </w:style>
  <w:style w:type="character" w:customStyle="1" w:styleId="110">
    <w:name w:val="Body Text 2 Char"/>
    <w:basedOn w:val="90"/>
    <w:link w:val="76"/>
    <w:semiHidden/>
    <w:qFormat/>
    <w:uiPriority w:val="0"/>
    <w:rPr>
      <w:sz w:val="24"/>
    </w:rPr>
  </w:style>
  <w:style w:type="character" w:customStyle="1" w:styleId="111">
    <w:name w:val="Body Text 3 Char"/>
    <w:basedOn w:val="90"/>
    <w:link w:val="31"/>
    <w:semiHidden/>
    <w:qFormat/>
    <w:uiPriority w:val="0"/>
    <w:rPr>
      <w:sz w:val="16"/>
      <w:szCs w:val="16"/>
    </w:rPr>
  </w:style>
  <w:style w:type="character" w:customStyle="1" w:styleId="112">
    <w:name w:val="Body Text First Indent Char"/>
    <w:basedOn w:val="109"/>
    <w:link w:val="86"/>
    <w:semiHidden/>
    <w:qFormat/>
    <w:uiPriority w:val="0"/>
    <w:rPr>
      <w:sz w:val="24"/>
    </w:rPr>
  </w:style>
  <w:style w:type="character" w:customStyle="1" w:styleId="113">
    <w:name w:val="Body Text Indent Char"/>
    <w:basedOn w:val="90"/>
    <w:link w:val="35"/>
    <w:semiHidden/>
    <w:qFormat/>
    <w:uiPriority w:val="0"/>
    <w:rPr>
      <w:sz w:val="24"/>
    </w:rPr>
  </w:style>
  <w:style w:type="character" w:customStyle="1" w:styleId="114">
    <w:name w:val="Body Text First Indent 2 Char"/>
    <w:basedOn w:val="113"/>
    <w:link w:val="87"/>
    <w:semiHidden/>
    <w:qFormat/>
    <w:uiPriority w:val="0"/>
    <w:rPr>
      <w:sz w:val="24"/>
    </w:rPr>
  </w:style>
  <w:style w:type="character" w:customStyle="1" w:styleId="115">
    <w:name w:val="Body Text Indent 2 Char"/>
    <w:basedOn w:val="90"/>
    <w:link w:val="51"/>
    <w:semiHidden/>
    <w:qFormat/>
    <w:uiPriority w:val="0"/>
    <w:rPr>
      <w:sz w:val="24"/>
    </w:rPr>
  </w:style>
  <w:style w:type="character" w:customStyle="1" w:styleId="116">
    <w:name w:val="Body Text Indent 3 Char"/>
    <w:basedOn w:val="90"/>
    <w:link w:val="70"/>
    <w:semiHidden/>
    <w:qFormat/>
    <w:uiPriority w:val="0"/>
    <w:rPr>
      <w:sz w:val="16"/>
      <w:szCs w:val="16"/>
    </w:rPr>
  </w:style>
  <w:style w:type="character" w:customStyle="1" w:styleId="117">
    <w:name w:val="Closing Char"/>
    <w:basedOn w:val="90"/>
    <w:link w:val="32"/>
    <w:semiHidden/>
    <w:qFormat/>
    <w:uiPriority w:val="0"/>
    <w:rPr>
      <w:sz w:val="24"/>
    </w:rPr>
  </w:style>
  <w:style w:type="character" w:customStyle="1" w:styleId="118">
    <w:name w:val="Comment Text Char"/>
    <w:basedOn w:val="90"/>
    <w:link w:val="28"/>
    <w:semiHidden/>
    <w:qFormat/>
    <w:uiPriority w:val="0"/>
  </w:style>
  <w:style w:type="character" w:customStyle="1" w:styleId="119">
    <w:name w:val="Comment Subject Char"/>
    <w:basedOn w:val="118"/>
    <w:link w:val="85"/>
    <w:semiHidden/>
    <w:qFormat/>
    <w:uiPriority w:val="0"/>
    <w:rPr>
      <w:b/>
      <w:bCs/>
    </w:rPr>
  </w:style>
  <w:style w:type="character" w:customStyle="1" w:styleId="120">
    <w:name w:val="Date Char"/>
    <w:basedOn w:val="90"/>
    <w:link w:val="50"/>
    <w:semiHidden/>
    <w:qFormat/>
    <w:uiPriority w:val="0"/>
    <w:rPr>
      <w:sz w:val="24"/>
    </w:rPr>
  </w:style>
  <w:style w:type="character" w:customStyle="1" w:styleId="121">
    <w:name w:val="Document Map Char"/>
    <w:basedOn w:val="90"/>
    <w:link w:val="26"/>
    <w:semiHidden/>
    <w:qFormat/>
    <w:uiPriority w:val="0"/>
    <w:rPr>
      <w:rFonts w:ascii="Tahoma" w:hAnsi="Tahoma" w:cs="Tahoma"/>
      <w:sz w:val="16"/>
      <w:szCs w:val="16"/>
    </w:rPr>
  </w:style>
  <w:style w:type="character" w:customStyle="1" w:styleId="122">
    <w:name w:val="E-mail Signature Char"/>
    <w:basedOn w:val="90"/>
    <w:link w:val="19"/>
    <w:semiHidden/>
    <w:qFormat/>
    <w:uiPriority w:val="0"/>
    <w:rPr>
      <w:sz w:val="24"/>
    </w:rPr>
  </w:style>
  <w:style w:type="character" w:customStyle="1" w:styleId="123">
    <w:name w:val="Endnote Text Char"/>
    <w:basedOn w:val="90"/>
    <w:link w:val="52"/>
    <w:semiHidden/>
    <w:qFormat/>
    <w:uiPriority w:val="0"/>
  </w:style>
  <w:style w:type="character" w:customStyle="1" w:styleId="124">
    <w:name w:val="Footer Char"/>
    <w:basedOn w:val="90"/>
    <w:link w:val="55"/>
    <w:semiHidden/>
    <w:qFormat/>
    <w:uiPriority w:val="0"/>
    <w:rPr>
      <w:sz w:val="24"/>
    </w:rPr>
  </w:style>
  <w:style w:type="character" w:customStyle="1" w:styleId="125">
    <w:name w:val="Footnote Text Char"/>
    <w:basedOn w:val="90"/>
    <w:link w:val="67"/>
    <w:semiHidden/>
    <w:qFormat/>
    <w:uiPriority w:val="0"/>
  </w:style>
  <w:style w:type="character" w:customStyle="1" w:styleId="126">
    <w:name w:val="Header Char"/>
    <w:basedOn w:val="90"/>
    <w:link w:val="57"/>
    <w:semiHidden/>
    <w:qFormat/>
    <w:uiPriority w:val="0"/>
    <w:rPr>
      <w:sz w:val="24"/>
    </w:rPr>
  </w:style>
  <w:style w:type="character" w:customStyle="1" w:styleId="127">
    <w:name w:val="HTML Address Char"/>
    <w:basedOn w:val="90"/>
    <w:link w:val="41"/>
    <w:semiHidden/>
    <w:qFormat/>
    <w:uiPriority w:val="0"/>
    <w:rPr>
      <w:i/>
      <w:iCs/>
      <w:sz w:val="24"/>
    </w:rPr>
  </w:style>
  <w:style w:type="character" w:customStyle="1" w:styleId="128">
    <w:name w:val="HTML Preformatted Char"/>
    <w:basedOn w:val="90"/>
    <w:link w:val="80"/>
    <w:semiHidden/>
    <w:qFormat/>
    <w:uiPriority w:val="0"/>
    <w:rPr>
      <w:rFonts w:ascii="Courier New" w:hAnsi="Courier New" w:cs="Courier New"/>
    </w:rPr>
  </w:style>
  <w:style w:type="paragraph" w:styleId="129">
    <w:name w:val="Intense Quote"/>
    <w:basedOn w:val="1"/>
    <w:next w:val="1"/>
    <w:link w:val="130"/>
    <w:semiHidden/>
    <w:qFormat/>
    <w:uiPriority w:val="30"/>
    <w:pPr>
      <w:pBdr>
        <w:bottom w:val="single" w:color="4F81BD" w:sz="4" w:space="4"/>
      </w:pBdr>
      <w:spacing w:before="200" w:after="280"/>
      <w:ind w:left="936" w:right="936"/>
    </w:pPr>
    <w:rPr>
      <w:b/>
      <w:bCs/>
      <w:i/>
      <w:iCs/>
      <w:color w:val="4F81BD"/>
    </w:rPr>
  </w:style>
  <w:style w:type="character" w:customStyle="1" w:styleId="130">
    <w:name w:val="Intense Quote Char"/>
    <w:basedOn w:val="90"/>
    <w:link w:val="129"/>
    <w:semiHidden/>
    <w:qFormat/>
    <w:uiPriority w:val="30"/>
    <w:rPr>
      <w:b/>
      <w:bCs/>
      <w:i/>
      <w:iCs/>
      <w:color w:val="4F81BD"/>
      <w:sz w:val="24"/>
    </w:rPr>
  </w:style>
  <w:style w:type="paragraph" w:styleId="131">
    <w:name w:val="List Paragraph"/>
    <w:basedOn w:val="1"/>
    <w:semiHidden/>
    <w:qFormat/>
    <w:uiPriority w:val="34"/>
    <w:pPr>
      <w:ind w:left="720"/>
    </w:pPr>
  </w:style>
  <w:style w:type="character" w:customStyle="1" w:styleId="132">
    <w:name w:val="Macro Text Char"/>
    <w:basedOn w:val="90"/>
    <w:link w:val="2"/>
    <w:semiHidden/>
    <w:qFormat/>
    <w:uiPriority w:val="0"/>
    <w:rPr>
      <w:rFonts w:ascii="Courier New" w:hAnsi="Courier New" w:cs="Courier New"/>
      <w:lang w:val="en-US" w:eastAsia="en-US" w:bidi="ar-SA"/>
    </w:rPr>
  </w:style>
  <w:style w:type="character" w:customStyle="1" w:styleId="133">
    <w:name w:val="Message Header Char"/>
    <w:basedOn w:val="90"/>
    <w:link w:val="79"/>
    <w:semiHidden/>
    <w:qFormat/>
    <w:uiPriority w:val="0"/>
    <w:rPr>
      <w:rFonts w:ascii="Cambria" w:hAnsi="Cambria"/>
      <w:sz w:val="24"/>
      <w:szCs w:val="24"/>
      <w:shd w:val="pct20" w:color="auto" w:fill="auto"/>
    </w:rPr>
  </w:style>
  <w:style w:type="paragraph" w:styleId="134">
    <w:name w:val="No Spacing"/>
    <w:semiHidden/>
    <w:qFormat/>
    <w:uiPriority w:val="1"/>
    <w:rPr>
      <w:rFonts w:ascii="Times New Roman" w:hAnsi="Times New Roman" w:eastAsia="Times New Roman" w:cs="Times New Roman"/>
      <w:sz w:val="24"/>
      <w:lang w:val="en-US" w:eastAsia="en-US" w:bidi="ar-SA"/>
    </w:rPr>
  </w:style>
  <w:style w:type="character" w:customStyle="1" w:styleId="135">
    <w:name w:val="Note Heading Char"/>
    <w:basedOn w:val="90"/>
    <w:link w:val="16"/>
    <w:semiHidden/>
    <w:qFormat/>
    <w:uiPriority w:val="0"/>
    <w:rPr>
      <w:sz w:val="24"/>
    </w:rPr>
  </w:style>
  <w:style w:type="character" w:customStyle="1" w:styleId="136">
    <w:name w:val="Plain Text Char"/>
    <w:basedOn w:val="90"/>
    <w:link w:val="45"/>
    <w:semiHidden/>
    <w:qFormat/>
    <w:uiPriority w:val="0"/>
    <w:rPr>
      <w:rFonts w:ascii="Courier New" w:hAnsi="Courier New" w:cs="Courier New"/>
    </w:rPr>
  </w:style>
  <w:style w:type="paragraph" w:styleId="137">
    <w:name w:val="Quote"/>
    <w:basedOn w:val="1"/>
    <w:next w:val="1"/>
    <w:link w:val="138"/>
    <w:semiHidden/>
    <w:qFormat/>
    <w:uiPriority w:val="29"/>
    <w:rPr>
      <w:i/>
      <w:iCs/>
      <w:color w:val="000000"/>
    </w:rPr>
  </w:style>
  <w:style w:type="character" w:customStyle="1" w:styleId="138">
    <w:name w:val="Quote Char"/>
    <w:basedOn w:val="90"/>
    <w:link w:val="137"/>
    <w:semiHidden/>
    <w:qFormat/>
    <w:uiPriority w:val="29"/>
    <w:rPr>
      <w:i/>
      <w:iCs/>
      <w:color w:val="000000"/>
      <w:sz w:val="24"/>
    </w:rPr>
  </w:style>
  <w:style w:type="character" w:customStyle="1" w:styleId="139">
    <w:name w:val="Salutation Char"/>
    <w:basedOn w:val="90"/>
    <w:link w:val="30"/>
    <w:semiHidden/>
    <w:qFormat/>
    <w:uiPriority w:val="0"/>
    <w:rPr>
      <w:sz w:val="24"/>
    </w:rPr>
  </w:style>
  <w:style w:type="character" w:customStyle="1" w:styleId="140">
    <w:name w:val="Signature Char"/>
    <w:basedOn w:val="90"/>
    <w:link w:val="58"/>
    <w:semiHidden/>
    <w:qFormat/>
    <w:uiPriority w:val="0"/>
    <w:rPr>
      <w:sz w:val="24"/>
    </w:rPr>
  </w:style>
  <w:style w:type="character" w:customStyle="1" w:styleId="141">
    <w:name w:val="Subtitle Char"/>
    <w:basedOn w:val="90"/>
    <w:link w:val="64"/>
    <w:semiHidden/>
    <w:qFormat/>
    <w:uiPriority w:val="0"/>
    <w:rPr>
      <w:rFonts w:ascii="Cambria" w:hAnsi="Cambria"/>
      <w:sz w:val="24"/>
      <w:szCs w:val="24"/>
    </w:rPr>
  </w:style>
  <w:style w:type="character" w:customStyle="1" w:styleId="142">
    <w:name w:val="Title Char"/>
    <w:basedOn w:val="90"/>
    <w:link w:val="84"/>
    <w:semiHidden/>
    <w:qFormat/>
    <w:uiPriority w:val="0"/>
    <w:rPr>
      <w:rFonts w:ascii="Cambria" w:hAnsi="Cambria"/>
      <w:b/>
      <w:bCs/>
      <w:kern w:val="28"/>
      <w:sz w:val="32"/>
      <w:szCs w:val="32"/>
    </w:rPr>
  </w:style>
  <w:style w:type="paragraph" w:customStyle="1" w:styleId="143">
    <w:name w:val="TOC Heading"/>
    <w:basedOn w:val="3"/>
    <w:next w:val="1"/>
    <w:semiHidden/>
    <w:unhideWhenUsed/>
    <w:qFormat/>
    <w:uiPriority w:val="39"/>
    <w:pPr>
      <w:outlineLvl w:val="9"/>
    </w:pPr>
    <w:rPr>
      <w:rFonts w:ascii="Cambria" w:hAnsi="Cambria"/>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tif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AAAS</Company>
  <Pages>3</Pages>
  <Words>528</Words>
  <Characters>3139</Characters>
  <Lines>26</Lines>
  <Paragraphs>7</Paragraphs>
  <TotalTime>2</TotalTime>
  <ScaleCrop>false</ScaleCrop>
  <LinksUpToDate>false</LinksUpToDate>
  <CharactersWithSpaces>3660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2019-09-25T00:44:00Z</dcterms:created>
  <dc:creator>Brooks Hanson</dc:creator>
  <cp:lastModifiedBy>Zoe</cp:lastModifiedBy>
  <cp:lastPrinted>2018-02-26T17:19:00Z</cp:lastPrinted>
  <dcterms:modified xsi:type="dcterms:W3CDTF">2021-03-05T05:37:09Z</dcterms:modified>
  <dc:title>Supporting Online Material for</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