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29A9E" w14:textId="2C83A2C3" w:rsidR="004D4C5D" w:rsidRPr="00072D37" w:rsidRDefault="004D4C5D" w:rsidP="00704DB0">
      <w:pPr>
        <w:pStyle w:val="Title"/>
        <w:rPr>
          <w:rFonts w:ascii="Arial" w:hAnsi="Arial" w:cs="Arial"/>
          <w:lang w:val="en-US"/>
        </w:rPr>
      </w:pPr>
      <w:r w:rsidRPr="00072D37">
        <w:rPr>
          <w:rFonts w:ascii="Arial" w:hAnsi="Arial" w:cs="Arial"/>
          <w:lang w:val="en-US"/>
        </w:rPr>
        <w:t xml:space="preserve">Supplementary </w:t>
      </w:r>
      <w:r w:rsidR="00425E59">
        <w:rPr>
          <w:rFonts w:ascii="Arial" w:hAnsi="Arial" w:cs="Arial"/>
          <w:lang w:val="en-US"/>
        </w:rPr>
        <w:t>information</w:t>
      </w:r>
    </w:p>
    <w:p w14:paraId="3CF404CC" w14:textId="22BD11EB" w:rsidR="00AA5ABB" w:rsidRDefault="00AA5ABB" w:rsidP="00AA5ABB">
      <w:pPr>
        <w:rPr>
          <w:rFonts w:ascii="Arial" w:hAnsi="Arial" w:cs="Arial"/>
          <w:lang w:val="en-US"/>
        </w:rPr>
      </w:pPr>
      <w:r w:rsidRPr="00072D37">
        <w:rPr>
          <w:rFonts w:ascii="Arial" w:hAnsi="Arial" w:cs="Arial"/>
          <w:lang w:val="en-US"/>
        </w:rPr>
        <w:t>Article title:</w:t>
      </w:r>
      <w:r w:rsidR="005834A5">
        <w:rPr>
          <w:rFonts w:ascii="Arial" w:hAnsi="Arial" w:cs="Arial"/>
          <w:lang w:val="en-US"/>
        </w:rPr>
        <w:t xml:space="preserve"> </w:t>
      </w:r>
      <w:r w:rsidR="00425E59" w:rsidRPr="00425E59">
        <w:rPr>
          <w:rFonts w:ascii="Arial" w:hAnsi="Arial" w:cs="Arial"/>
          <w:lang w:val="en-US"/>
        </w:rPr>
        <w:t xml:space="preserve">Coupling normothermic machine perfusion </w:t>
      </w:r>
      <w:proofErr w:type="gramStart"/>
      <w:r w:rsidR="00425E59" w:rsidRPr="00425E59">
        <w:rPr>
          <w:rFonts w:ascii="Arial" w:hAnsi="Arial" w:cs="Arial"/>
          <w:lang w:val="en-US"/>
        </w:rPr>
        <w:t>with  mesenchymal</w:t>
      </w:r>
      <w:proofErr w:type="gramEnd"/>
      <w:r w:rsidR="00425E59" w:rsidRPr="00425E59">
        <w:rPr>
          <w:rFonts w:ascii="Arial" w:hAnsi="Arial" w:cs="Arial"/>
          <w:lang w:val="en-US"/>
        </w:rPr>
        <w:t xml:space="preserve"> stem cell bioreactors: benefits exerted on the rat liver  </w:t>
      </w:r>
    </w:p>
    <w:p w14:paraId="4A6536DE" w14:textId="77777777" w:rsidR="00D5446F" w:rsidRPr="00072D37" w:rsidRDefault="00D5446F" w:rsidP="00AA5ABB">
      <w:pPr>
        <w:rPr>
          <w:rFonts w:ascii="Arial" w:hAnsi="Arial" w:cs="Arial"/>
          <w:lang w:val="en-US"/>
        </w:rPr>
      </w:pPr>
      <w:bookmarkStart w:id="0" w:name="_GoBack"/>
      <w:bookmarkEnd w:id="0"/>
    </w:p>
    <w:sdt>
      <w:sdtPr>
        <w:rPr>
          <w:rFonts w:ascii="Arial" w:eastAsia="Times New Roman" w:hAnsi="Arial" w:cs="Arial"/>
          <w:b w:val="0"/>
          <w:color w:val="auto"/>
          <w:sz w:val="24"/>
          <w:szCs w:val="24"/>
          <w:lang w:val="it-IT" w:eastAsia="it-IT"/>
        </w:rPr>
        <w:id w:val="-346568348"/>
        <w:docPartObj>
          <w:docPartGallery w:val="Table of Contents"/>
          <w:docPartUnique/>
        </w:docPartObj>
      </w:sdtPr>
      <w:sdtEndPr>
        <w:rPr>
          <w:bCs w:val="0"/>
          <w:noProof/>
        </w:rPr>
      </w:sdtEndPr>
      <w:sdtContent>
        <w:p w14:paraId="1232CC82" w14:textId="767B5D02" w:rsidR="007359AD" w:rsidRPr="00072D37" w:rsidRDefault="007359AD">
          <w:pPr>
            <w:pStyle w:val="TOCHeading"/>
            <w:rPr>
              <w:rFonts w:ascii="Arial" w:hAnsi="Arial" w:cs="Arial"/>
            </w:rPr>
          </w:pPr>
          <w:r w:rsidRPr="00072D37">
            <w:rPr>
              <w:rFonts w:ascii="Arial" w:hAnsi="Arial" w:cs="Arial"/>
            </w:rPr>
            <w:t>Table of Contents</w:t>
          </w:r>
        </w:p>
        <w:p w14:paraId="6CB8A091" w14:textId="5A86F8E6" w:rsidR="00B61132" w:rsidRDefault="007359AD">
          <w:pPr>
            <w:pStyle w:val="TOC1"/>
            <w:tabs>
              <w:tab w:val="right" w:leader="dot" w:pos="9622"/>
            </w:tabs>
            <w:rPr>
              <w:rFonts w:eastAsiaTheme="minorEastAsia" w:cstheme="minorBidi"/>
              <w:b w:val="0"/>
              <w:bCs w:val="0"/>
              <w:i w:val="0"/>
              <w:iCs w:val="0"/>
              <w:noProof/>
              <w:lang w:eastAsia="en-US"/>
            </w:rPr>
          </w:pPr>
          <w:r w:rsidRPr="00072D37">
            <w:rPr>
              <w:rFonts w:ascii="Arial" w:hAnsi="Arial" w:cs="Arial"/>
              <w:b w:val="0"/>
              <w:bCs w:val="0"/>
            </w:rPr>
            <w:fldChar w:fldCharType="begin"/>
          </w:r>
          <w:r w:rsidRPr="00072D37">
            <w:rPr>
              <w:rFonts w:ascii="Arial" w:hAnsi="Arial" w:cs="Arial"/>
            </w:rPr>
            <w:instrText xml:space="preserve"> TOC \o "1-3" \h \z \u </w:instrText>
          </w:r>
          <w:r w:rsidRPr="00072D37">
            <w:rPr>
              <w:rFonts w:ascii="Arial" w:hAnsi="Arial" w:cs="Arial"/>
              <w:b w:val="0"/>
              <w:bCs w:val="0"/>
            </w:rPr>
            <w:fldChar w:fldCharType="separate"/>
          </w:r>
          <w:hyperlink w:anchor="_Toc143336299" w:history="1">
            <w:r w:rsidR="00B61132" w:rsidRPr="00F35840">
              <w:rPr>
                <w:rStyle w:val="Hyperlink"/>
                <w:noProof/>
              </w:rPr>
              <w:t>1.</w:t>
            </w:r>
            <w:r w:rsidR="00B61132" w:rsidRPr="00F35840">
              <w:rPr>
                <w:rStyle w:val="Hyperlink"/>
                <w:rFonts w:ascii="Arial" w:hAnsi="Arial" w:cs="Arial"/>
                <w:noProof/>
              </w:rPr>
              <w:t xml:space="preserve"> Supplementary methods</w:t>
            </w:r>
            <w:r w:rsidR="00B61132">
              <w:rPr>
                <w:noProof/>
                <w:webHidden/>
              </w:rPr>
              <w:tab/>
            </w:r>
            <w:r w:rsidR="00B61132">
              <w:rPr>
                <w:noProof/>
                <w:webHidden/>
              </w:rPr>
              <w:fldChar w:fldCharType="begin"/>
            </w:r>
            <w:r w:rsidR="00B61132">
              <w:rPr>
                <w:noProof/>
                <w:webHidden/>
              </w:rPr>
              <w:instrText xml:space="preserve"> PAGEREF _Toc143336299 \h </w:instrText>
            </w:r>
            <w:r w:rsidR="00B61132">
              <w:rPr>
                <w:noProof/>
                <w:webHidden/>
              </w:rPr>
            </w:r>
            <w:r w:rsidR="00B61132">
              <w:rPr>
                <w:noProof/>
                <w:webHidden/>
              </w:rPr>
              <w:fldChar w:fldCharType="separate"/>
            </w:r>
            <w:r w:rsidR="00B61132">
              <w:rPr>
                <w:noProof/>
                <w:webHidden/>
              </w:rPr>
              <w:t>3</w:t>
            </w:r>
            <w:r w:rsidR="00B61132">
              <w:rPr>
                <w:noProof/>
                <w:webHidden/>
              </w:rPr>
              <w:fldChar w:fldCharType="end"/>
            </w:r>
          </w:hyperlink>
        </w:p>
        <w:p w14:paraId="01F4DDE1" w14:textId="66FFBC18" w:rsidR="00B61132" w:rsidRDefault="00B61132">
          <w:pPr>
            <w:pStyle w:val="TOC2"/>
            <w:tabs>
              <w:tab w:val="right" w:leader="dot" w:pos="9622"/>
            </w:tabs>
            <w:rPr>
              <w:rFonts w:eastAsiaTheme="minorEastAsia" w:cstheme="minorBidi"/>
              <w:b w:val="0"/>
              <w:bCs w:val="0"/>
              <w:noProof/>
              <w:sz w:val="24"/>
              <w:szCs w:val="24"/>
              <w:lang w:eastAsia="en-US"/>
            </w:rPr>
          </w:pPr>
          <w:hyperlink w:anchor="_Toc143336300" w:history="1">
            <w:r w:rsidRPr="00F35840">
              <w:rPr>
                <w:rStyle w:val="Hyperlink"/>
                <w:noProof/>
              </w:rPr>
              <w:t>1.1.</w:t>
            </w:r>
            <w:r w:rsidRPr="00F35840">
              <w:rPr>
                <w:rStyle w:val="Hyperlink"/>
                <w:rFonts w:ascii="Arial" w:hAnsi="Arial" w:cs="Arial"/>
                <w:noProof/>
              </w:rPr>
              <w:t xml:space="preserve"> Isolation of adipose tissue-derived mesenchymal stem cells</w:t>
            </w:r>
            <w:r>
              <w:rPr>
                <w:noProof/>
                <w:webHidden/>
              </w:rPr>
              <w:tab/>
            </w:r>
            <w:r>
              <w:rPr>
                <w:noProof/>
                <w:webHidden/>
              </w:rPr>
              <w:fldChar w:fldCharType="begin"/>
            </w:r>
            <w:r>
              <w:rPr>
                <w:noProof/>
                <w:webHidden/>
              </w:rPr>
              <w:instrText xml:space="preserve"> PAGEREF _Toc143336300 \h </w:instrText>
            </w:r>
            <w:r>
              <w:rPr>
                <w:noProof/>
                <w:webHidden/>
              </w:rPr>
            </w:r>
            <w:r>
              <w:rPr>
                <w:noProof/>
                <w:webHidden/>
              </w:rPr>
              <w:fldChar w:fldCharType="separate"/>
            </w:r>
            <w:r>
              <w:rPr>
                <w:noProof/>
                <w:webHidden/>
              </w:rPr>
              <w:t>3</w:t>
            </w:r>
            <w:r>
              <w:rPr>
                <w:noProof/>
                <w:webHidden/>
              </w:rPr>
              <w:fldChar w:fldCharType="end"/>
            </w:r>
          </w:hyperlink>
        </w:p>
        <w:p w14:paraId="29F0B650" w14:textId="6582CD8B" w:rsidR="00B61132" w:rsidRDefault="00B61132">
          <w:pPr>
            <w:pStyle w:val="TOC2"/>
            <w:tabs>
              <w:tab w:val="right" w:leader="dot" w:pos="9622"/>
            </w:tabs>
            <w:rPr>
              <w:rFonts w:eastAsiaTheme="minorEastAsia" w:cstheme="minorBidi"/>
              <w:b w:val="0"/>
              <w:bCs w:val="0"/>
              <w:noProof/>
              <w:sz w:val="24"/>
              <w:szCs w:val="24"/>
              <w:lang w:eastAsia="en-US"/>
            </w:rPr>
          </w:pPr>
          <w:hyperlink w:anchor="_Toc143336301" w:history="1">
            <w:r w:rsidRPr="00F35840">
              <w:rPr>
                <w:rStyle w:val="Hyperlink"/>
                <w:noProof/>
              </w:rPr>
              <w:t>1.2.</w:t>
            </w:r>
            <w:r w:rsidRPr="00F35840">
              <w:rPr>
                <w:rStyle w:val="Hyperlink"/>
                <w:rFonts w:ascii="Arial" w:hAnsi="Arial" w:cs="Arial"/>
                <w:noProof/>
              </w:rPr>
              <w:t xml:space="preserve">  MSCs in vitro culturing before bioreactor preparation</w:t>
            </w:r>
            <w:r>
              <w:rPr>
                <w:noProof/>
                <w:webHidden/>
              </w:rPr>
              <w:tab/>
            </w:r>
            <w:r>
              <w:rPr>
                <w:noProof/>
                <w:webHidden/>
              </w:rPr>
              <w:fldChar w:fldCharType="begin"/>
            </w:r>
            <w:r>
              <w:rPr>
                <w:noProof/>
                <w:webHidden/>
              </w:rPr>
              <w:instrText xml:space="preserve"> PAGEREF _Toc143336301 \h </w:instrText>
            </w:r>
            <w:r>
              <w:rPr>
                <w:noProof/>
                <w:webHidden/>
              </w:rPr>
            </w:r>
            <w:r>
              <w:rPr>
                <w:noProof/>
                <w:webHidden/>
              </w:rPr>
              <w:fldChar w:fldCharType="separate"/>
            </w:r>
            <w:r>
              <w:rPr>
                <w:noProof/>
                <w:webHidden/>
              </w:rPr>
              <w:t>3</w:t>
            </w:r>
            <w:r>
              <w:rPr>
                <w:noProof/>
                <w:webHidden/>
              </w:rPr>
              <w:fldChar w:fldCharType="end"/>
            </w:r>
          </w:hyperlink>
        </w:p>
        <w:p w14:paraId="128EF009" w14:textId="4B101ED4" w:rsidR="00B61132" w:rsidRDefault="00B61132">
          <w:pPr>
            <w:pStyle w:val="TOC2"/>
            <w:tabs>
              <w:tab w:val="right" w:leader="dot" w:pos="9622"/>
            </w:tabs>
            <w:rPr>
              <w:rFonts w:eastAsiaTheme="minorEastAsia" w:cstheme="minorBidi"/>
              <w:b w:val="0"/>
              <w:bCs w:val="0"/>
              <w:noProof/>
              <w:sz w:val="24"/>
              <w:szCs w:val="24"/>
              <w:lang w:eastAsia="en-US"/>
            </w:rPr>
          </w:pPr>
          <w:hyperlink w:anchor="_Toc143336302" w:history="1">
            <w:r w:rsidRPr="00F35840">
              <w:rPr>
                <w:rStyle w:val="Hyperlink"/>
                <w:noProof/>
              </w:rPr>
              <w:t>1.3.</w:t>
            </w:r>
            <w:r w:rsidRPr="00F35840">
              <w:rPr>
                <w:rStyle w:val="Hyperlink"/>
                <w:rFonts w:ascii="Arial" w:hAnsi="Arial" w:cs="Arial"/>
                <w:noProof/>
              </w:rPr>
              <w:t xml:space="preserve"> Liverless perfusion procedure</w:t>
            </w:r>
            <w:r>
              <w:rPr>
                <w:noProof/>
                <w:webHidden/>
              </w:rPr>
              <w:tab/>
            </w:r>
            <w:r>
              <w:rPr>
                <w:noProof/>
                <w:webHidden/>
              </w:rPr>
              <w:fldChar w:fldCharType="begin"/>
            </w:r>
            <w:r>
              <w:rPr>
                <w:noProof/>
                <w:webHidden/>
              </w:rPr>
              <w:instrText xml:space="preserve"> PAGEREF _Toc143336302 \h </w:instrText>
            </w:r>
            <w:r>
              <w:rPr>
                <w:noProof/>
                <w:webHidden/>
              </w:rPr>
            </w:r>
            <w:r>
              <w:rPr>
                <w:noProof/>
                <w:webHidden/>
              </w:rPr>
              <w:fldChar w:fldCharType="separate"/>
            </w:r>
            <w:r>
              <w:rPr>
                <w:noProof/>
                <w:webHidden/>
              </w:rPr>
              <w:t>3</w:t>
            </w:r>
            <w:r>
              <w:rPr>
                <w:noProof/>
                <w:webHidden/>
              </w:rPr>
              <w:fldChar w:fldCharType="end"/>
            </w:r>
          </w:hyperlink>
        </w:p>
        <w:p w14:paraId="109B5301" w14:textId="28FED347" w:rsidR="00B61132" w:rsidRDefault="00B61132">
          <w:pPr>
            <w:pStyle w:val="TOC2"/>
            <w:tabs>
              <w:tab w:val="right" w:leader="dot" w:pos="9622"/>
            </w:tabs>
            <w:rPr>
              <w:rFonts w:eastAsiaTheme="minorEastAsia" w:cstheme="minorBidi"/>
              <w:b w:val="0"/>
              <w:bCs w:val="0"/>
              <w:noProof/>
              <w:sz w:val="24"/>
              <w:szCs w:val="24"/>
              <w:lang w:eastAsia="en-US"/>
            </w:rPr>
          </w:pPr>
          <w:hyperlink w:anchor="_Toc143336303" w:history="1">
            <w:r w:rsidRPr="00F35840">
              <w:rPr>
                <w:rStyle w:val="Hyperlink"/>
                <w:noProof/>
              </w:rPr>
              <w:t>1.4.</w:t>
            </w:r>
            <w:r w:rsidRPr="00F35840">
              <w:rPr>
                <w:rStyle w:val="Hyperlink"/>
                <w:rFonts w:ascii="Arial" w:hAnsi="Arial" w:cs="Arial"/>
                <w:noProof/>
              </w:rPr>
              <w:t xml:space="preserve"> Bio-molecular analysis performed on bioreactor supernatants and perfusate samples collected during liverless-NMP</w:t>
            </w:r>
            <w:r>
              <w:rPr>
                <w:noProof/>
                <w:webHidden/>
              </w:rPr>
              <w:tab/>
            </w:r>
            <w:r>
              <w:rPr>
                <w:noProof/>
                <w:webHidden/>
              </w:rPr>
              <w:fldChar w:fldCharType="begin"/>
            </w:r>
            <w:r>
              <w:rPr>
                <w:noProof/>
                <w:webHidden/>
              </w:rPr>
              <w:instrText xml:space="preserve"> PAGEREF _Toc143336303 \h </w:instrText>
            </w:r>
            <w:r>
              <w:rPr>
                <w:noProof/>
                <w:webHidden/>
              </w:rPr>
            </w:r>
            <w:r>
              <w:rPr>
                <w:noProof/>
                <w:webHidden/>
              </w:rPr>
              <w:fldChar w:fldCharType="separate"/>
            </w:r>
            <w:r>
              <w:rPr>
                <w:noProof/>
                <w:webHidden/>
              </w:rPr>
              <w:t>4</w:t>
            </w:r>
            <w:r>
              <w:rPr>
                <w:noProof/>
                <w:webHidden/>
              </w:rPr>
              <w:fldChar w:fldCharType="end"/>
            </w:r>
          </w:hyperlink>
        </w:p>
        <w:p w14:paraId="31CBF6A6" w14:textId="307FE598" w:rsidR="00B61132" w:rsidRDefault="00B61132">
          <w:pPr>
            <w:pStyle w:val="TOC3"/>
            <w:tabs>
              <w:tab w:val="right" w:leader="dot" w:pos="9622"/>
            </w:tabs>
            <w:rPr>
              <w:rFonts w:eastAsiaTheme="minorEastAsia" w:cstheme="minorBidi"/>
              <w:noProof/>
              <w:sz w:val="24"/>
              <w:szCs w:val="24"/>
              <w:lang w:eastAsia="en-US"/>
            </w:rPr>
          </w:pPr>
          <w:hyperlink w:anchor="_Toc143336304" w:history="1">
            <w:r w:rsidRPr="00F35840">
              <w:rPr>
                <w:rStyle w:val="Hyperlink"/>
                <w:noProof/>
              </w:rPr>
              <w:t>1.4.1.</w:t>
            </w:r>
            <w:r w:rsidRPr="00F35840">
              <w:rPr>
                <w:rStyle w:val="Hyperlink"/>
                <w:rFonts w:ascii="Arial" w:hAnsi="Arial" w:cs="Arial"/>
                <w:noProof/>
                <w:lang w:val="en-US"/>
              </w:rPr>
              <w:t xml:space="preserve"> Perfusate sample processing</w:t>
            </w:r>
            <w:r>
              <w:rPr>
                <w:noProof/>
                <w:webHidden/>
              </w:rPr>
              <w:tab/>
            </w:r>
            <w:r>
              <w:rPr>
                <w:noProof/>
                <w:webHidden/>
              </w:rPr>
              <w:fldChar w:fldCharType="begin"/>
            </w:r>
            <w:r>
              <w:rPr>
                <w:noProof/>
                <w:webHidden/>
              </w:rPr>
              <w:instrText xml:space="preserve"> PAGEREF _Toc143336304 \h </w:instrText>
            </w:r>
            <w:r>
              <w:rPr>
                <w:noProof/>
                <w:webHidden/>
              </w:rPr>
            </w:r>
            <w:r>
              <w:rPr>
                <w:noProof/>
                <w:webHidden/>
              </w:rPr>
              <w:fldChar w:fldCharType="separate"/>
            </w:r>
            <w:r>
              <w:rPr>
                <w:noProof/>
                <w:webHidden/>
              </w:rPr>
              <w:t>4</w:t>
            </w:r>
            <w:r>
              <w:rPr>
                <w:noProof/>
                <w:webHidden/>
              </w:rPr>
              <w:fldChar w:fldCharType="end"/>
            </w:r>
          </w:hyperlink>
        </w:p>
        <w:p w14:paraId="78C21B5D" w14:textId="29CA0E88" w:rsidR="00B61132" w:rsidRDefault="00B61132">
          <w:pPr>
            <w:pStyle w:val="TOC3"/>
            <w:tabs>
              <w:tab w:val="right" w:leader="dot" w:pos="9622"/>
            </w:tabs>
            <w:rPr>
              <w:rFonts w:eastAsiaTheme="minorEastAsia" w:cstheme="minorBidi"/>
              <w:noProof/>
              <w:sz w:val="24"/>
              <w:szCs w:val="24"/>
              <w:lang w:eastAsia="en-US"/>
            </w:rPr>
          </w:pPr>
          <w:hyperlink w:anchor="_Toc143336305" w:history="1">
            <w:r w:rsidRPr="00F35840">
              <w:rPr>
                <w:rStyle w:val="Hyperlink"/>
                <w:noProof/>
              </w:rPr>
              <w:t>1.4.2.</w:t>
            </w:r>
            <w:r w:rsidRPr="00F35840">
              <w:rPr>
                <w:rStyle w:val="Hyperlink"/>
                <w:rFonts w:ascii="Arial" w:hAnsi="Arial" w:cs="Arial"/>
                <w:noProof/>
                <w:lang w:val="en-US"/>
              </w:rPr>
              <w:t xml:space="preserve"> Human Indoleamine 2,3-Dioxygenase (IDO)</w:t>
            </w:r>
            <w:r>
              <w:rPr>
                <w:noProof/>
                <w:webHidden/>
              </w:rPr>
              <w:tab/>
            </w:r>
            <w:r>
              <w:rPr>
                <w:noProof/>
                <w:webHidden/>
              </w:rPr>
              <w:fldChar w:fldCharType="begin"/>
            </w:r>
            <w:r>
              <w:rPr>
                <w:noProof/>
                <w:webHidden/>
              </w:rPr>
              <w:instrText xml:space="preserve"> PAGEREF _Toc143336305 \h </w:instrText>
            </w:r>
            <w:r>
              <w:rPr>
                <w:noProof/>
                <w:webHidden/>
              </w:rPr>
            </w:r>
            <w:r>
              <w:rPr>
                <w:noProof/>
                <w:webHidden/>
              </w:rPr>
              <w:fldChar w:fldCharType="separate"/>
            </w:r>
            <w:r>
              <w:rPr>
                <w:noProof/>
                <w:webHidden/>
              </w:rPr>
              <w:t>4</w:t>
            </w:r>
            <w:r>
              <w:rPr>
                <w:noProof/>
                <w:webHidden/>
              </w:rPr>
              <w:fldChar w:fldCharType="end"/>
            </w:r>
          </w:hyperlink>
        </w:p>
        <w:p w14:paraId="49A0AF8D" w14:textId="1DC14D8C" w:rsidR="00B61132" w:rsidRDefault="00B61132">
          <w:pPr>
            <w:pStyle w:val="TOC3"/>
            <w:tabs>
              <w:tab w:val="right" w:leader="dot" w:pos="9622"/>
            </w:tabs>
            <w:rPr>
              <w:rFonts w:eastAsiaTheme="minorEastAsia" w:cstheme="minorBidi"/>
              <w:noProof/>
              <w:sz w:val="24"/>
              <w:szCs w:val="24"/>
              <w:lang w:eastAsia="en-US"/>
            </w:rPr>
          </w:pPr>
          <w:hyperlink w:anchor="_Toc143336306" w:history="1">
            <w:r w:rsidRPr="00F35840">
              <w:rPr>
                <w:rStyle w:val="Hyperlink"/>
                <w:noProof/>
              </w:rPr>
              <w:t>1.4.3.</w:t>
            </w:r>
            <w:r w:rsidRPr="00F35840">
              <w:rPr>
                <w:rStyle w:val="Hyperlink"/>
                <w:rFonts w:ascii="Arial" w:hAnsi="Arial" w:cs="Arial"/>
                <w:noProof/>
                <w:lang w:val="en-US"/>
              </w:rPr>
              <w:t xml:space="preserve"> Human caspase-cleaved keratin 18 (CK18)</w:t>
            </w:r>
            <w:r>
              <w:rPr>
                <w:noProof/>
                <w:webHidden/>
              </w:rPr>
              <w:tab/>
            </w:r>
            <w:r>
              <w:rPr>
                <w:noProof/>
                <w:webHidden/>
              </w:rPr>
              <w:fldChar w:fldCharType="begin"/>
            </w:r>
            <w:r>
              <w:rPr>
                <w:noProof/>
                <w:webHidden/>
              </w:rPr>
              <w:instrText xml:space="preserve"> PAGEREF _Toc143336306 \h </w:instrText>
            </w:r>
            <w:r>
              <w:rPr>
                <w:noProof/>
                <w:webHidden/>
              </w:rPr>
            </w:r>
            <w:r>
              <w:rPr>
                <w:noProof/>
                <w:webHidden/>
              </w:rPr>
              <w:fldChar w:fldCharType="separate"/>
            </w:r>
            <w:r>
              <w:rPr>
                <w:noProof/>
                <w:webHidden/>
              </w:rPr>
              <w:t>4</w:t>
            </w:r>
            <w:r>
              <w:rPr>
                <w:noProof/>
                <w:webHidden/>
              </w:rPr>
              <w:fldChar w:fldCharType="end"/>
            </w:r>
          </w:hyperlink>
        </w:p>
        <w:p w14:paraId="347B9C4D" w14:textId="32B9554D" w:rsidR="00B61132" w:rsidRDefault="00B61132">
          <w:pPr>
            <w:pStyle w:val="TOC3"/>
            <w:tabs>
              <w:tab w:val="right" w:leader="dot" w:pos="9622"/>
            </w:tabs>
            <w:rPr>
              <w:rFonts w:eastAsiaTheme="minorEastAsia" w:cstheme="minorBidi"/>
              <w:noProof/>
              <w:sz w:val="24"/>
              <w:szCs w:val="24"/>
              <w:lang w:eastAsia="en-US"/>
            </w:rPr>
          </w:pPr>
          <w:hyperlink w:anchor="_Toc143336307" w:history="1">
            <w:r w:rsidRPr="00F35840">
              <w:rPr>
                <w:rStyle w:val="Hyperlink"/>
                <w:noProof/>
              </w:rPr>
              <w:t>1.4.4.</w:t>
            </w:r>
            <w:r w:rsidRPr="00F35840">
              <w:rPr>
                <w:rStyle w:val="Hyperlink"/>
                <w:rFonts w:ascii="Arial" w:hAnsi="Arial" w:cs="Arial"/>
                <w:noProof/>
                <w:lang w:val="en-US"/>
              </w:rPr>
              <w:t xml:space="preserve"> Total nitric oxide (NO) metabolites</w:t>
            </w:r>
            <w:r>
              <w:rPr>
                <w:noProof/>
                <w:webHidden/>
              </w:rPr>
              <w:tab/>
            </w:r>
            <w:r>
              <w:rPr>
                <w:noProof/>
                <w:webHidden/>
              </w:rPr>
              <w:fldChar w:fldCharType="begin"/>
            </w:r>
            <w:r>
              <w:rPr>
                <w:noProof/>
                <w:webHidden/>
              </w:rPr>
              <w:instrText xml:space="preserve"> PAGEREF _Toc143336307 \h </w:instrText>
            </w:r>
            <w:r>
              <w:rPr>
                <w:noProof/>
                <w:webHidden/>
              </w:rPr>
            </w:r>
            <w:r>
              <w:rPr>
                <w:noProof/>
                <w:webHidden/>
              </w:rPr>
              <w:fldChar w:fldCharType="separate"/>
            </w:r>
            <w:r>
              <w:rPr>
                <w:noProof/>
                <w:webHidden/>
              </w:rPr>
              <w:t>4</w:t>
            </w:r>
            <w:r>
              <w:rPr>
                <w:noProof/>
                <w:webHidden/>
              </w:rPr>
              <w:fldChar w:fldCharType="end"/>
            </w:r>
          </w:hyperlink>
        </w:p>
        <w:p w14:paraId="0527F4EB" w14:textId="3021405C" w:rsidR="00B61132" w:rsidRDefault="00B61132">
          <w:pPr>
            <w:pStyle w:val="TOC3"/>
            <w:tabs>
              <w:tab w:val="right" w:leader="dot" w:pos="9622"/>
            </w:tabs>
            <w:rPr>
              <w:rFonts w:eastAsiaTheme="minorEastAsia" w:cstheme="minorBidi"/>
              <w:noProof/>
              <w:sz w:val="24"/>
              <w:szCs w:val="24"/>
              <w:lang w:eastAsia="en-US"/>
            </w:rPr>
          </w:pPr>
          <w:hyperlink w:anchor="_Toc143336308" w:history="1">
            <w:r w:rsidRPr="00F35840">
              <w:rPr>
                <w:rStyle w:val="Hyperlink"/>
                <w:noProof/>
              </w:rPr>
              <w:t>1.4.5.</w:t>
            </w:r>
            <w:r w:rsidRPr="00F35840">
              <w:rPr>
                <w:rStyle w:val="Hyperlink"/>
                <w:rFonts w:ascii="Arial" w:hAnsi="Arial" w:cs="Arial"/>
                <w:noProof/>
                <w:lang w:val="en-US"/>
              </w:rPr>
              <w:t xml:space="preserve"> Analysis of extracellular vesicles (EVs) released in the perfusate</w:t>
            </w:r>
            <w:r>
              <w:rPr>
                <w:noProof/>
                <w:webHidden/>
              </w:rPr>
              <w:tab/>
            </w:r>
            <w:r>
              <w:rPr>
                <w:noProof/>
                <w:webHidden/>
              </w:rPr>
              <w:fldChar w:fldCharType="begin"/>
            </w:r>
            <w:r>
              <w:rPr>
                <w:noProof/>
                <w:webHidden/>
              </w:rPr>
              <w:instrText xml:space="preserve"> PAGEREF _Toc143336308 \h </w:instrText>
            </w:r>
            <w:r>
              <w:rPr>
                <w:noProof/>
                <w:webHidden/>
              </w:rPr>
            </w:r>
            <w:r>
              <w:rPr>
                <w:noProof/>
                <w:webHidden/>
              </w:rPr>
              <w:fldChar w:fldCharType="separate"/>
            </w:r>
            <w:r>
              <w:rPr>
                <w:noProof/>
                <w:webHidden/>
              </w:rPr>
              <w:t>5</w:t>
            </w:r>
            <w:r>
              <w:rPr>
                <w:noProof/>
                <w:webHidden/>
              </w:rPr>
              <w:fldChar w:fldCharType="end"/>
            </w:r>
          </w:hyperlink>
        </w:p>
        <w:p w14:paraId="68EB7EA9" w14:textId="355547FF" w:rsidR="00B61132" w:rsidRDefault="00B61132">
          <w:pPr>
            <w:pStyle w:val="TOC2"/>
            <w:tabs>
              <w:tab w:val="right" w:leader="dot" w:pos="9622"/>
            </w:tabs>
            <w:rPr>
              <w:rFonts w:eastAsiaTheme="minorEastAsia" w:cstheme="minorBidi"/>
              <w:b w:val="0"/>
              <w:bCs w:val="0"/>
              <w:noProof/>
              <w:sz w:val="24"/>
              <w:szCs w:val="24"/>
              <w:lang w:eastAsia="en-US"/>
            </w:rPr>
          </w:pPr>
          <w:hyperlink w:anchor="_Toc143336309" w:history="1">
            <w:r w:rsidRPr="00F35840">
              <w:rPr>
                <w:rStyle w:val="Hyperlink"/>
                <w:noProof/>
              </w:rPr>
              <w:t>1.5.</w:t>
            </w:r>
            <w:r w:rsidRPr="00F35840">
              <w:rPr>
                <w:rStyle w:val="Hyperlink"/>
                <w:rFonts w:ascii="Arial" w:hAnsi="Arial" w:cs="Arial"/>
                <w:noProof/>
              </w:rPr>
              <w:t xml:space="preserve"> MSC flow-citometry</w:t>
            </w:r>
            <w:r>
              <w:rPr>
                <w:noProof/>
                <w:webHidden/>
              </w:rPr>
              <w:tab/>
            </w:r>
            <w:r>
              <w:rPr>
                <w:noProof/>
                <w:webHidden/>
              </w:rPr>
              <w:fldChar w:fldCharType="begin"/>
            </w:r>
            <w:r>
              <w:rPr>
                <w:noProof/>
                <w:webHidden/>
              </w:rPr>
              <w:instrText xml:space="preserve"> PAGEREF _Toc143336309 \h </w:instrText>
            </w:r>
            <w:r>
              <w:rPr>
                <w:noProof/>
                <w:webHidden/>
              </w:rPr>
            </w:r>
            <w:r>
              <w:rPr>
                <w:noProof/>
                <w:webHidden/>
              </w:rPr>
              <w:fldChar w:fldCharType="separate"/>
            </w:r>
            <w:r>
              <w:rPr>
                <w:noProof/>
                <w:webHidden/>
              </w:rPr>
              <w:t>5</w:t>
            </w:r>
            <w:r>
              <w:rPr>
                <w:noProof/>
                <w:webHidden/>
              </w:rPr>
              <w:fldChar w:fldCharType="end"/>
            </w:r>
          </w:hyperlink>
        </w:p>
        <w:p w14:paraId="2D670871" w14:textId="189421A2" w:rsidR="00B61132" w:rsidRDefault="00B61132">
          <w:pPr>
            <w:pStyle w:val="TOC2"/>
            <w:tabs>
              <w:tab w:val="right" w:leader="dot" w:pos="9622"/>
            </w:tabs>
            <w:rPr>
              <w:rFonts w:eastAsiaTheme="minorEastAsia" w:cstheme="minorBidi"/>
              <w:b w:val="0"/>
              <w:bCs w:val="0"/>
              <w:noProof/>
              <w:sz w:val="24"/>
              <w:szCs w:val="24"/>
              <w:lang w:eastAsia="en-US"/>
            </w:rPr>
          </w:pPr>
          <w:hyperlink w:anchor="_Toc143336310" w:history="1">
            <w:r w:rsidRPr="00F35840">
              <w:rPr>
                <w:rStyle w:val="Hyperlink"/>
                <w:noProof/>
              </w:rPr>
              <w:t>1.6.</w:t>
            </w:r>
            <w:r w:rsidRPr="00F35840">
              <w:rPr>
                <w:rStyle w:val="Hyperlink"/>
                <w:rFonts w:ascii="Arial" w:hAnsi="Arial" w:cs="Arial"/>
                <w:noProof/>
              </w:rPr>
              <w:t xml:space="preserve"> Animals and sample size calculation</w:t>
            </w:r>
            <w:r>
              <w:rPr>
                <w:noProof/>
                <w:webHidden/>
              </w:rPr>
              <w:tab/>
            </w:r>
            <w:r>
              <w:rPr>
                <w:noProof/>
                <w:webHidden/>
              </w:rPr>
              <w:fldChar w:fldCharType="begin"/>
            </w:r>
            <w:r>
              <w:rPr>
                <w:noProof/>
                <w:webHidden/>
              </w:rPr>
              <w:instrText xml:space="preserve"> PAGEREF _Toc143336310 \h </w:instrText>
            </w:r>
            <w:r>
              <w:rPr>
                <w:noProof/>
                <w:webHidden/>
              </w:rPr>
            </w:r>
            <w:r>
              <w:rPr>
                <w:noProof/>
                <w:webHidden/>
              </w:rPr>
              <w:fldChar w:fldCharType="separate"/>
            </w:r>
            <w:r>
              <w:rPr>
                <w:noProof/>
                <w:webHidden/>
              </w:rPr>
              <w:t>5</w:t>
            </w:r>
            <w:r>
              <w:rPr>
                <w:noProof/>
                <w:webHidden/>
              </w:rPr>
              <w:fldChar w:fldCharType="end"/>
            </w:r>
          </w:hyperlink>
        </w:p>
        <w:p w14:paraId="64BB91DE" w14:textId="68FD4C8E" w:rsidR="00B61132" w:rsidRDefault="00B61132">
          <w:pPr>
            <w:pStyle w:val="TOC2"/>
            <w:tabs>
              <w:tab w:val="right" w:leader="dot" w:pos="9622"/>
            </w:tabs>
            <w:rPr>
              <w:rFonts w:eastAsiaTheme="minorEastAsia" w:cstheme="minorBidi"/>
              <w:b w:val="0"/>
              <w:bCs w:val="0"/>
              <w:noProof/>
              <w:sz w:val="24"/>
              <w:szCs w:val="24"/>
              <w:lang w:eastAsia="en-US"/>
            </w:rPr>
          </w:pPr>
          <w:hyperlink w:anchor="_Toc143336311" w:history="1">
            <w:r w:rsidRPr="00F35840">
              <w:rPr>
                <w:rStyle w:val="Hyperlink"/>
                <w:noProof/>
              </w:rPr>
              <w:t>1.7.</w:t>
            </w:r>
            <w:r w:rsidRPr="00F35840">
              <w:rPr>
                <w:rStyle w:val="Hyperlink"/>
                <w:rFonts w:ascii="Arial" w:hAnsi="Arial" w:cs="Arial"/>
                <w:noProof/>
              </w:rPr>
              <w:t xml:space="preserve"> Anesthesia, Surgery, In-situ Perfusion, and liver procurement</w:t>
            </w:r>
            <w:r>
              <w:rPr>
                <w:noProof/>
                <w:webHidden/>
              </w:rPr>
              <w:tab/>
            </w:r>
            <w:r>
              <w:rPr>
                <w:noProof/>
                <w:webHidden/>
              </w:rPr>
              <w:fldChar w:fldCharType="begin"/>
            </w:r>
            <w:r>
              <w:rPr>
                <w:noProof/>
                <w:webHidden/>
              </w:rPr>
              <w:instrText xml:space="preserve"> PAGEREF _Toc143336311 \h </w:instrText>
            </w:r>
            <w:r>
              <w:rPr>
                <w:noProof/>
                <w:webHidden/>
              </w:rPr>
            </w:r>
            <w:r>
              <w:rPr>
                <w:noProof/>
                <w:webHidden/>
              </w:rPr>
              <w:fldChar w:fldCharType="separate"/>
            </w:r>
            <w:r>
              <w:rPr>
                <w:noProof/>
                <w:webHidden/>
              </w:rPr>
              <w:t>6</w:t>
            </w:r>
            <w:r>
              <w:rPr>
                <w:noProof/>
                <w:webHidden/>
              </w:rPr>
              <w:fldChar w:fldCharType="end"/>
            </w:r>
          </w:hyperlink>
        </w:p>
        <w:p w14:paraId="0AD7E20B" w14:textId="5735E62C" w:rsidR="00B61132" w:rsidRDefault="00B61132">
          <w:pPr>
            <w:pStyle w:val="TOC2"/>
            <w:tabs>
              <w:tab w:val="right" w:leader="dot" w:pos="9622"/>
            </w:tabs>
            <w:rPr>
              <w:rFonts w:eastAsiaTheme="minorEastAsia" w:cstheme="minorBidi"/>
              <w:b w:val="0"/>
              <w:bCs w:val="0"/>
              <w:noProof/>
              <w:sz w:val="24"/>
              <w:szCs w:val="24"/>
              <w:lang w:eastAsia="en-US"/>
            </w:rPr>
          </w:pPr>
          <w:hyperlink w:anchor="_Toc143336312" w:history="1">
            <w:r w:rsidRPr="00F35840">
              <w:rPr>
                <w:rStyle w:val="Hyperlink"/>
                <w:noProof/>
              </w:rPr>
              <w:t>1.8.</w:t>
            </w:r>
            <w:r w:rsidRPr="00F35840">
              <w:rPr>
                <w:rStyle w:val="Hyperlink"/>
                <w:rFonts w:ascii="Arial" w:hAnsi="Arial" w:cs="Arial"/>
                <w:noProof/>
              </w:rPr>
              <w:t xml:space="preserve"> Liver normothermic perfusion</w:t>
            </w:r>
            <w:r>
              <w:rPr>
                <w:noProof/>
                <w:webHidden/>
              </w:rPr>
              <w:tab/>
            </w:r>
            <w:r>
              <w:rPr>
                <w:noProof/>
                <w:webHidden/>
              </w:rPr>
              <w:fldChar w:fldCharType="begin"/>
            </w:r>
            <w:r>
              <w:rPr>
                <w:noProof/>
                <w:webHidden/>
              </w:rPr>
              <w:instrText xml:space="preserve"> PAGEREF _Toc143336312 \h </w:instrText>
            </w:r>
            <w:r>
              <w:rPr>
                <w:noProof/>
                <w:webHidden/>
              </w:rPr>
            </w:r>
            <w:r>
              <w:rPr>
                <w:noProof/>
                <w:webHidden/>
              </w:rPr>
              <w:fldChar w:fldCharType="separate"/>
            </w:r>
            <w:r>
              <w:rPr>
                <w:noProof/>
                <w:webHidden/>
              </w:rPr>
              <w:t>6</w:t>
            </w:r>
            <w:r>
              <w:rPr>
                <w:noProof/>
                <w:webHidden/>
              </w:rPr>
              <w:fldChar w:fldCharType="end"/>
            </w:r>
          </w:hyperlink>
        </w:p>
        <w:p w14:paraId="17078528" w14:textId="4FD72026" w:rsidR="00B61132" w:rsidRDefault="00B61132">
          <w:pPr>
            <w:pStyle w:val="TOC2"/>
            <w:tabs>
              <w:tab w:val="right" w:leader="dot" w:pos="9622"/>
            </w:tabs>
            <w:rPr>
              <w:rFonts w:eastAsiaTheme="minorEastAsia" w:cstheme="minorBidi"/>
              <w:b w:val="0"/>
              <w:bCs w:val="0"/>
              <w:noProof/>
              <w:sz w:val="24"/>
              <w:szCs w:val="24"/>
              <w:lang w:eastAsia="en-US"/>
            </w:rPr>
          </w:pPr>
          <w:hyperlink w:anchor="_Toc143336313" w:history="1">
            <w:r w:rsidRPr="00F35840">
              <w:rPr>
                <w:rStyle w:val="Hyperlink"/>
                <w:noProof/>
              </w:rPr>
              <w:t>1.9.</w:t>
            </w:r>
            <w:r w:rsidRPr="00F35840">
              <w:rPr>
                <w:rStyle w:val="Hyperlink"/>
                <w:rFonts w:ascii="Arial" w:hAnsi="Arial" w:cs="Arial"/>
                <w:noProof/>
              </w:rPr>
              <w:t xml:space="preserve"> Comparative analysis of perfusates collected during liverless-NMP and liver NMP</w:t>
            </w:r>
            <w:r>
              <w:rPr>
                <w:noProof/>
                <w:webHidden/>
              </w:rPr>
              <w:tab/>
            </w:r>
            <w:r>
              <w:rPr>
                <w:noProof/>
                <w:webHidden/>
              </w:rPr>
              <w:fldChar w:fldCharType="begin"/>
            </w:r>
            <w:r>
              <w:rPr>
                <w:noProof/>
                <w:webHidden/>
              </w:rPr>
              <w:instrText xml:space="preserve"> PAGEREF _Toc143336313 \h </w:instrText>
            </w:r>
            <w:r>
              <w:rPr>
                <w:noProof/>
                <w:webHidden/>
              </w:rPr>
            </w:r>
            <w:r>
              <w:rPr>
                <w:noProof/>
                <w:webHidden/>
              </w:rPr>
              <w:fldChar w:fldCharType="separate"/>
            </w:r>
            <w:r>
              <w:rPr>
                <w:noProof/>
                <w:webHidden/>
              </w:rPr>
              <w:t>7</w:t>
            </w:r>
            <w:r>
              <w:rPr>
                <w:noProof/>
                <w:webHidden/>
              </w:rPr>
              <w:fldChar w:fldCharType="end"/>
            </w:r>
          </w:hyperlink>
        </w:p>
        <w:p w14:paraId="168C1C1C" w14:textId="35661B11" w:rsidR="00B61132" w:rsidRDefault="00B61132">
          <w:pPr>
            <w:pStyle w:val="TOC3"/>
            <w:tabs>
              <w:tab w:val="right" w:leader="dot" w:pos="9622"/>
            </w:tabs>
            <w:rPr>
              <w:rFonts w:eastAsiaTheme="minorEastAsia" w:cstheme="minorBidi"/>
              <w:noProof/>
              <w:sz w:val="24"/>
              <w:szCs w:val="24"/>
              <w:lang w:eastAsia="en-US"/>
            </w:rPr>
          </w:pPr>
          <w:hyperlink w:anchor="_Toc143336314" w:history="1">
            <w:r w:rsidRPr="00F35840">
              <w:rPr>
                <w:rStyle w:val="Hyperlink"/>
                <w:noProof/>
              </w:rPr>
              <w:t>1.9.1.</w:t>
            </w:r>
            <w:r w:rsidRPr="00F35840">
              <w:rPr>
                <w:rStyle w:val="Hyperlink"/>
                <w:rFonts w:ascii="Arial" w:hAnsi="Arial" w:cs="Arial"/>
                <w:noProof/>
                <w:lang w:val="en-US"/>
              </w:rPr>
              <w:t xml:space="preserve"> Processing of perfusate samples collected during liver NMP</w:t>
            </w:r>
            <w:r>
              <w:rPr>
                <w:noProof/>
                <w:webHidden/>
              </w:rPr>
              <w:tab/>
            </w:r>
            <w:r>
              <w:rPr>
                <w:noProof/>
                <w:webHidden/>
              </w:rPr>
              <w:fldChar w:fldCharType="begin"/>
            </w:r>
            <w:r>
              <w:rPr>
                <w:noProof/>
                <w:webHidden/>
              </w:rPr>
              <w:instrText xml:space="preserve"> PAGEREF _Toc143336314 \h </w:instrText>
            </w:r>
            <w:r>
              <w:rPr>
                <w:noProof/>
                <w:webHidden/>
              </w:rPr>
            </w:r>
            <w:r>
              <w:rPr>
                <w:noProof/>
                <w:webHidden/>
              </w:rPr>
              <w:fldChar w:fldCharType="separate"/>
            </w:r>
            <w:r>
              <w:rPr>
                <w:noProof/>
                <w:webHidden/>
              </w:rPr>
              <w:t>7</w:t>
            </w:r>
            <w:r>
              <w:rPr>
                <w:noProof/>
                <w:webHidden/>
              </w:rPr>
              <w:fldChar w:fldCharType="end"/>
            </w:r>
          </w:hyperlink>
        </w:p>
        <w:p w14:paraId="181F2A14" w14:textId="695EF5A5" w:rsidR="00B61132" w:rsidRDefault="00B61132">
          <w:pPr>
            <w:pStyle w:val="TOC3"/>
            <w:tabs>
              <w:tab w:val="right" w:leader="dot" w:pos="9622"/>
            </w:tabs>
            <w:rPr>
              <w:rFonts w:eastAsiaTheme="minorEastAsia" w:cstheme="minorBidi"/>
              <w:noProof/>
              <w:sz w:val="24"/>
              <w:szCs w:val="24"/>
              <w:lang w:eastAsia="en-US"/>
            </w:rPr>
          </w:pPr>
          <w:hyperlink w:anchor="_Toc143336315" w:history="1">
            <w:r w:rsidRPr="00F35840">
              <w:rPr>
                <w:rStyle w:val="Hyperlink"/>
                <w:noProof/>
              </w:rPr>
              <w:t>1.9.2.</w:t>
            </w:r>
            <w:r w:rsidRPr="00F35840">
              <w:rPr>
                <w:rStyle w:val="Hyperlink"/>
                <w:rFonts w:ascii="Arial" w:hAnsi="Arial" w:cs="Arial"/>
                <w:noProof/>
              </w:rPr>
              <w:t xml:space="preserve"> Human IL-4, IL-6, IL-10, IL-13, IL-1ra, IL-36-beta, Galectin-3 and CCL-2/MCP-1</w:t>
            </w:r>
            <w:r>
              <w:rPr>
                <w:noProof/>
                <w:webHidden/>
              </w:rPr>
              <w:tab/>
            </w:r>
            <w:r>
              <w:rPr>
                <w:noProof/>
                <w:webHidden/>
              </w:rPr>
              <w:fldChar w:fldCharType="begin"/>
            </w:r>
            <w:r>
              <w:rPr>
                <w:noProof/>
                <w:webHidden/>
              </w:rPr>
              <w:instrText xml:space="preserve"> PAGEREF _Toc143336315 \h </w:instrText>
            </w:r>
            <w:r>
              <w:rPr>
                <w:noProof/>
                <w:webHidden/>
              </w:rPr>
            </w:r>
            <w:r>
              <w:rPr>
                <w:noProof/>
                <w:webHidden/>
              </w:rPr>
              <w:fldChar w:fldCharType="separate"/>
            </w:r>
            <w:r>
              <w:rPr>
                <w:noProof/>
                <w:webHidden/>
              </w:rPr>
              <w:t>8</w:t>
            </w:r>
            <w:r>
              <w:rPr>
                <w:noProof/>
                <w:webHidden/>
              </w:rPr>
              <w:fldChar w:fldCharType="end"/>
            </w:r>
          </w:hyperlink>
        </w:p>
        <w:p w14:paraId="7E9DF4D0" w14:textId="260A4F6B" w:rsidR="00B61132" w:rsidRDefault="00B61132">
          <w:pPr>
            <w:pStyle w:val="TOC3"/>
            <w:tabs>
              <w:tab w:val="right" w:leader="dot" w:pos="9622"/>
            </w:tabs>
            <w:rPr>
              <w:rFonts w:eastAsiaTheme="minorEastAsia" w:cstheme="minorBidi"/>
              <w:noProof/>
              <w:sz w:val="24"/>
              <w:szCs w:val="24"/>
              <w:lang w:eastAsia="en-US"/>
            </w:rPr>
          </w:pPr>
          <w:hyperlink w:anchor="_Toc143336316" w:history="1">
            <w:r w:rsidRPr="00F35840">
              <w:rPr>
                <w:rStyle w:val="Hyperlink"/>
                <w:noProof/>
              </w:rPr>
              <w:t>1.9.3.</w:t>
            </w:r>
            <w:r w:rsidRPr="00F35840">
              <w:rPr>
                <w:rStyle w:val="Hyperlink"/>
                <w:rFonts w:ascii="Arial" w:hAnsi="Arial" w:cs="Arial"/>
                <w:noProof/>
                <w:lang w:val="en-US"/>
              </w:rPr>
              <w:t xml:space="preserve"> Human Galectin-9</w:t>
            </w:r>
            <w:r>
              <w:rPr>
                <w:noProof/>
                <w:webHidden/>
              </w:rPr>
              <w:tab/>
            </w:r>
            <w:r>
              <w:rPr>
                <w:noProof/>
                <w:webHidden/>
              </w:rPr>
              <w:fldChar w:fldCharType="begin"/>
            </w:r>
            <w:r>
              <w:rPr>
                <w:noProof/>
                <w:webHidden/>
              </w:rPr>
              <w:instrText xml:space="preserve"> PAGEREF _Toc143336316 \h </w:instrText>
            </w:r>
            <w:r>
              <w:rPr>
                <w:noProof/>
                <w:webHidden/>
              </w:rPr>
            </w:r>
            <w:r>
              <w:rPr>
                <w:noProof/>
                <w:webHidden/>
              </w:rPr>
              <w:fldChar w:fldCharType="separate"/>
            </w:r>
            <w:r>
              <w:rPr>
                <w:noProof/>
                <w:webHidden/>
              </w:rPr>
              <w:t>8</w:t>
            </w:r>
            <w:r>
              <w:rPr>
                <w:noProof/>
                <w:webHidden/>
              </w:rPr>
              <w:fldChar w:fldCharType="end"/>
            </w:r>
          </w:hyperlink>
        </w:p>
        <w:p w14:paraId="0CC5CE92" w14:textId="04E15BCD" w:rsidR="00B61132" w:rsidRDefault="00B61132">
          <w:pPr>
            <w:pStyle w:val="TOC3"/>
            <w:tabs>
              <w:tab w:val="right" w:leader="dot" w:pos="9622"/>
            </w:tabs>
            <w:rPr>
              <w:rFonts w:eastAsiaTheme="minorEastAsia" w:cstheme="minorBidi"/>
              <w:noProof/>
              <w:sz w:val="24"/>
              <w:szCs w:val="24"/>
              <w:lang w:eastAsia="en-US"/>
            </w:rPr>
          </w:pPr>
          <w:hyperlink w:anchor="_Toc143336317" w:history="1">
            <w:r w:rsidRPr="00F35840">
              <w:rPr>
                <w:rStyle w:val="Hyperlink"/>
                <w:noProof/>
              </w:rPr>
              <w:t>1.9.4.</w:t>
            </w:r>
            <w:r w:rsidRPr="00F35840">
              <w:rPr>
                <w:rStyle w:val="Hyperlink"/>
                <w:rFonts w:ascii="Arial" w:hAnsi="Arial" w:cs="Arial"/>
                <w:noProof/>
                <w:lang w:val="en-US"/>
              </w:rPr>
              <w:t xml:space="preserve"> Human IL-8, IL-33, and IL-18</w:t>
            </w:r>
            <w:r>
              <w:rPr>
                <w:noProof/>
                <w:webHidden/>
              </w:rPr>
              <w:tab/>
            </w:r>
            <w:r>
              <w:rPr>
                <w:noProof/>
                <w:webHidden/>
              </w:rPr>
              <w:fldChar w:fldCharType="begin"/>
            </w:r>
            <w:r>
              <w:rPr>
                <w:noProof/>
                <w:webHidden/>
              </w:rPr>
              <w:instrText xml:space="preserve"> PAGEREF _Toc143336317 \h </w:instrText>
            </w:r>
            <w:r>
              <w:rPr>
                <w:noProof/>
                <w:webHidden/>
              </w:rPr>
            </w:r>
            <w:r>
              <w:rPr>
                <w:noProof/>
                <w:webHidden/>
              </w:rPr>
              <w:fldChar w:fldCharType="separate"/>
            </w:r>
            <w:r>
              <w:rPr>
                <w:noProof/>
                <w:webHidden/>
              </w:rPr>
              <w:t>8</w:t>
            </w:r>
            <w:r>
              <w:rPr>
                <w:noProof/>
                <w:webHidden/>
              </w:rPr>
              <w:fldChar w:fldCharType="end"/>
            </w:r>
          </w:hyperlink>
        </w:p>
        <w:p w14:paraId="1B926606" w14:textId="3194BD1F" w:rsidR="00B61132" w:rsidRDefault="00B61132">
          <w:pPr>
            <w:pStyle w:val="TOC2"/>
            <w:tabs>
              <w:tab w:val="right" w:leader="dot" w:pos="9622"/>
            </w:tabs>
            <w:rPr>
              <w:rFonts w:eastAsiaTheme="minorEastAsia" w:cstheme="minorBidi"/>
              <w:b w:val="0"/>
              <w:bCs w:val="0"/>
              <w:noProof/>
              <w:sz w:val="24"/>
              <w:szCs w:val="24"/>
              <w:lang w:eastAsia="en-US"/>
            </w:rPr>
          </w:pPr>
          <w:hyperlink w:anchor="_Toc143336318" w:history="1">
            <w:r w:rsidRPr="00F35840">
              <w:rPr>
                <w:rStyle w:val="Hyperlink"/>
                <w:noProof/>
              </w:rPr>
              <w:t>1.10.</w:t>
            </w:r>
            <w:r w:rsidRPr="00F35840">
              <w:rPr>
                <w:rStyle w:val="Hyperlink"/>
                <w:rFonts w:ascii="Arial" w:hAnsi="Arial" w:cs="Arial"/>
                <w:noProof/>
              </w:rPr>
              <w:t xml:space="preserve"> Bio-molecular analysis of perfusate samples collected during liver NMP</w:t>
            </w:r>
            <w:r>
              <w:rPr>
                <w:noProof/>
                <w:webHidden/>
              </w:rPr>
              <w:tab/>
            </w:r>
            <w:r>
              <w:rPr>
                <w:noProof/>
                <w:webHidden/>
              </w:rPr>
              <w:fldChar w:fldCharType="begin"/>
            </w:r>
            <w:r>
              <w:rPr>
                <w:noProof/>
                <w:webHidden/>
              </w:rPr>
              <w:instrText xml:space="preserve"> PAGEREF _Toc143336318 \h </w:instrText>
            </w:r>
            <w:r>
              <w:rPr>
                <w:noProof/>
                <w:webHidden/>
              </w:rPr>
            </w:r>
            <w:r>
              <w:rPr>
                <w:noProof/>
                <w:webHidden/>
              </w:rPr>
              <w:fldChar w:fldCharType="separate"/>
            </w:r>
            <w:r>
              <w:rPr>
                <w:noProof/>
                <w:webHidden/>
              </w:rPr>
              <w:t>8</w:t>
            </w:r>
            <w:r>
              <w:rPr>
                <w:noProof/>
                <w:webHidden/>
              </w:rPr>
              <w:fldChar w:fldCharType="end"/>
            </w:r>
          </w:hyperlink>
        </w:p>
        <w:p w14:paraId="5A60A362" w14:textId="18BC147F" w:rsidR="00B61132" w:rsidRDefault="00B61132">
          <w:pPr>
            <w:pStyle w:val="TOC3"/>
            <w:tabs>
              <w:tab w:val="right" w:leader="dot" w:pos="9622"/>
            </w:tabs>
            <w:rPr>
              <w:rFonts w:eastAsiaTheme="minorEastAsia" w:cstheme="minorBidi"/>
              <w:noProof/>
              <w:sz w:val="24"/>
              <w:szCs w:val="24"/>
              <w:lang w:eastAsia="en-US"/>
            </w:rPr>
          </w:pPr>
          <w:hyperlink w:anchor="_Toc143336319" w:history="1">
            <w:r w:rsidRPr="00F35840">
              <w:rPr>
                <w:rStyle w:val="Hyperlink"/>
                <w:noProof/>
              </w:rPr>
              <w:t>1.10.1.</w:t>
            </w:r>
            <w:r w:rsidRPr="00F35840">
              <w:rPr>
                <w:rStyle w:val="Hyperlink"/>
                <w:rFonts w:ascii="Arial" w:hAnsi="Arial" w:cs="Arial"/>
                <w:noProof/>
                <w:lang w:val="en-US"/>
              </w:rPr>
              <w:t xml:space="preserve"> Succinate</w:t>
            </w:r>
            <w:r>
              <w:rPr>
                <w:noProof/>
                <w:webHidden/>
              </w:rPr>
              <w:tab/>
            </w:r>
            <w:r>
              <w:rPr>
                <w:noProof/>
                <w:webHidden/>
              </w:rPr>
              <w:fldChar w:fldCharType="begin"/>
            </w:r>
            <w:r>
              <w:rPr>
                <w:noProof/>
                <w:webHidden/>
              </w:rPr>
              <w:instrText xml:space="preserve"> PAGEREF _Toc143336319 \h </w:instrText>
            </w:r>
            <w:r>
              <w:rPr>
                <w:noProof/>
                <w:webHidden/>
              </w:rPr>
            </w:r>
            <w:r>
              <w:rPr>
                <w:noProof/>
                <w:webHidden/>
              </w:rPr>
              <w:fldChar w:fldCharType="separate"/>
            </w:r>
            <w:r>
              <w:rPr>
                <w:noProof/>
                <w:webHidden/>
              </w:rPr>
              <w:t>9</w:t>
            </w:r>
            <w:r>
              <w:rPr>
                <w:noProof/>
                <w:webHidden/>
              </w:rPr>
              <w:fldChar w:fldCharType="end"/>
            </w:r>
          </w:hyperlink>
        </w:p>
        <w:p w14:paraId="4868D113" w14:textId="336B53E6" w:rsidR="00B61132" w:rsidRDefault="00B61132">
          <w:pPr>
            <w:pStyle w:val="TOC3"/>
            <w:tabs>
              <w:tab w:val="right" w:leader="dot" w:pos="9622"/>
            </w:tabs>
            <w:rPr>
              <w:rFonts w:eastAsiaTheme="minorEastAsia" w:cstheme="minorBidi"/>
              <w:noProof/>
              <w:sz w:val="24"/>
              <w:szCs w:val="24"/>
              <w:lang w:eastAsia="en-US"/>
            </w:rPr>
          </w:pPr>
          <w:hyperlink w:anchor="_Toc143336320" w:history="1">
            <w:r w:rsidRPr="00F35840">
              <w:rPr>
                <w:rStyle w:val="Hyperlink"/>
                <w:noProof/>
              </w:rPr>
              <w:t>1.10.2.</w:t>
            </w:r>
            <w:r w:rsidRPr="00F35840">
              <w:rPr>
                <w:rStyle w:val="Hyperlink"/>
                <w:rFonts w:ascii="Arial" w:hAnsi="Arial" w:cs="Arial"/>
                <w:noProof/>
                <w:lang w:val="en-US"/>
              </w:rPr>
              <w:t xml:space="preserve"> NADH</w:t>
            </w:r>
            <w:r>
              <w:rPr>
                <w:noProof/>
                <w:webHidden/>
              </w:rPr>
              <w:tab/>
            </w:r>
            <w:r>
              <w:rPr>
                <w:noProof/>
                <w:webHidden/>
              </w:rPr>
              <w:fldChar w:fldCharType="begin"/>
            </w:r>
            <w:r>
              <w:rPr>
                <w:noProof/>
                <w:webHidden/>
              </w:rPr>
              <w:instrText xml:space="preserve"> PAGEREF _Toc143336320 \h </w:instrText>
            </w:r>
            <w:r>
              <w:rPr>
                <w:noProof/>
                <w:webHidden/>
              </w:rPr>
            </w:r>
            <w:r>
              <w:rPr>
                <w:noProof/>
                <w:webHidden/>
              </w:rPr>
              <w:fldChar w:fldCharType="separate"/>
            </w:r>
            <w:r>
              <w:rPr>
                <w:noProof/>
                <w:webHidden/>
              </w:rPr>
              <w:t>9</w:t>
            </w:r>
            <w:r>
              <w:rPr>
                <w:noProof/>
                <w:webHidden/>
              </w:rPr>
              <w:fldChar w:fldCharType="end"/>
            </w:r>
          </w:hyperlink>
        </w:p>
        <w:p w14:paraId="7829A402" w14:textId="42EB37BF" w:rsidR="00B61132" w:rsidRDefault="00B61132">
          <w:pPr>
            <w:pStyle w:val="TOC3"/>
            <w:tabs>
              <w:tab w:val="right" w:leader="dot" w:pos="9622"/>
            </w:tabs>
            <w:rPr>
              <w:rFonts w:eastAsiaTheme="minorEastAsia" w:cstheme="minorBidi"/>
              <w:noProof/>
              <w:sz w:val="24"/>
              <w:szCs w:val="24"/>
              <w:lang w:eastAsia="en-US"/>
            </w:rPr>
          </w:pPr>
          <w:hyperlink w:anchor="_Toc143336321" w:history="1">
            <w:r w:rsidRPr="00F35840">
              <w:rPr>
                <w:rStyle w:val="Hyperlink"/>
                <w:rFonts w:ascii="Arial" w:hAnsi="Arial" w:cs="Arial"/>
                <w:noProof/>
                <w:lang w:val="en-US"/>
              </w:rPr>
              <w:t>4.6.2 Molecules relevant to tissue damage, inflammation and resolution</w:t>
            </w:r>
            <w:r>
              <w:rPr>
                <w:noProof/>
                <w:webHidden/>
              </w:rPr>
              <w:tab/>
            </w:r>
            <w:r>
              <w:rPr>
                <w:noProof/>
                <w:webHidden/>
              </w:rPr>
              <w:fldChar w:fldCharType="begin"/>
            </w:r>
            <w:r>
              <w:rPr>
                <w:noProof/>
                <w:webHidden/>
              </w:rPr>
              <w:instrText xml:space="preserve"> PAGEREF _Toc143336321 \h </w:instrText>
            </w:r>
            <w:r>
              <w:rPr>
                <w:noProof/>
                <w:webHidden/>
              </w:rPr>
            </w:r>
            <w:r>
              <w:rPr>
                <w:noProof/>
                <w:webHidden/>
              </w:rPr>
              <w:fldChar w:fldCharType="separate"/>
            </w:r>
            <w:r>
              <w:rPr>
                <w:noProof/>
                <w:webHidden/>
              </w:rPr>
              <w:t>9</w:t>
            </w:r>
            <w:r>
              <w:rPr>
                <w:noProof/>
                <w:webHidden/>
              </w:rPr>
              <w:fldChar w:fldCharType="end"/>
            </w:r>
          </w:hyperlink>
        </w:p>
        <w:p w14:paraId="7085E652" w14:textId="1EF9E21B" w:rsidR="00B61132" w:rsidRDefault="00B61132">
          <w:pPr>
            <w:pStyle w:val="TOC3"/>
            <w:tabs>
              <w:tab w:val="right" w:leader="dot" w:pos="9622"/>
            </w:tabs>
            <w:rPr>
              <w:rFonts w:eastAsiaTheme="minorEastAsia" w:cstheme="minorBidi"/>
              <w:noProof/>
              <w:sz w:val="24"/>
              <w:szCs w:val="24"/>
              <w:lang w:eastAsia="en-US"/>
            </w:rPr>
          </w:pPr>
          <w:hyperlink w:anchor="_Toc143336322" w:history="1">
            <w:r w:rsidRPr="00F35840">
              <w:rPr>
                <w:rStyle w:val="Hyperlink"/>
                <w:noProof/>
              </w:rPr>
              <w:t>1.10.3.</w:t>
            </w:r>
            <w:r w:rsidRPr="00F35840">
              <w:rPr>
                <w:rStyle w:val="Hyperlink"/>
                <w:rFonts w:ascii="Arial" w:hAnsi="Arial" w:cs="Arial"/>
                <w:noProof/>
                <w:lang w:val="en-US"/>
              </w:rPr>
              <w:t xml:space="preserve"> Rat Tissue Inhibitor of Metalloproteinase 1 (TIMP-1)</w:t>
            </w:r>
            <w:r>
              <w:rPr>
                <w:noProof/>
                <w:webHidden/>
              </w:rPr>
              <w:tab/>
            </w:r>
            <w:r>
              <w:rPr>
                <w:noProof/>
                <w:webHidden/>
              </w:rPr>
              <w:fldChar w:fldCharType="begin"/>
            </w:r>
            <w:r>
              <w:rPr>
                <w:noProof/>
                <w:webHidden/>
              </w:rPr>
              <w:instrText xml:space="preserve"> PAGEREF _Toc143336322 \h </w:instrText>
            </w:r>
            <w:r>
              <w:rPr>
                <w:noProof/>
                <w:webHidden/>
              </w:rPr>
            </w:r>
            <w:r>
              <w:rPr>
                <w:noProof/>
                <w:webHidden/>
              </w:rPr>
              <w:fldChar w:fldCharType="separate"/>
            </w:r>
            <w:r>
              <w:rPr>
                <w:noProof/>
                <w:webHidden/>
              </w:rPr>
              <w:t>10</w:t>
            </w:r>
            <w:r>
              <w:rPr>
                <w:noProof/>
                <w:webHidden/>
              </w:rPr>
              <w:fldChar w:fldCharType="end"/>
            </w:r>
          </w:hyperlink>
        </w:p>
        <w:p w14:paraId="5BE1D2E5" w14:textId="29FAA21C" w:rsidR="00B61132" w:rsidRDefault="00B61132">
          <w:pPr>
            <w:pStyle w:val="TOC3"/>
            <w:tabs>
              <w:tab w:val="right" w:leader="dot" w:pos="9622"/>
            </w:tabs>
            <w:rPr>
              <w:rFonts w:eastAsiaTheme="minorEastAsia" w:cstheme="minorBidi"/>
              <w:noProof/>
              <w:sz w:val="24"/>
              <w:szCs w:val="24"/>
              <w:lang w:eastAsia="en-US"/>
            </w:rPr>
          </w:pPr>
          <w:hyperlink w:anchor="_Toc143336323" w:history="1">
            <w:r w:rsidRPr="00F35840">
              <w:rPr>
                <w:rStyle w:val="Hyperlink"/>
                <w:noProof/>
              </w:rPr>
              <w:t>1.10.4.</w:t>
            </w:r>
            <w:r w:rsidRPr="00F35840">
              <w:rPr>
                <w:rStyle w:val="Hyperlink"/>
                <w:rFonts w:ascii="Arial" w:hAnsi="Arial" w:cs="Arial"/>
                <w:noProof/>
                <w:lang w:val="en-US"/>
              </w:rPr>
              <w:t xml:space="preserve"> Rat IL-13, Hepatocyte growth factor (HGF)</w:t>
            </w:r>
            <w:r>
              <w:rPr>
                <w:noProof/>
                <w:webHidden/>
              </w:rPr>
              <w:tab/>
            </w:r>
            <w:r>
              <w:rPr>
                <w:noProof/>
                <w:webHidden/>
              </w:rPr>
              <w:fldChar w:fldCharType="begin"/>
            </w:r>
            <w:r>
              <w:rPr>
                <w:noProof/>
                <w:webHidden/>
              </w:rPr>
              <w:instrText xml:space="preserve"> PAGEREF _Toc143336323 \h </w:instrText>
            </w:r>
            <w:r>
              <w:rPr>
                <w:noProof/>
                <w:webHidden/>
              </w:rPr>
            </w:r>
            <w:r>
              <w:rPr>
                <w:noProof/>
                <w:webHidden/>
              </w:rPr>
              <w:fldChar w:fldCharType="separate"/>
            </w:r>
            <w:r>
              <w:rPr>
                <w:noProof/>
                <w:webHidden/>
              </w:rPr>
              <w:t>10</w:t>
            </w:r>
            <w:r>
              <w:rPr>
                <w:noProof/>
                <w:webHidden/>
              </w:rPr>
              <w:fldChar w:fldCharType="end"/>
            </w:r>
          </w:hyperlink>
        </w:p>
        <w:p w14:paraId="016485D2" w14:textId="3B5C0E57" w:rsidR="00B61132" w:rsidRDefault="00B61132">
          <w:pPr>
            <w:pStyle w:val="TOC2"/>
            <w:tabs>
              <w:tab w:val="right" w:leader="dot" w:pos="9622"/>
            </w:tabs>
            <w:rPr>
              <w:rFonts w:eastAsiaTheme="minorEastAsia" w:cstheme="minorBidi"/>
              <w:b w:val="0"/>
              <w:bCs w:val="0"/>
              <w:noProof/>
              <w:sz w:val="24"/>
              <w:szCs w:val="24"/>
              <w:lang w:eastAsia="en-US"/>
            </w:rPr>
          </w:pPr>
          <w:hyperlink w:anchor="_Toc143336324" w:history="1">
            <w:r w:rsidRPr="00F35840">
              <w:rPr>
                <w:rStyle w:val="Hyperlink"/>
                <w:noProof/>
              </w:rPr>
              <w:t>1.11.</w:t>
            </w:r>
            <w:r w:rsidRPr="00F35840">
              <w:rPr>
                <w:rStyle w:val="Hyperlink"/>
                <w:rFonts w:ascii="Arial" w:hAnsi="Arial" w:cs="Arial"/>
                <w:noProof/>
              </w:rPr>
              <w:t xml:space="preserve"> Evaluations performed on liver biopsies</w:t>
            </w:r>
            <w:r>
              <w:rPr>
                <w:noProof/>
                <w:webHidden/>
              </w:rPr>
              <w:tab/>
            </w:r>
            <w:r>
              <w:rPr>
                <w:noProof/>
                <w:webHidden/>
              </w:rPr>
              <w:fldChar w:fldCharType="begin"/>
            </w:r>
            <w:r>
              <w:rPr>
                <w:noProof/>
                <w:webHidden/>
              </w:rPr>
              <w:instrText xml:space="preserve"> PAGEREF _Toc143336324 \h </w:instrText>
            </w:r>
            <w:r>
              <w:rPr>
                <w:noProof/>
                <w:webHidden/>
              </w:rPr>
            </w:r>
            <w:r>
              <w:rPr>
                <w:noProof/>
                <w:webHidden/>
              </w:rPr>
              <w:fldChar w:fldCharType="separate"/>
            </w:r>
            <w:r>
              <w:rPr>
                <w:noProof/>
                <w:webHidden/>
              </w:rPr>
              <w:t>10</w:t>
            </w:r>
            <w:r>
              <w:rPr>
                <w:noProof/>
                <w:webHidden/>
              </w:rPr>
              <w:fldChar w:fldCharType="end"/>
            </w:r>
          </w:hyperlink>
        </w:p>
        <w:p w14:paraId="086E689D" w14:textId="4E9F377B" w:rsidR="00B61132" w:rsidRDefault="00B61132">
          <w:pPr>
            <w:pStyle w:val="TOC3"/>
            <w:tabs>
              <w:tab w:val="right" w:leader="dot" w:pos="9622"/>
            </w:tabs>
            <w:rPr>
              <w:rFonts w:eastAsiaTheme="minorEastAsia" w:cstheme="minorBidi"/>
              <w:noProof/>
              <w:sz w:val="24"/>
              <w:szCs w:val="24"/>
              <w:lang w:eastAsia="en-US"/>
            </w:rPr>
          </w:pPr>
          <w:hyperlink w:anchor="_Toc143336325" w:history="1">
            <w:r w:rsidRPr="00F35840">
              <w:rPr>
                <w:rStyle w:val="Hyperlink"/>
                <w:noProof/>
              </w:rPr>
              <w:t>1.11.1.</w:t>
            </w:r>
            <w:r w:rsidRPr="00F35840">
              <w:rPr>
                <w:rStyle w:val="Hyperlink"/>
                <w:rFonts w:ascii="Arial" w:hAnsi="Arial" w:cs="Arial"/>
                <w:noProof/>
                <w:lang w:val="en-US"/>
              </w:rPr>
              <w:t xml:space="preserve"> Wet-to-Dry Ratio</w:t>
            </w:r>
            <w:r>
              <w:rPr>
                <w:noProof/>
                <w:webHidden/>
              </w:rPr>
              <w:tab/>
            </w:r>
            <w:r>
              <w:rPr>
                <w:noProof/>
                <w:webHidden/>
              </w:rPr>
              <w:fldChar w:fldCharType="begin"/>
            </w:r>
            <w:r>
              <w:rPr>
                <w:noProof/>
                <w:webHidden/>
              </w:rPr>
              <w:instrText xml:space="preserve"> PAGEREF _Toc143336325 \h </w:instrText>
            </w:r>
            <w:r>
              <w:rPr>
                <w:noProof/>
                <w:webHidden/>
              </w:rPr>
            </w:r>
            <w:r>
              <w:rPr>
                <w:noProof/>
                <w:webHidden/>
              </w:rPr>
              <w:fldChar w:fldCharType="separate"/>
            </w:r>
            <w:r>
              <w:rPr>
                <w:noProof/>
                <w:webHidden/>
              </w:rPr>
              <w:t>10</w:t>
            </w:r>
            <w:r>
              <w:rPr>
                <w:noProof/>
                <w:webHidden/>
              </w:rPr>
              <w:fldChar w:fldCharType="end"/>
            </w:r>
          </w:hyperlink>
        </w:p>
        <w:p w14:paraId="0EAFFFAB" w14:textId="53CB9331" w:rsidR="00B61132" w:rsidRDefault="00B61132">
          <w:pPr>
            <w:pStyle w:val="TOC3"/>
            <w:tabs>
              <w:tab w:val="right" w:leader="dot" w:pos="9622"/>
            </w:tabs>
            <w:rPr>
              <w:rFonts w:eastAsiaTheme="minorEastAsia" w:cstheme="minorBidi"/>
              <w:noProof/>
              <w:sz w:val="24"/>
              <w:szCs w:val="24"/>
              <w:lang w:eastAsia="en-US"/>
            </w:rPr>
          </w:pPr>
          <w:hyperlink w:anchor="_Toc143336326" w:history="1">
            <w:r w:rsidRPr="00F35840">
              <w:rPr>
                <w:rStyle w:val="Hyperlink"/>
                <w:noProof/>
              </w:rPr>
              <w:t>1.11.2.</w:t>
            </w:r>
            <w:r w:rsidRPr="00F35840">
              <w:rPr>
                <w:rStyle w:val="Hyperlink"/>
                <w:rFonts w:ascii="Arial" w:hAnsi="Arial" w:cs="Arial"/>
                <w:noProof/>
                <w:lang w:val="en-US"/>
              </w:rPr>
              <w:t xml:space="preserve"> ATP content Assessment</w:t>
            </w:r>
            <w:r>
              <w:rPr>
                <w:noProof/>
                <w:webHidden/>
              </w:rPr>
              <w:tab/>
            </w:r>
            <w:r>
              <w:rPr>
                <w:noProof/>
                <w:webHidden/>
              </w:rPr>
              <w:fldChar w:fldCharType="begin"/>
            </w:r>
            <w:r>
              <w:rPr>
                <w:noProof/>
                <w:webHidden/>
              </w:rPr>
              <w:instrText xml:space="preserve"> PAGEREF _Toc143336326 \h </w:instrText>
            </w:r>
            <w:r>
              <w:rPr>
                <w:noProof/>
                <w:webHidden/>
              </w:rPr>
            </w:r>
            <w:r>
              <w:rPr>
                <w:noProof/>
                <w:webHidden/>
              </w:rPr>
              <w:fldChar w:fldCharType="separate"/>
            </w:r>
            <w:r>
              <w:rPr>
                <w:noProof/>
                <w:webHidden/>
              </w:rPr>
              <w:t>10</w:t>
            </w:r>
            <w:r>
              <w:rPr>
                <w:noProof/>
                <w:webHidden/>
              </w:rPr>
              <w:fldChar w:fldCharType="end"/>
            </w:r>
          </w:hyperlink>
        </w:p>
        <w:p w14:paraId="10EFFDAE" w14:textId="0D52F20D" w:rsidR="00B61132" w:rsidRDefault="00B61132">
          <w:pPr>
            <w:pStyle w:val="TOC3"/>
            <w:tabs>
              <w:tab w:val="right" w:leader="dot" w:pos="9622"/>
            </w:tabs>
            <w:rPr>
              <w:rFonts w:eastAsiaTheme="minorEastAsia" w:cstheme="minorBidi"/>
              <w:noProof/>
              <w:sz w:val="24"/>
              <w:szCs w:val="24"/>
              <w:lang w:eastAsia="en-US"/>
            </w:rPr>
          </w:pPr>
          <w:hyperlink w:anchor="_Toc143336327" w:history="1">
            <w:r w:rsidRPr="00F35840">
              <w:rPr>
                <w:rStyle w:val="Hyperlink"/>
                <w:noProof/>
              </w:rPr>
              <w:t>1.11.3.</w:t>
            </w:r>
            <w:r w:rsidRPr="00F35840">
              <w:rPr>
                <w:rStyle w:val="Hyperlink"/>
                <w:rFonts w:ascii="Arial" w:hAnsi="Arial" w:cs="Arial"/>
                <w:noProof/>
                <w:lang w:val="en-US"/>
              </w:rPr>
              <w:t xml:space="preserve"> Tissue NAD+/NADH content measurement</w:t>
            </w:r>
            <w:r>
              <w:rPr>
                <w:noProof/>
                <w:webHidden/>
              </w:rPr>
              <w:tab/>
            </w:r>
            <w:r>
              <w:rPr>
                <w:noProof/>
                <w:webHidden/>
              </w:rPr>
              <w:fldChar w:fldCharType="begin"/>
            </w:r>
            <w:r>
              <w:rPr>
                <w:noProof/>
                <w:webHidden/>
              </w:rPr>
              <w:instrText xml:space="preserve"> PAGEREF _Toc143336327 \h </w:instrText>
            </w:r>
            <w:r>
              <w:rPr>
                <w:noProof/>
                <w:webHidden/>
              </w:rPr>
            </w:r>
            <w:r>
              <w:rPr>
                <w:noProof/>
                <w:webHidden/>
              </w:rPr>
              <w:fldChar w:fldCharType="separate"/>
            </w:r>
            <w:r>
              <w:rPr>
                <w:noProof/>
                <w:webHidden/>
              </w:rPr>
              <w:t>11</w:t>
            </w:r>
            <w:r>
              <w:rPr>
                <w:noProof/>
                <w:webHidden/>
              </w:rPr>
              <w:fldChar w:fldCharType="end"/>
            </w:r>
          </w:hyperlink>
        </w:p>
        <w:p w14:paraId="61E3C108" w14:textId="4873CE65" w:rsidR="00B61132" w:rsidRDefault="00B61132">
          <w:pPr>
            <w:pStyle w:val="TOC1"/>
            <w:tabs>
              <w:tab w:val="right" w:leader="dot" w:pos="9622"/>
            </w:tabs>
            <w:rPr>
              <w:rFonts w:eastAsiaTheme="minorEastAsia" w:cstheme="minorBidi"/>
              <w:b w:val="0"/>
              <w:bCs w:val="0"/>
              <w:i w:val="0"/>
              <w:iCs w:val="0"/>
              <w:noProof/>
              <w:lang w:eastAsia="en-US"/>
            </w:rPr>
          </w:pPr>
          <w:hyperlink w:anchor="_Toc143336328" w:history="1">
            <w:r w:rsidRPr="00F35840">
              <w:rPr>
                <w:rStyle w:val="Hyperlink"/>
                <w:noProof/>
              </w:rPr>
              <w:t>2.</w:t>
            </w:r>
            <w:r w:rsidRPr="00F35840">
              <w:rPr>
                <w:rStyle w:val="Hyperlink"/>
                <w:rFonts w:ascii="Arial" w:hAnsi="Arial" w:cs="Arial"/>
                <w:noProof/>
              </w:rPr>
              <w:t xml:space="preserve"> Supplementary results</w:t>
            </w:r>
            <w:r>
              <w:rPr>
                <w:noProof/>
                <w:webHidden/>
              </w:rPr>
              <w:tab/>
            </w:r>
            <w:r>
              <w:rPr>
                <w:noProof/>
                <w:webHidden/>
              </w:rPr>
              <w:fldChar w:fldCharType="begin"/>
            </w:r>
            <w:r>
              <w:rPr>
                <w:noProof/>
                <w:webHidden/>
              </w:rPr>
              <w:instrText xml:space="preserve"> PAGEREF _Toc143336328 \h </w:instrText>
            </w:r>
            <w:r>
              <w:rPr>
                <w:noProof/>
                <w:webHidden/>
              </w:rPr>
            </w:r>
            <w:r>
              <w:rPr>
                <w:noProof/>
                <w:webHidden/>
              </w:rPr>
              <w:fldChar w:fldCharType="separate"/>
            </w:r>
            <w:r>
              <w:rPr>
                <w:noProof/>
                <w:webHidden/>
              </w:rPr>
              <w:t>12</w:t>
            </w:r>
            <w:r>
              <w:rPr>
                <w:noProof/>
                <w:webHidden/>
              </w:rPr>
              <w:fldChar w:fldCharType="end"/>
            </w:r>
          </w:hyperlink>
        </w:p>
        <w:p w14:paraId="797136AB" w14:textId="2991CECF" w:rsidR="00B61132" w:rsidRDefault="00B61132">
          <w:pPr>
            <w:pStyle w:val="TOC2"/>
            <w:tabs>
              <w:tab w:val="right" w:leader="dot" w:pos="9622"/>
            </w:tabs>
            <w:rPr>
              <w:rFonts w:eastAsiaTheme="minorEastAsia" w:cstheme="minorBidi"/>
              <w:b w:val="0"/>
              <w:bCs w:val="0"/>
              <w:noProof/>
              <w:sz w:val="24"/>
              <w:szCs w:val="24"/>
              <w:lang w:eastAsia="en-US"/>
            </w:rPr>
          </w:pPr>
          <w:hyperlink w:anchor="_Toc143336329" w:history="1">
            <w:r w:rsidRPr="00F35840">
              <w:rPr>
                <w:rStyle w:val="Hyperlink"/>
                <w:noProof/>
              </w:rPr>
              <w:t>2.1.</w:t>
            </w:r>
            <w:r w:rsidRPr="00F35840">
              <w:rPr>
                <w:rStyle w:val="Hyperlink"/>
                <w:rFonts w:ascii="Arial" w:hAnsi="Arial" w:cs="Arial"/>
                <w:noProof/>
              </w:rPr>
              <w:t xml:space="preserve"> Preliminary characterization of MSCs isolated from adipose tissue</w:t>
            </w:r>
            <w:r>
              <w:rPr>
                <w:noProof/>
                <w:webHidden/>
              </w:rPr>
              <w:tab/>
            </w:r>
            <w:r>
              <w:rPr>
                <w:noProof/>
                <w:webHidden/>
              </w:rPr>
              <w:fldChar w:fldCharType="begin"/>
            </w:r>
            <w:r>
              <w:rPr>
                <w:noProof/>
                <w:webHidden/>
              </w:rPr>
              <w:instrText xml:space="preserve"> PAGEREF _Toc143336329 \h </w:instrText>
            </w:r>
            <w:r>
              <w:rPr>
                <w:noProof/>
                <w:webHidden/>
              </w:rPr>
            </w:r>
            <w:r>
              <w:rPr>
                <w:noProof/>
                <w:webHidden/>
              </w:rPr>
              <w:fldChar w:fldCharType="separate"/>
            </w:r>
            <w:r>
              <w:rPr>
                <w:noProof/>
                <w:webHidden/>
              </w:rPr>
              <w:t>12</w:t>
            </w:r>
            <w:r>
              <w:rPr>
                <w:noProof/>
                <w:webHidden/>
              </w:rPr>
              <w:fldChar w:fldCharType="end"/>
            </w:r>
          </w:hyperlink>
        </w:p>
        <w:p w14:paraId="074B2FB7" w14:textId="36C25EB7" w:rsidR="00B61132" w:rsidRDefault="00B61132">
          <w:pPr>
            <w:pStyle w:val="TOC2"/>
            <w:tabs>
              <w:tab w:val="right" w:leader="dot" w:pos="9622"/>
            </w:tabs>
            <w:rPr>
              <w:rFonts w:eastAsiaTheme="minorEastAsia" w:cstheme="minorBidi"/>
              <w:b w:val="0"/>
              <w:bCs w:val="0"/>
              <w:noProof/>
              <w:sz w:val="24"/>
              <w:szCs w:val="24"/>
              <w:lang w:eastAsia="en-US"/>
            </w:rPr>
          </w:pPr>
          <w:hyperlink w:anchor="_Toc143336330" w:history="1">
            <w:r w:rsidRPr="00F35840">
              <w:rPr>
                <w:rStyle w:val="Hyperlink"/>
                <w:noProof/>
              </w:rPr>
              <w:t>2.2.</w:t>
            </w:r>
            <w:r w:rsidRPr="00F35840">
              <w:rPr>
                <w:rStyle w:val="Hyperlink"/>
                <w:rFonts w:ascii="Arial" w:hAnsi="Arial" w:cs="Arial"/>
                <w:noProof/>
              </w:rPr>
              <w:t xml:space="preserve"> Transmembrane pressure during liverless NMP</w:t>
            </w:r>
            <w:r>
              <w:rPr>
                <w:noProof/>
                <w:webHidden/>
              </w:rPr>
              <w:tab/>
            </w:r>
            <w:r>
              <w:rPr>
                <w:noProof/>
                <w:webHidden/>
              </w:rPr>
              <w:fldChar w:fldCharType="begin"/>
            </w:r>
            <w:r>
              <w:rPr>
                <w:noProof/>
                <w:webHidden/>
              </w:rPr>
              <w:instrText xml:space="preserve"> PAGEREF _Toc143336330 \h </w:instrText>
            </w:r>
            <w:r>
              <w:rPr>
                <w:noProof/>
                <w:webHidden/>
              </w:rPr>
            </w:r>
            <w:r>
              <w:rPr>
                <w:noProof/>
                <w:webHidden/>
              </w:rPr>
              <w:fldChar w:fldCharType="separate"/>
            </w:r>
            <w:r>
              <w:rPr>
                <w:noProof/>
                <w:webHidden/>
              </w:rPr>
              <w:t>12</w:t>
            </w:r>
            <w:r>
              <w:rPr>
                <w:noProof/>
                <w:webHidden/>
              </w:rPr>
              <w:fldChar w:fldCharType="end"/>
            </w:r>
          </w:hyperlink>
        </w:p>
        <w:p w14:paraId="6A72410A" w14:textId="3D92F8B7" w:rsidR="00B61132" w:rsidRDefault="00B61132">
          <w:pPr>
            <w:pStyle w:val="TOC2"/>
            <w:tabs>
              <w:tab w:val="right" w:leader="dot" w:pos="9622"/>
            </w:tabs>
            <w:rPr>
              <w:rFonts w:eastAsiaTheme="minorEastAsia" w:cstheme="minorBidi"/>
              <w:b w:val="0"/>
              <w:bCs w:val="0"/>
              <w:noProof/>
              <w:sz w:val="24"/>
              <w:szCs w:val="24"/>
              <w:lang w:eastAsia="en-US"/>
            </w:rPr>
          </w:pPr>
          <w:hyperlink w:anchor="_Toc143336331" w:history="1">
            <w:r w:rsidRPr="00F35840">
              <w:rPr>
                <w:rStyle w:val="Hyperlink"/>
                <w:noProof/>
              </w:rPr>
              <w:t>2.3.</w:t>
            </w:r>
            <w:r w:rsidRPr="00F35840">
              <w:rPr>
                <w:rStyle w:val="Hyperlink"/>
                <w:rFonts w:ascii="Arial" w:hAnsi="Arial" w:cs="Arial"/>
                <w:noProof/>
              </w:rPr>
              <w:t xml:space="preserve"> Gas analysis during liverless NMP</w:t>
            </w:r>
            <w:r>
              <w:rPr>
                <w:noProof/>
                <w:webHidden/>
              </w:rPr>
              <w:tab/>
            </w:r>
            <w:r>
              <w:rPr>
                <w:noProof/>
                <w:webHidden/>
              </w:rPr>
              <w:fldChar w:fldCharType="begin"/>
            </w:r>
            <w:r>
              <w:rPr>
                <w:noProof/>
                <w:webHidden/>
              </w:rPr>
              <w:instrText xml:space="preserve"> PAGEREF _Toc143336331 \h </w:instrText>
            </w:r>
            <w:r>
              <w:rPr>
                <w:noProof/>
                <w:webHidden/>
              </w:rPr>
            </w:r>
            <w:r>
              <w:rPr>
                <w:noProof/>
                <w:webHidden/>
              </w:rPr>
              <w:fldChar w:fldCharType="separate"/>
            </w:r>
            <w:r>
              <w:rPr>
                <w:noProof/>
                <w:webHidden/>
              </w:rPr>
              <w:t>12</w:t>
            </w:r>
            <w:r>
              <w:rPr>
                <w:noProof/>
                <w:webHidden/>
              </w:rPr>
              <w:fldChar w:fldCharType="end"/>
            </w:r>
          </w:hyperlink>
        </w:p>
        <w:p w14:paraId="3C361A5D" w14:textId="5843DEFA" w:rsidR="00B61132" w:rsidRDefault="00B61132">
          <w:pPr>
            <w:pStyle w:val="TOC2"/>
            <w:tabs>
              <w:tab w:val="right" w:leader="dot" w:pos="9622"/>
            </w:tabs>
            <w:rPr>
              <w:rFonts w:eastAsiaTheme="minorEastAsia" w:cstheme="minorBidi"/>
              <w:b w:val="0"/>
              <w:bCs w:val="0"/>
              <w:noProof/>
              <w:sz w:val="24"/>
              <w:szCs w:val="24"/>
              <w:lang w:eastAsia="en-US"/>
            </w:rPr>
          </w:pPr>
          <w:hyperlink w:anchor="_Toc143336332" w:history="1">
            <w:r w:rsidRPr="00F35840">
              <w:rPr>
                <w:rStyle w:val="Hyperlink"/>
                <w:noProof/>
              </w:rPr>
              <w:t>2.4.</w:t>
            </w:r>
            <w:r w:rsidRPr="00F35840">
              <w:rPr>
                <w:rStyle w:val="Hyperlink"/>
                <w:rFonts w:ascii="Arial" w:hAnsi="Arial" w:cs="Arial"/>
                <w:noProof/>
              </w:rPr>
              <w:t xml:space="preserve"> Hemodynamics parameters during liver NMP</w:t>
            </w:r>
            <w:r>
              <w:rPr>
                <w:noProof/>
                <w:webHidden/>
              </w:rPr>
              <w:tab/>
            </w:r>
            <w:r>
              <w:rPr>
                <w:noProof/>
                <w:webHidden/>
              </w:rPr>
              <w:fldChar w:fldCharType="begin"/>
            </w:r>
            <w:r>
              <w:rPr>
                <w:noProof/>
                <w:webHidden/>
              </w:rPr>
              <w:instrText xml:space="preserve"> PAGEREF _Toc143336332 \h </w:instrText>
            </w:r>
            <w:r>
              <w:rPr>
                <w:noProof/>
                <w:webHidden/>
              </w:rPr>
            </w:r>
            <w:r>
              <w:rPr>
                <w:noProof/>
                <w:webHidden/>
              </w:rPr>
              <w:fldChar w:fldCharType="separate"/>
            </w:r>
            <w:r>
              <w:rPr>
                <w:noProof/>
                <w:webHidden/>
              </w:rPr>
              <w:t>12</w:t>
            </w:r>
            <w:r>
              <w:rPr>
                <w:noProof/>
                <w:webHidden/>
              </w:rPr>
              <w:fldChar w:fldCharType="end"/>
            </w:r>
          </w:hyperlink>
        </w:p>
        <w:p w14:paraId="029E33B0" w14:textId="589EDB22" w:rsidR="00B61132" w:rsidRDefault="00B61132">
          <w:pPr>
            <w:pStyle w:val="TOC2"/>
            <w:tabs>
              <w:tab w:val="right" w:leader="dot" w:pos="9622"/>
            </w:tabs>
            <w:rPr>
              <w:rFonts w:eastAsiaTheme="minorEastAsia" w:cstheme="minorBidi"/>
              <w:b w:val="0"/>
              <w:bCs w:val="0"/>
              <w:noProof/>
              <w:sz w:val="24"/>
              <w:szCs w:val="24"/>
              <w:lang w:eastAsia="en-US"/>
            </w:rPr>
          </w:pPr>
          <w:hyperlink w:anchor="_Toc143336333" w:history="1">
            <w:r w:rsidRPr="00F35840">
              <w:rPr>
                <w:rStyle w:val="Hyperlink"/>
                <w:noProof/>
              </w:rPr>
              <w:t>2.5.</w:t>
            </w:r>
            <w:r w:rsidRPr="00F35840">
              <w:rPr>
                <w:rStyle w:val="Hyperlink"/>
                <w:rFonts w:ascii="Arial" w:hAnsi="Arial" w:cs="Arial"/>
                <w:noProof/>
              </w:rPr>
              <w:t xml:space="preserve"> Gas analysis of perfusate samples collected during liver NMP</w:t>
            </w:r>
            <w:r>
              <w:rPr>
                <w:noProof/>
                <w:webHidden/>
              </w:rPr>
              <w:tab/>
            </w:r>
            <w:r>
              <w:rPr>
                <w:noProof/>
                <w:webHidden/>
              </w:rPr>
              <w:fldChar w:fldCharType="begin"/>
            </w:r>
            <w:r>
              <w:rPr>
                <w:noProof/>
                <w:webHidden/>
              </w:rPr>
              <w:instrText xml:space="preserve"> PAGEREF _Toc143336333 \h </w:instrText>
            </w:r>
            <w:r>
              <w:rPr>
                <w:noProof/>
                <w:webHidden/>
              </w:rPr>
            </w:r>
            <w:r>
              <w:rPr>
                <w:noProof/>
                <w:webHidden/>
              </w:rPr>
              <w:fldChar w:fldCharType="separate"/>
            </w:r>
            <w:r>
              <w:rPr>
                <w:noProof/>
                <w:webHidden/>
              </w:rPr>
              <w:t>12</w:t>
            </w:r>
            <w:r>
              <w:rPr>
                <w:noProof/>
                <w:webHidden/>
              </w:rPr>
              <w:fldChar w:fldCharType="end"/>
            </w:r>
          </w:hyperlink>
        </w:p>
        <w:p w14:paraId="0A318882" w14:textId="5452065D" w:rsidR="00B61132" w:rsidRDefault="00B61132">
          <w:pPr>
            <w:pStyle w:val="TOC2"/>
            <w:tabs>
              <w:tab w:val="right" w:leader="dot" w:pos="9622"/>
            </w:tabs>
            <w:rPr>
              <w:rFonts w:eastAsiaTheme="minorEastAsia" w:cstheme="minorBidi"/>
              <w:b w:val="0"/>
              <w:bCs w:val="0"/>
              <w:noProof/>
              <w:sz w:val="24"/>
              <w:szCs w:val="24"/>
              <w:lang w:eastAsia="en-US"/>
            </w:rPr>
          </w:pPr>
          <w:hyperlink w:anchor="_Toc143336334" w:history="1">
            <w:r w:rsidRPr="00F35840">
              <w:rPr>
                <w:rStyle w:val="Hyperlink"/>
                <w:noProof/>
              </w:rPr>
              <w:t>2.6.</w:t>
            </w:r>
            <w:r w:rsidRPr="00F35840">
              <w:rPr>
                <w:rStyle w:val="Hyperlink"/>
                <w:rFonts w:ascii="Arial" w:hAnsi="Arial" w:cs="Arial"/>
                <w:noProof/>
              </w:rPr>
              <w:t xml:space="preserve"> Analysis of the bile produced during liver NMP</w:t>
            </w:r>
            <w:r>
              <w:rPr>
                <w:noProof/>
                <w:webHidden/>
              </w:rPr>
              <w:tab/>
            </w:r>
            <w:r>
              <w:rPr>
                <w:noProof/>
                <w:webHidden/>
              </w:rPr>
              <w:fldChar w:fldCharType="begin"/>
            </w:r>
            <w:r>
              <w:rPr>
                <w:noProof/>
                <w:webHidden/>
              </w:rPr>
              <w:instrText xml:space="preserve"> PAGEREF _Toc143336334 \h </w:instrText>
            </w:r>
            <w:r>
              <w:rPr>
                <w:noProof/>
                <w:webHidden/>
              </w:rPr>
            </w:r>
            <w:r>
              <w:rPr>
                <w:noProof/>
                <w:webHidden/>
              </w:rPr>
              <w:fldChar w:fldCharType="separate"/>
            </w:r>
            <w:r>
              <w:rPr>
                <w:noProof/>
                <w:webHidden/>
              </w:rPr>
              <w:t>13</w:t>
            </w:r>
            <w:r>
              <w:rPr>
                <w:noProof/>
                <w:webHidden/>
              </w:rPr>
              <w:fldChar w:fldCharType="end"/>
            </w:r>
          </w:hyperlink>
        </w:p>
        <w:p w14:paraId="294EA518" w14:textId="551815A3" w:rsidR="00B61132" w:rsidRDefault="00B61132">
          <w:pPr>
            <w:pStyle w:val="TOC2"/>
            <w:tabs>
              <w:tab w:val="right" w:leader="dot" w:pos="9622"/>
            </w:tabs>
            <w:rPr>
              <w:rFonts w:eastAsiaTheme="minorEastAsia" w:cstheme="minorBidi"/>
              <w:b w:val="0"/>
              <w:bCs w:val="0"/>
              <w:noProof/>
              <w:sz w:val="24"/>
              <w:szCs w:val="24"/>
              <w:lang w:eastAsia="en-US"/>
            </w:rPr>
          </w:pPr>
          <w:hyperlink w:anchor="_Toc143336335" w:history="1">
            <w:r w:rsidRPr="00F35840">
              <w:rPr>
                <w:rStyle w:val="Hyperlink"/>
                <w:noProof/>
              </w:rPr>
              <w:t>2.7.</w:t>
            </w:r>
            <w:r w:rsidRPr="00F35840">
              <w:rPr>
                <w:rStyle w:val="Hyperlink"/>
                <w:rFonts w:ascii="Arial" w:hAnsi="Arial" w:cs="Arial"/>
                <w:noProof/>
              </w:rPr>
              <w:t xml:space="preserve"> NAD+/NADH evaluation</w:t>
            </w:r>
            <w:r>
              <w:rPr>
                <w:noProof/>
                <w:webHidden/>
              </w:rPr>
              <w:tab/>
            </w:r>
            <w:r>
              <w:rPr>
                <w:noProof/>
                <w:webHidden/>
              </w:rPr>
              <w:fldChar w:fldCharType="begin"/>
            </w:r>
            <w:r>
              <w:rPr>
                <w:noProof/>
                <w:webHidden/>
              </w:rPr>
              <w:instrText xml:space="preserve"> PAGEREF _Toc143336335 \h </w:instrText>
            </w:r>
            <w:r>
              <w:rPr>
                <w:noProof/>
                <w:webHidden/>
              </w:rPr>
            </w:r>
            <w:r>
              <w:rPr>
                <w:noProof/>
                <w:webHidden/>
              </w:rPr>
              <w:fldChar w:fldCharType="separate"/>
            </w:r>
            <w:r>
              <w:rPr>
                <w:noProof/>
                <w:webHidden/>
              </w:rPr>
              <w:t>13</w:t>
            </w:r>
            <w:r>
              <w:rPr>
                <w:noProof/>
                <w:webHidden/>
              </w:rPr>
              <w:fldChar w:fldCharType="end"/>
            </w:r>
          </w:hyperlink>
        </w:p>
        <w:p w14:paraId="4920473A" w14:textId="5BF98603" w:rsidR="00B61132" w:rsidRDefault="00B61132">
          <w:pPr>
            <w:pStyle w:val="TOC2"/>
            <w:tabs>
              <w:tab w:val="right" w:leader="dot" w:pos="9622"/>
            </w:tabs>
            <w:rPr>
              <w:rFonts w:eastAsiaTheme="minorEastAsia" w:cstheme="minorBidi"/>
              <w:b w:val="0"/>
              <w:bCs w:val="0"/>
              <w:noProof/>
              <w:sz w:val="24"/>
              <w:szCs w:val="24"/>
              <w:lang w:eastAsia="en-US"/>
            </w:rPr>
          </w:pPr>
          <w:hyperlink w:anchor="_Toc143336336" w:history="1">
            <w:r w:rsidRPr="00F35840">
              <w:rPr>
                <w:rStyle w:val="Hyperlink"/>
                <w:noProof/>
              </w:rPr>
              <w:t>2.8.</w:t>
            </w:r>
            <w:r w:rsidRPr="00F35840">
              <w:rPr>
                <w:rStyle w:val="Hyperlink"/>
                <w:rFonts w:ascii="Arial" w:hAnsi="Arial" w:cs="Arial"/>
                <w:noProof/>
              </w:rPr>
              <w:t xml:space="preserve"> Characterization of the MSCs harvested from the bioreactors after liver NMP</w:t>
            </w:r>
            <w:r>
              <w:rPr>
                <w:noProof/>
                <w:webHidden/>
              </w:rPr>
              <w:tab/>
            </w:r>
            <w:r>
              <w:rPr>
                <w:noProof/>
                <w:webHidden/>
              </w:rPr>
              <w:fldChar w:fldCharType="begin"/>
            </w:r>
            <w:r>
              <w:rPr>
                <w:noProof/>
                <w:webHidden/>
              </w:rPr>
              <w:instrText xml:space="preserve"> PAGEREF _Toc143336336 \h </w:instrText>
            </w:r>
            <w:r>
              <w:rPr>
                <w:noProof/>
                <w:webHidden/>
              </w:rPr>
            </w:r>
            <w:r>
              <w:rPr>
                <w:noProof/>
                <w:webHidden/>
              </w:rPr>
              <w:fldChar w:fldCharType="separate"/>
            </w:r>
            <w:r>
              <w:rPr>
                <w:noProof/>
                <w:webHidden/>
              </w:rPr>
              <w:t>13</w:t>
            </w:r>
            <w:r>
              <w:rPr>
                <w:noProof/>
                <w:webHidden/>
              </w:rPr>
              <w:fldChar w:fldCharType="end"/>
            </w:r>
          </w:hyperlink>
        </w:p>
        <w:p w14:paraId="76594B87" w14:textId="10A51ADC" w:rsidR="00B61132" w:rsidRDefault="00B61132">
          <w:pPr>
            <w:pStyle w:val="TOC1"/>
            <w:tabs>
              <w:tab w:val="right" w:leader="dot" w:pos="9622"/>
            </w:tabs>
            <w:rPr>
              <w:rFonts w:eastAsiaTheme="minorEastAsia" w:cstheme="minorBidi"/>
              <w:b w:val="0"/>
              <w:bCs w:val="0"/>
              <w:i w:val="0"/>
              <w:iCs w:val="0"/>
              <w:noProof/>
              <w:lang w:eastAsia="en-US"/>
            </w:rPr>
          </w:pPr>
          <w:hyperlink w:anchor="_Toc143336337" w:history="1">
            <w:r w:rsidRPr="00F35840">
              <w:rPr>
                <w:rStyle w:val="Hyperlink"/>
                <w:noProof/>
              </w:rPr>
              <w:t>3.</w:t>
            </w:r>
            <w:r w:rsidRPr="00F35840">
              <w:rPr>
                <w:rStyle w:val="Hyperlink"/>
                <w:rFonts w:ascii="Arial" w:hAnsi="Arial" w:cs="Arial"/>
                <w:noProof/>
              </w:rPr>
              <w:t xml:space="preserve"> Supplementary Tables</w:t>
            </w:r>
            <w:r>
              <w:rPr>
                <w:noProof/>
                <w:webHidden/>
              </w:rPr>
              <w:tab/>
            </w:r>
            <w:r>
              <w:rPr>
                <w:noProof/>
                <w:webHidden/>
              </w:rPr>
              <w:fldChar w:fldCharType="begin"/>
            </w:r>
            <w:r>
              <w:rPr>
                <w:noProof/>
                <w:webHidden/>
              </w:rPr>
              <w:instrText xml:space="preserve"> PAGEREF _Toc143336337 \h </w:instrText>
            </w:r>
            <w:r>
              <w:rPr>
                <w:noProof/>
                <w:webHidden/>
              </w:rPr>
            </w:r>
            <w:r>
              <w:rPr>
                <w:noProof/>
                <w:webHidden/>
              </w:rPr>
              <w:fldChar w:fldCharType="separate"/>
            </w:r>
            <w:r>
              <w:rPr>
                <w:noProof/>
                <w:webHidden/>
              </w:rPr>
              <w:t>14</w:t>
            </w:r>
            <w:r>
              <w:rPr>
                <w:noProof/>
                <w:webHidden/>
              </w:rPr>
              <w:fldChar w:fldCharType="end"/>
            </w:r>
          </w:hyperlink>
        </w:p>
        <w:p w14:paraId="5AB37F44" w14:textId="3DD6CB22" w:rsidR="00B61132" w:rsidRDefault="00B61132">
          <w:pPr>
            <w:pStyle w:val="TOC2"/>
            <w:tabs>
              <w:tab w:val="right" w:leader="dot" w:pos="9622"/>
            </w:tabs>
            <w:rPr>
              <w:rFonts w:eastAsiaTheme="minorEastAsia" w:cstheme="minorBidi"/>
              <w:b w:val="0"/>
              <w:bCs w:val="0"/>
              <w:noProof/>
              <w:sz w:val="24"/>
              <w:szCs w:val="24"/>
              <w:lang w:eastAsia="en-US"/>
            </w:rPr>
          </w:pPr>
          <w:hyperlink w:anchor="_Toc143336338" w:history="1">
            <w:r w:rsidRPr="00F35840">
              <w:rPr>
                <w:rStyle w:val="Hyperlink"/>
                <w:rFonts w:ascii="Arial" w:hAnsi="Arial" w:cs="Arial"/>
                <w:noProof/>
              </w:rPr>
              <w:t>Supplementary Table 1. Gas analysis of bioreactor supernatants</w:t>
            </w:r>
            <w:r>
              <w:rPr>
                <w:noProof/>
                <w:webHidden/>
              </w:rPr>
              <w:tab/>
            </w:r>
            <w:r>
              <w:rPr>
                <w:noProof/>
                <w:webHidden/>
              </w:rPr>
              <w:fldChar w:fldCharType="begin"/>
            </w:r>
            <w:r>
              <w:rPr>
                <w:noProof/>
                <w:webHidden/>
              </w:rPr>
              <w:instrText xml:space="preserve"> PAGEREF _Toc143336338 \h </w:instrText>
            </w:r>
            <w:r>
              <w:rPr>
                <w:noProof/>
                <w:webHidden/>
              </w:rPr>
            </w:r>
            <w:r>
              <w:rPr>
                <w:noProof/>
                <w:webHidden/>
              </w:rPr>
              <w:fldChar w:fldCharType="separate"/>
            </w:r>
            <w:r>
              <w:rPr>
                <w:noProof/>
                <w:webHidden/>
              </w:rPr>
              <w:t>14</w:t>
            </w:r>
            <w:r>
              <w:rPr>
                <w:noProof/>
                <w:webHidden/>
              </w:rPr>
              <w:fldChar w:fldCharType="end"/>
            </w:r>
          </w:hyperlink>
        </w:p>
        <w:p w14:paraId="33262C0B" w14:textId="54E1EFF6" w:rsidR="00B61132" w:rsidRDefault="00B61132">
          <w:pPr>
            <w:pStyle w:val="TOC2"/>
            <w:tabs>
              <w:tab w:val="right" w:leader="dot" w:pos="9622"/>
            </w:tabs>
            <w:rPr>
              <w:rFonts w:eastAsiaTheme="minorEastAsia" w:cstheme="minorBidi"/>
              <w:b w:val="0"/>
              <w:bCs w:val="0"/>
              <w:noProof/>
              <w:sz w:val="24"/>
              <w:szCs w:val="24"/>
              <w:lang w:eastAsia="en-US"/>
            </w:rPr>
          </w:pPr>
          <w:hyperlink w:anchor="_Toc143336339" w:history="1">
            <w:r w:rsidRPr="00F35840">
              <w:rPr>
                <w:rStyle w:val="Hyperlink"/>
                <w:rFonts w:ascii="Arial" w:hAnsi="Arial" w:cs="Arial"/>
                <w:noProof/>
              </w:rPr>
              <w:t>Supplementary Table 2. Experimental design</w:t>
            </w:r>
            <w:r>
              <w:rPr>
                <w:noProof/>
                <w:webHidden/>
              </w:rPr>
              <w:tab/>
            </w:r>
            <w:r>
              <w:rPr>
                <w:noProof/>
                <w:webHidden/>
              </w:rPr>
              <w:fldChar w:fldCharType="begin"/>
            </w:r>
            <w:r>
              <w:rPr>
                <w:noProof/>
                <w:webHidden/>
              </w:rPr>
              <w:instrText xml:space="preserve"> PAGEREF _Toc143336339 \h </w:instrText>
            </w:r>
            <w:r>
              <w:rPr>
                <w:noProof/>
                <w:webHidden/>
              </w:rPr>
            </w:r>
            <w:r>
              <w:rPr>
                <w:noProof/>
                <w:webHidden/>
              </w:rPr>
              <w:fldChar w:fldCharType="separate"/>
            </w:r>
            <w:r>
              <w:rPr>
                <w:noProof/>
                <w:webHidden/>
              </w:rPr>
              <w:t>15</w:t>
            </w:r>
            <w:r>
              <w:rPr>
                <w:noProof/>
                <w:webHidden/>
              </w:rPr>
              <w:fldChar w:fldCharType="end"/>
            </w:r>
          </w:hyperlink>
        </w:p>
        <w:p w14:paraId="5A7481C1" w14:textId="2885D4E4" w:rsidR="00B61132" w:rsidRDefault="00B61132">
          <w:pPr>
            <w:pStyle w:val="TOC2"/>
            <w:tabs>
              <w:tab w:val="right" w:leader="dot" w:pos="9622"/>
            </w:tabs>
            <w:rPr>
              <w:rFonts w:eastAsiaTheme="minorEastAsia" w:cstheme="minorBidi"/>
              <w:b w:val="0"/>
              <w:bCs w:val="0"/>
              <w:noProof/>
              <w:sz w:val="24"/>
              <w:szCs w:val="24"/>
              <w:lang w:eastAsia="en-US"/>
            </w:rPr>
          </w:pPr>
          <w:hyperlink w:anchor="_Toc143336340" w:history="1">
            <w:r w:rsidRPr="00F35840">
              <w:rPr>
                <w:rStyle w:val="Hyperlink"/>
                <w:rFonts w:ascii="Arial" w:hAnsi="Arial" w:cs="Arial"/>
                <w:noProof/>
              </w:rPr>
              <w:t>Supplementary Table 3. Timings of sample collection during liver NMP</w:t>
            </w:r>
            <w:r>
              <w:rPr>
                <w:noProof/>
                <w:webHidden/>
              </w:rPr>
              <w:tab/>
            </w:r>
            <w:r>
              <w:rPr>
                <w:noProof/>
                <w:webHidden/>
              </w:rPr>
              <w:fldChar w:fldCharType="begin"/>
            </w:r>
            <w:r>
              <w:rPr>
                <w:noProof/>
                <w:webHidden/>
              </w:rPr>
              <w:instrText xml:space="preserve"> PAGEREF _Toc143336340 \h </w:instrText>
            </w:r>
            <w:r>
              <w:rPr>
                <w:noProof/>
                <w:webHidden/>
              </w:rPr>
            </w:r>
            <w:r>
              <w:rPr>
                <w:noProof/>
                <w:webHidden/>
              </w:rPr>
              <w:fldChar w:fldCharType="separate"/>
            </w:r>
            <w:r>
              <w:rPr>
                <w:noProof/>
                <w:webHidden/>
              </w:rPr>
              <w:t>16</w:t>
            </w:r>
            <w:r>
              <w:rPr>
                <w:noProof/>
                <w:webHidden/>
              </w:rPr>
              <w:fldChar w:fldCharType="end"/>
            </w:r>
          </w:hyperlink>
        </w:p>
        <w:p w14:paraId="42A2A833" w14:textId="3DFC23C4" w:rsidR="00B61132" w:rsidRDefault="00B61132">
          <w:pPr>
            <w:pStyle w:val="TOC1"/>
            <w:tabs>
              <w:tab w:val="right" w:leader="dot" w:pos="9622"/>
            </w:tabs>
            <w:rPr>
              <w:rFonts w:eastAsiaTheme="minorEastAsia" w:cstheme="minorBidi"/>
              <w:b w:val="0"/>
              <w:bCs w:val="0"/>
              <w:i w:val="0"/>
              <w:iCs w:val="0"/>
              <w:noProof/>
              <w:lang w:eastAsia="en-US"/>
            </w:rPr>
          </w:pPr>
          <w:hyperlink w:anchor="_Toc143336341" w:history="1">
            <w:r w:rsidRPr="00F35840">
              <w:rPr>
                <w:rStyle w:val="Hyperlink"/>
                <w:noProof/>
              </w:rPr>
              <w:t>4.</w:t>
            </w:r>
            <w:r w:rsidRPr="00F35840">
              <w:rPr>
                <w:rStyle w:val="Hyperlink"/>
                <w:rFonts w:ascii="Arial" w:hAnsi="Arial" w:cs="Arial"/>
                <w:noProof/>
              </w:rPr>
              <w:t xml:space="preserve"> Supplementary Figures</w:t>
            </w:r>
            <w:r>
              <w:rPr>
                <w:noProof/>
                <w:webHidden/>
              </w:rPr>
              <w:tab/>
            </w:r>
            <w:r>
              <w:rPr>
                <w:noProof/>
                <w:webHidden/>
              </w:rPr>
              <w:fldChar w:fldCharType="begin"/>
            </w:r>
            <w:r>
              <w:rPr>
                <w:noProof/>
                <w:webHidden/>
              </w:rPr>
              <w:instrText xml:space="preserve"> PAGEREF _Toc143336341 \h </w:instrText>
            </w:r>
            <w:r>
              <w:rPr>
                <w:noProof/>
                <w:webHidden/>
              </w:rPr>
            </w:r>
            <w:r>
              <w:rPr>
                <w:noProof/>
                <w:webHidden/>
              </w:rPr>
              <w:fldChar w:fldCharType="separate"/>
            </w:r>
            <w:r>
              <w:rPr>
                <w:noProof/>
                <w:webHidden/>
              </w:rPr>
              <w:t>17</w:t>
            </w:r>
            <w:r>
              <w:rPr>
                <w:noProof/>
                <w:webHidden/>
              </w:rPr>
              <w:fldChar w:fldCharType="end"/>
            </w:r>
          </w:hyperlink>
        </w:p>
        <w:p w14:paraId="751B7342" w14:textId="6C541624" w:rsidR="00B61132" w:rsidRDefault="00B61132">
          <w:pPr>
            <w:pStyle w:val="TOC2"/>
            <w:tabs>
              <w:tab w:val="right" w:leader="dot" w:pos="9622"/>
            </w:tabs>
            <w:rPr>
              <w:rFonts w:eastAsiaTheme="minorEastAsia" w:cstheme="minorBidi"/>
              <w:b w:val="0"/>
              <w:bCs w:val="0"/>
              <w:noProof/>
              <w:sz w:val="24"/>
              <w:szCs w:val="24"/>
              <w:lang w:eastAsia="en-US"/>
            </w:rPr>
          </w:pPr>
          <w:hyperlink w:anchor="_Toc143336342" w:history="1">
            <w:r w:rsidRPr="00F35840">
              <w:rPr>
                <w:rStyle w:val="Hyperlink"/>
                <w:rFonts w:ascii="Arial" w:hAnsi="Arial" w:cs="Arial"/>
                <w:noProof/>
              </w:rPr>
              <w:t>Supplementary Figure 1. Transmembrane pressure during liverless NMP</w:t>
            </w:r>
            <w:r>
              <w:rPr>
                <w:noProof/>
                <w:webHidden/>
              </w:rPr>
              <w:tab/>
            </w:r>
            <w:r>
              <w:rPr>
                <w:noProof/>
                <w:webHidden/>
              </w:rPr>
              <w:fldChar w:fldCharType="begin"/>
            </w:r>
            <w:r>
              <w:rPr>
                <w:noProof/>
                <w:webHidden/>
              </w:rPr>
              <w:instrText xml:space="preserve"> PAGEREF _Toc143336342 \h </w:instrText>
            </w:r>
            <w:r>
              <w:rPr>
                <w:noProof/>
                <w:webHidden/>
              </w:rPr>
            </w:r>
            <w:r>
              <w:rPr>
                <w:noProof/>
                <w:webHidden/>
              </w:rPr>
              <w:fldChar w:fldCharType="separate"/>
            </w:r>
            <w:r>
              <w:rPr>
                <w:noProof/>
                <w:webHidden/>
              </w:rPr>
              <w:t>17</w:t>
            </w:r>
            <w:r>
              <w:rPr>
                <w:noProof/>
                <w:webHidden/>
              </w:rPr>
              <w:fldChar w:fldCharType="end"/>
            </w:r>
          </w:hyperlink>
        </w:p>
        <w:p w14:paraId="392196CD" w14:textId="13A8D103" w:rsidR="00B61132" w:rsidRDefault="00B61132">
          <w:pPr>
            <w:pStyle w:val="TOC2"/>
            <w:tabs>
              <w:tab w:val="right" w:leader="dot" w:pos="9622"/>
            </w:tabs>
            <w:rPr>
              <w:rFonts w:eastAsiaTheme="minorEastAsia" w:cstheme="minorBidi"/>
              <w:b w:val="0"/>
              <w:bCs w:val="0"/>
              <w:noProof/>
              <w:sz w:val="24"/>
              <w:szCs w:val="24"/>
              <w:lang w:eastAsia="en-US"/>
            </w:rPr>
          </w:pPr>
          <w:hyperlink w:anchor="_Toc143336343" w:history="1">
            <w:r w:rsidRPr="00F35840">
              <w:rPr>
                <w:rStyle w:val="Hyperlink"/>
                <w:rFonts w:ascii="Arial" w:hAnsi="Arial" w:cs="Arial"/>
                <w:noProof/>
              </w:rPr>
              <w:t>Supplementary Figure 2. Gas analysis during liverless-NMP</w:t>
            </w:r>
            <w:r>
              <w:rPr>
                <w:noProof/>
                <w:webHidden/>
              </w:rPr>
              <w:tab/>
            </w:r>
            <w:r>
              <w:rPr>
                <w:noProof/>
                <w:webHidden/>
              </w:rPr>
              <w:fldChar w:fldCharType="begin"/>
            </w:r>
            <w:r>
              <w:rPr>
                <w:noProof/>
                <w:webHidden/>
              </w:rPr>
              <w:instrText xml:space="preserve"> PAGEREF _Toc143336343 \h </w:instrText>
            </w:r>
            <w:r>
              <w:rPr>
                <w:noProof/>
                <w:webHidden/>
              </w:rPr>
            </w:r>
            <w:r>
              <w:rPr>
                <w:noProof/>
                <w:webHidden/>
              </w:rPr>
              <w:fldChar w:fldCharType="separate"/>
            </w:r>
            <w:r>
              <w:rPr>
                <w:noProof/>
                <w:webHidden/>
              </w:rPr>
              <w:t>18</w:t>
            </w:r>
            <w:r>
              <w:rPr>
                <w:noProof/>
                <w:webHidden/>
              </w:rPr>
              <w:fldChar w:fldCharType="end"/>
            </w:r>
          </w:hyperlink>
        </w:p>
        <w:p w14:paraId="58A2F8A2" w14:textId="032F8765" w:rsidR="00B61132" w:rsidRDefault="00B61132">
          <w:pPr>
            <w:pStyle w:val="TOC2"/>
            <w:tabs>
              <w:tab w:val="right" w:leader="dot" w:pos="9622"/>
            </w:tabs>
            <w:rPr>
              <w:rFonts w:eastAsiaTheme="minorEastAsia" w:cstheme="minorBidi"/>
              <w:b w:val="0"/>
              <w:bCs w:val="0"/>
              <w:noProof/>
              <w:sz w:val="24"/>
              <w:szCs w:val="24"/>
              <w:lang w:eastAsia="en-US"/>
            </w:rPr>
          </w:pPr>
          <w:hyperlink w:anchor="_Toc143336344" w:history="1">
            <w:r w:rsidRPr="00F35840">
              <w:rPr>
                <w:rStyle w:val="Hyperlink"/>
                <w:rFonts w:ascii="Arial" w:hAnsi="Arial" w:cs="Arial"/>
                <w:noProof/>
              </w:rPr>
              <w:t>Supplementary Figure 3. Hemodynamics parameters during liver-NMP</w:t>
            </w:r>
            <w:r>
              <w:rPr>
                <w:noProof/>
                <w:webHidden/>
              </w:rPr>
              <w:tab/>
            </w:r>
            <w:r>
              <w:rPr>
                <w:noProof/>
                <w:webHidden/>
              </w:rPr>
              <w:fldChar w:fldCharType="begin"/>
            </w:r>
            <w:r>
              <w:rPr>
                <w:noProof/>
                <w:webHidden/>
              </w:rPr>
              <w:instrText xml:space="preserve"> PAGEREF _Toc143336344 \h </w:instrText>
            </w:r>
            <w:r>
              <w:rPr>
                <w:noProof/>
                <w:webHidden/>
              </w:rPr>
            </w:r>
            <w:r>
              <w:rPr>
                <w:noProof/>
                <w:webHidden/>
              </w:rPr>
              <w:fldChar w:fldCharType="separate"/>
            </w:r>
            <w:r>
              <w:rPr>
                <w:noProof/>
                <w:webHidden/>
              </w:rPr>
              <w:t>19</w:t>
            </w:r>
            <w:r>
              <w:rPr>
                <w:noProof/>
                <w:webHidden/>
              </w:rPr>
              <w:fldChar w:fldCharType="end"/>
            </w:r>
          </w:hyperlink>
        </w:p>
        <w:p w14:paraId="7F294799" w14:textId="00755723" w:rsidR="00B61132" w:rsidRDefault="00B61132">
          <w:pPr>
            <w:pStyle w:val="TOC2"/>
            <w:tabs>
              <w:tab w:val="right" w:leader="dot" w:pos="9622"/>
            </w:tabs>
            <w:rPr>
              <w:rFonts w:eastAsiaTheme="minorEastAsia" w:cstheme="minorBidi"/>
              <w:b w:val="0"/>
              <w:bCs w:val="0"/>
              <w:noProof/>
              <w:sz w:val="24"/>
              <w:szCs w:val="24"/>
              <w:lang w:eastAsia="en-US"/>
            </w:rPr>
          </w:pPr>
          <w:hyperlink w:anchor="_Toc143336345" w:history="1">
            <w:r w:rsidRPr="00F35840">
              <w:rPr>
                <w:rStyle w:val="Hyperlink"/>
                <w:rFonts w:ascii="Arial" w:hAnsi="Arial" w:cs="Arial"/>
                <w:noProof/>
              </w:rPr>
              <w:t>Supplementary Figure 4. Gas analysis of perfusate samples collected during liver-NMP</w:t>
            </w:r>
            <w:r>
              <w:rPr>
                <w:noProof/>
                <w:webHidden/>
              </w:rPr>
              <w:tab/>
            </w:r>
            <w:r>
              <w:rPr>
                <w:noProof/>
                <w:webHidden/>
              </w:rPr>
              <w:fldChar w:fldCharType="begin"/>
            </w:r>
            <w:r>
              <w:rPr>
                <w:noProof/>
                <w:webHidden/>
              </w:rPr>
              <w:instrText xml:space="preserve"> PAGEREF _Toc143336345 \h </w:instrText>
            </w:r>
            <w:r>
              <w:rPr>
                <w:noProof/>
                <w:webHidden/>
              </w:rPr>
            </w:r>
            <w:r>
              <w:rPr>
                <w:noProof/>
                <w:webHidden/>
              </w:rPr>
              <w:fldChar w:fldCharType="separate"/>
            </w:r>
            <w:r>
              <w:rPr>
                <w:noProof/>
                <w:webHidden/>
              </w:rPr>
              <w:t>20</w:t>
            </w:r>
            <w:r>
              <w:rPr>
                <w:noProof/>
                <w:webHidden/>
              </w:rPr>
              <w:fldChar w:fldCharType="end"/>
            </w:r>
          </w:hyperlink>
        </w:p>
        <w:p w14:paraId="6DACB63C" w14:textId="0DC4198C" w:rsidR="00B61132" w:rsidRDefault="00B61132">
          <w:pPr>
            <w:pStyle w:val="TOC2"/>
            <w:tabs>
              <w:tab w:val="right" w:leader="dot" w:pos="9622"/>
            </w:tabs>
            <w:rPr>
              <w:rFonts w:eastAsiaTheme="minorEastAsia" w:cstheme="minorBidi"/>
              <w:b w:val="0"/>
              <w:bCs w:val="0"/>
              <w:noProof/>
              <w:sz w:val="24"/>
              <w:szCs w:val="24"/>
              <w:lang w:eastAsia="en-US"/>
            </w:rPr>
          </w:pPr>
          <w:hyperlink w:anchor="_Toc143336346" w:history="1">
            <w:r w:rsidRPr="00F35840">
              <w:rPr>
                <w:rStyle w:val="Hyperlink"/>
                <w:rFonts w:ascii="Arial" w:hAnsi="Arial" w:cs="Arial"/>
                <w:noProof/>
              </w:rPr>
              <w:t>Supplementary Figure 5. NAD+ and NADH content in liver homogenates and perfusate samples</w:t>
            </w:r>
            <w:r>
              <w:rPr>
                <w:noProof/>
                <w:webHidden/>
              </w:rPr>
              <w:tab/>
            </w:r>
            <w:r>
              <w:rPr>
                <w:noProof/>
                <w:webHidden/>
              </w:rPr>
              <w:fldChar w:fldCharType="begin"/>
            </w:r>
            <w:r>
              <w:rPr>
                <w:noProof/>
                <w:webHidden/>
              </w:rPr>
              <w:instrText xml:space="preserve"> PAGEREF _Toc143336346 \h </w:instrText>
            </w:r>
            <w:r>
              <w:rPr>
                <w:noProof/>
                <w:webHidden/>
              </w:rPr>
            </w:r>
            <w:r>
              <w:rPr>
                <w:noProof/>
                <w:webHidden/>
              </w:rPr>
              <w:fldChar w:fldCharType="separate"/>
            </w:r>
            <w:r>
              <w:rPr>
                <w:noProof/>
                <w:webHidden/>
              </w:rPr>
              <w:t>22</w:t>
            </w:r>
            <w:r>
              <w:rPr>
                <w:noProof/>
                <w:webHidden/>
              </w:rPr>
              <w:fldChar w:fldCharType="end"/>
            </w:r>
          </w:hyperlink>
        </w:p>
        <w:p w14:paraId="15D80D2B" w14:textId="11FE8A8B" w:rsidR="00B61132" w:rsidRDefault="00B61132">
          <w:pPr>
            <w:pStyle w:val="TOC1"/>
            <w:tabs>
              <w:tab w:val="right" w:leader="dot" w:pos="9622"/>
            </w:tabs>
            <w:rPr>
              <w:rFonts w:eastAsiaTheme="minorEastAsia" w:cstheme="minorBidi"/>
              <w:b w:val="0"/>
              <w:bCs w:val="0"/>
              <w:i w:val="0"/>
              <w:iCs w:val="0"/>
              <w:noProof/>
              <w:lang w:eastAsia="en-US"/>
            </w:rPr>
          </w:pPr>
          <w:hyperlink w:anchor="_Toc143336347" w:history="1">
            <w:r w:rsidRPr="00F35840">
              <w:rPr>
                <w:rStyle w:val="Hyperlink"/>
                <w:noProof/>
              </w:rPr>
              <w:t>5.</w:t>
            </w:r>
            <w:r w:rsidRPr="00F35840">
              <w:rPr>
                <w:rStyle w:val="Hyperlink"/>
                <w:rFonts w:ascii="Arial" w:hAnsi="Arial" w:cs="Arial"/>
                <w:noProof/>
              </w:rPr>
              <w:t xml:space="preserve"> References</w:t>
            </w:r>
            <w:r>
              <w:rPr>
                <w:noProof/>
                <w:webHidden/>
              </w:rPr>
              <w:tab/>
            </w:r>
            <w:r>
              <w:rPr>
                <w:noProof/>
                <w:webHidden/>
              </w:rPr>
              <w:fldChar w:fldCharType="begin"/>
            </w:r>
            <w:r>
              <w:rPr>
                <w:noProof/>
                <w:webHidden/>
              </w:rPr>
              <w:instrText xml:space="preserve"> PAGEREF _Toc143336347 \h </w:instrText>
            </w:r>
            <w:r>
              <w:rPr>
                <w:noProof/>
                <w:webHidden/>
              </w:rPr>
            </w:r>
            <w:r>
              <w:rPr>
                <w:noProof/>
                <w:webHidden/>
              </w:rPr>
              <w:fldChar w:fldCharType="separate"/>
            </w:r>
            <w:r>
              <w:rPr>
                <w:noProof/>
                <w:webHidden/>
              </w:rPr>
              <w:t>23</w:t>
            </w:r>
            <w:r>
              <w:rPr>
                <w:noProof/>
                <w:webHidden/>
              </w:rPr>
              <w:fldChar w:fldCharType="end"/>
            </w:r>
          </w:hyperlink>
        </w:p>
        <w:p w14:paraId="41DC4BC0" w14:textId="7064F930" w:rsidR="007359AD" w:rsidRPr="00072D37" w:rsidRDefault="007359AD">
          <w:pPr>
            <w:rPr>
              <w:rFonts w:ascii="Arial" w:hAnsi="Arial" w:cs="Arial"/>
            </w:rPr>
          </w:pPr>
          <w:r w:rsidRPr="00072D37">
            <w:rPr>
              <w:rFonts w:ascii="Arial" w:hAnsi="Arial" w:cs="Arial"/>
              <w:b/>
              <w:bCs w:val="0"/>
              <w:noProof/>
            </w:rPr>
            <w:fldChar w:fldCharType="end"/>
          </w:r>
        </w:p>
      </w:sdtContent>
    </w:sdt>
    <w:p w14:paraId="26EC074A" w14:textId="77777777" w:rsidR="007359AD" w:rsidRPr="00072D37" w:rsidRDefault="007359AD" w:rsidP="007359AD">
      <w:pPr>
        <w:rPr>
          <w:rFonts w:ascii="Arial" w:hAnsi="Arial" w:cs="Arial"/>
          <w:lang w:val="en-US"/>
        </w:rPr>
      </w:pPr>
    </w:p>
    <w:p w14:paraId="5F1BC5BB" w14:textId="77777777" w:rsidR="00972FBF" w:rsidRPr="00072D37" w:rsidRDefault="00972FBF" w:rsidP="00704DB0">
      <w:pPr>
        <w:pStyle w:val="Heading1"/>
        <w:rPr>
          <w:rFonts w:ascii="Arial" w:hAnsi="Arial" w:cs="Arial"/>
        </w:rPr>
        <w:sectPr w:rsidR="00972FBF" w:rsidRPr="00072D37" w:rsidSect="000764D6">
          <w:footerReference w:type="even" r:id="rId7"/>
          <w:footerReference w:type="default" r:id="rId8"/>
          <w:pgSz w:w="11900" w:h="16840"/>
          <w:pgMar w:top="1417" w:right="1134" w:bottom="1134" w:left="1134" w:header="708" w:footer="708" w:gutter="0"/>
          <w:cols w:space="708"/>
          <w:docGrid w:linePitch="360"/>
        </w:sectPr>
      </w:pPr>
    </w:p>
    <w:p w14:paraId="4424DE9F" w14:textId="41AE8471" w:rsidR="00130A43" w:rsidRPr="00072D37" w:rsidRDefault="00704DB0" w:rsidP="00704DB0">
      <w:pPr>
        <w:pStyle w:val="Heading1"/>
        <w:rPr>
          <w:rFonts w:ascii="Arial" w:hAnsi="Arial" w:cs="Arial"/>
        </w:rPr>
      </w:pPr>
      <w:r w:rsidRPr="00072D37">
        <w:rPr>
          <w:rFonts w:ascii="Arial" w:hAnsi="Arial" w:cs="Arial"/>
        </w:rPr>
        <w:lastRenderedPageBreak/>
        <w:fldChar w:fldCharType="begin"/>
      </w:r>
      <w:r w:rsidRPr="00072D37">
        <w:rPr>
          <w:rFonts w:ascii="Arial" w:hAnsi="Arial" w:cs="Arial"/>
        </w:rPr>
        <w:instrText xml:space="preserve"> AUTONUMLGL </w:instrText>
      </w:r>
      <w:bookmarkStart w:id="1" w:name="_Toc143336299"/>
      <w:r w:rsidRPr="00072D37">
        <w:rPr>
          <w:rFonts w:ascii="Arial" w:hAnsi="Arial" w:cs="Arial"/>
        </w:rPr>
        <w:fldChar w:fldCharType="end"/>
      </w:r>
      <w:r w:rsidRPr="00072D37">
        <w:rPr>
          <w:rFonts w:ascii="Arial" w:hAnsi="Arial" w:cs="Arial"/>
        </w:rPr>
        <w:t xml:space="preserve"> </w:t>
      </w:r>
      <w:r w:rsidR="00130A43" w:rsidRPr="00072D37">
        <w:rPr>
          <w:rFonts w:ascii="Arial" w:hAnsi="Arial" w:cs="Arial"/>
        </w:rPr>
        <w:t>Supplementary methods</w:t>
      </w:r>
      <w:bookmarkEnd w:id="1"/>
    </w:p>
    <w:p w14:paraId="28B8CEC7" w14:textId="0EF62D08" w:rsidR="00800470" w:rsidRPr="00072D37" w:rsidRDefault="00800470" w:rsidP="003E231F">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2" w:name="_Toc143336300"/>
      <w:r w:rsidRPr="00072D37">
        <w:rPr>
          <w:rFonts w:ascii="Arial" w:hAnsi="Arial" w:cs="Arial"/>
        </w:rPr>
        <w:fldChar w:fldCharType="end"/>
      </w:r>
      <w:r w:rsidRPr="00072D37">
        <w:rPr>
          <w:rFonts w:ascii="Arial" w:hAnsi="Arial" w:cs="Arial"/>
        </w:rPr>
        <w:t xml:space="preserve"> Isolation of adipose tissue-derived mesenchymal stem cells</w:t>
      </w:r>
      <w:bookmarkEnd w:id="2"/>
      <w:r w:rsidRPr="00072D37">
        <w:rPr>
          <w:rFonts w:ascii="Arial" w:hAnsi="Arial" w:cs="Arial"/>
        </w:rPr>
        <w:t xml:space="preserve"> </w:t>
      </w:r>
    </w:p>
    <w:p w14:paraId="18C75732" w14:textId="5EC2E976" w:rsidR="0078217A" w:rsidRPr="00072D37" w:rsidRDefault="0078217A" w:rsidP="00DA4897">
      <w:pPr>
        <w:rPr>
          <w:lang w:val="en-US"/>
        </w:rPr>
      </w:pPr>
      <w:r w:rsidRPr="00072D37">
        <w:rPr>
          <w:lang w:val="en-US"/>
        </w:rPr>
        <w:t>Subcutaneous adipose tissue (SAT) of the abdominal region was collected during abdominoplasty</w:t>
      </w:r>
      <w:r w:rsidR="00416B02" w:rsidRPr="00072D37">
        <w:rPr>
          <w:lang w:val="en-US"/>
        </w:rPr>
        <w:t xml:space="preserve"> (Ethical Committee for Clinical Research approval number: 2892P, 10/06/2013</w:t>
      </w:r>
      <w:r w:rsidRPr="00072D37">
        <w:rPr>
          <w:lang w:val="en-US"/>
        </w:rPr>
        <w:t xml:space="preserve">). SAT was minced and digested in collagenase type II solution (1 mg/mL) (Merck </w:t>
      </w:r>
      <w:proofErr w:type="spellStart"/>
      <w:r w:rsidRPr="00072D37">
        <w:rPr>
          <w:lang w:val="en-US"/>
        </w:rPr>
        <w:t>KGaA</w:t>
      </w:r>
      <w:proofErr w:type="spellEnd"/>
      <w:r w:rsidRPr="00072D37">
        <w:rPr>
          <w:lang w:val="en-US"/>
        </w:rPr>
        <w:t xml:space="preserve">, Darmstadt, Germany) at 37 °C in a water bath with medium shaking for 1 hour. The digested AT was mixed by pipetting, serially centrifuged at 350g for 10 min and filtered through 100 µm cell strainer (Falcon, BD, NJ, USA) to remove collagen fibers and debris. Red blood cells were removed by 5 min incubation of cellular pellet with standard lysis buffer. Cells of the stromal vascular faction (SVF) were counted in a Neubauer chamber upon Trypan Blue (0.4%) staining, seeded in DMEM F12 10 % FBS (Gibco, Thermo Fisher Scientific, Waltham, MA USA) and grown at 37 °C and 5% CO2. MSC(AT) were obtained by subculturing, expanded in MEM Alpha Medium 5% </w:t>
      </w:r>
      <w:proofErr w:type="spellStart"/>
      <w:r w:rsidRPr="00072D37">
        <w:rPr>
          <w:lang w:val="en-US"/>
        </w:rPr>
        <w:t>hPL</w:t>
      </w:r>
      <w:proofErr w:type="spellEnd"/>
      <w:r w:rsidRPr="00072D37">
        <w:rPr>
          <w:lang w:val="en-US"/>
        </w:rPr>
        <w:t xml:space="preserve"> (Gibco) and used at passages 2–8 (P2–P8) to reduce variability.</w:t>
      </w:r>
    </w:p>
    <w:p w14:paraId="3B3BC9D8" w14:textId="1F4693A2" w:rsidR="00416B02" w:rsidRPr="00072D37" w:rsidRDefault="00416B02" w:rsidP="00416B02">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3" w:name="_Toc143336301"/>
      <w:r w:rsidRPr="00072D37">
        <w:rPr>
          <w:rFonts w:ascii="Arial" w:hAnsi="Arial" w:cs="Arial"/>
        </w:rPr>
        <w:fldChar w:fldCharType="end"/>
      </w:r>
      <w:r w:rsidRPr="00072D37">
        <w:rPr>
          <w:rFonts w:ascii="Arial" w:hAnsi="Arial" w:cs="Arial"/>
        </w:rPr>
        <w:t xml:space="preserve">  MSCs </w:t>
      </w:r>
      <w:r w:rsidR="00DA6DED" w:rsidRPr="00072D37">
        <w:rPr>
          <w:rFonts w:ascii="Arial" w:hAnsi="Arial" w:cs="Arial"/>
        </w:rPr>
        <w:t>in vitro culturing</w:t>
      </w:r>
      <w:r w:rsidR="000A1127" w:rsidRPr="00072D37">
        <w:rPr>
          <w:rFonts w:ascii="Arial" w:hAnsi="Arial" w:cs="Arial"/>
        </w:rPr>
        <w:t xml:space="preserve"> before bioreactor preparation</w:t>
      </w:r>
      <w:bookmarkEnd w:id="3"/>
    </w:p>
    <w:p w14:paraId="7C1F8CF1" w14:textId="7EB49E81" w:rsidR="005B5AB8" w:rsidRPr="00072D37" w:rsidRDefault="00DA6DED" w:rsidP="00DA4897">
      <w:pPr>
        <w:rPr>
          <w:lang w:val="en-US"/>
        </w:rPr>
      </w:pPr>
      <w:r w:rsidRPr="00072D37">
        <w:rPr>
          <w:lang w:val="en-US"/>
        </w:rPr>
        <w:t xml:space="preserve">Human adipose tissue-derived MSCs were cultured at a concentration of 2*105 in 14 mL in αMEM medium (Gibco, Thermo Fisher Scientific, Waltham, MA USA) added with 5% Human platelet lysate (SCM142, Merck </w:t>
      </w:r>
      <w:proofErr w:type="spellStart"/>
      <w:r w:rsidRPr="00072D37">
        <w:rPr>
          <w:lang w:val="en-US"/>
        </w:rPr>
        <w:t>KGaA</w:t>
      </w:r>
      <w:proofErr w:type="spellEnd"/>
      <w:r w:rsidRPr="00072D37">
        <w:rPr>
          <w:lang w:val="en-US"/>
        </w:rPr>
        <w:t>, Darmstadt, Germany), 2 mM L-glutamine, 100 U/ml penicillin, 100 μg/ml streptomycin, and 100 μg/ml Amphotericin B (</w:t>
      </w:r>
      <w:proofErr w:type="spellStart"/>
      <w:r w:rsidRPr="00072D37">
        <w:rPr>
          <w:lang w:val="en-US"/>
        </w:rPr>
        <w:t>Thermofisher</w:t>
      </w:r>
      <w:proofErr w:type="spellEnd"/>
      <w:r w:rsidRPr="00072D37">
        <w:rPr>
          <w:lang w:val="en-US"/>
        </w:rPr>
        <w:t xml:space="preserve"> Scientific, Waltham, Massachusetts, USA). Cells were expanded for 14 days, with medium substitution every 2 days. At 80% confluence, cells were enzymatically harvested and counted.  </w:t>
      </w:r>
    </w:p>
    <w:p w14:paraId="245C6909" w14:textId="54EE3551" w:rsidR="00224D29" w:rsidRPr="00072D37" w:rsidRDefault="00800470" w:rsidP="003E231F">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4" w:name="_Toc143336302"/>
      <w:r w:rsidRPr="00072D37">
        <w:rPr>
          <w:rFonts w:ascii="Arial" w:hAnsi="Arial" w:cs="Arial"/>
        </w:rPr>
        <w:fldChar w:fldCharType="end"/>
      </w:r>
      <w:r w:rsidRPr="00072D37">
        <w:rPr>
          <w:rFonts w:ascii="Arial" w:hAnsi="Arial" w:cs="Arial"/>
        </w:rPr>
        <w:t xml:space="preserve"> </w:t>
      </w:r>
      <w:r w:rsidR="00224D29" w:rsidRPr="00072D37">
        <w:rPr>
          <w:rFonts w:ascii="Arial" w:hAnsi="Arial" w:cs="Arial"/>
        </w:rPr>
        <w:t xml:space="preserve">Liverless perfusion </w:t>
      </w:r>
      <w:r w:rsidR="0096638A" w:rsidRPr="00072D37">
        <w:rPr>
          <w:rFonts w:ascii="Arial" w:hAnsi="Arial" w:cs="Arial"/>
        </w:rPr>
        <w:t>procedure</w:t>
      </w:r>
      <w:bookmarkEnd w:id="4"/>
    </w:p>
    <w:p w14:paraId="4B039F1A" w14:textId="04574F2A" w:rsidR="008E661B" w:rsidRPr="00072D37" w:rsidRDefault="00D0556B" w:rsidP="00DA4897">
      <w:pPr>
        <w:rPr>
          <w:lang w:val="en-US"/>
        </w:rPr>
      </w:pPr>
      <w:r w:rsidRPr="00072D37">
        <w:rPr>
          <w:lang w:val="en-US"/>
        </w:rPr>
        <w:t xml:space="preserve">Liverless perfusion experiments were performed using a customized circuit. It consists of a heated glass reservoir (Hugo Sachs </w:t>
      </w:r>
      <w:proofErr w:type="spellStart"/>
      <w:r w:rsidRPr="00072D37">
        <w:rPr>
          <w:lang w:val="en-US"/>
        </w:rPr>
        <w:t>Elektronik</w:t>
      </w:r>
      <w:proofErr w:type="spellEnd"/>
      <w:r w:rsidRPr="00072D37">
        <w:rPr>
          <w:lang w:val="en-US"/>
        </w:rPr>
        <w:t xml:space="preserve">-Harvard apparatus, March, Germany), PVC tubing (BD Switzerland </w:t>
      </w:r>
      <w:proofErr w:type="spellStart"/>
      <w:r w:rsidRPr="00072D37">
        <w:rPr>
          <w:lang w:val="en-US"/>
        </w:rPr>
        <w:t>Sarl</w:t>
      </w:r>
      <w:proofErr w:type="spellEnd"/>
      <w:r w:rsidRPr="00072D37">
        <w:rPr>
          <w:lang w:val="en-US"/>
        </w:rPr>
        <w:t xml:space="preserve">, </w:t>
      </w:r>
      <w:proofErr w:type="spellStart"/>
      <w:r w:rsidRPr="00072D37">
        <w:rPr>
          <w:lang w:val="en-US"/>
        </w:rPr>
        <w:t>Eysins</w:t>
      </w:r>
      <w:proofErr w:type="spellEnd"/>
      <w:r w:rsidRPr="00072D37">
        <w:rPr>
          <w:lang w:val="en-US"/>
        </w:rPr>
        <w:t>, Switzerland), a peristaltic pump (</w:t>
      </w:r>
      <w:proofErr w:type="spellStart"/>
      <w:r w:rsidRPr="00072D37">
        <w:rPr>
          <w:lang w:val="en-US"/>
        </w:rPr>
        <w:t>Ismatec</w:t>
      </w:r>
      <w:proofErr w:type="spellEnd"/>
      <w:r w:rsidRPr="00072D37">
        <w:rPr>
          <w:lang w:val="en-US"/>
        </w:rPr>
        <w:t xml:space="preserve">, Wertheim, Germany), a single-use membrane oxygenator (Micro-1, </w:t>
      </w:r>
      <w:proofErr w:type="spellStart"/>
      <w:r w:rsidRPr="00072D37">
        <w:rPr>
          <w:lang w:val="en-US"/>
        </w:rPr>
        <w:t>Kewei</w:t>
      </w:r>
      <w:proofErr w:type="spellEnd"/>
      <w:r w:rsidRPr="00072D37">
        <w:rPr>
          <w:lang w:val="en-US"/>
        </w:rPr>
        <w:t xml:space="preserve"> Rising Medical, Shenzhen, China) and a heated bubble trap (Hugo Sachs </w:t>
      </w:r>
      <w:proofErr w:type="spellStart"/>
      <w:r w:rsidRPr="00072D37">
        <w:rPr>
          <w:lang w:val="en-US"/>
        </w:rPr>
        <w:t>Elektronik</w:t>
      </w:r>
      <w:proofErr w:type="spellEnd"/>
      <w:r w:rsidRPr="00072D37">
        <w:rPr>
          <w:lang w:val="en-US"/>
        </w:rPr>
        <w:t>-Harvard apparatus). The perfusion fluid was prepared using the following reagents: Williams Medium E (</w:t>
      </w:r>
      <w:proofErr w:type="spellStart"/>
      <w:r w:rsidRPr="00072D37">
        <w:rPr>
          <w:lang w:val="en-US"/>
        </w:rPr>
        <w:t>Thermofisher</w:t>
      </w:r>
      <w:proofErr w:type="spellEnd"/>
      <w:r w:rsidRPr="00072D37">
        <w:rPr>
          <w:lang w:val="en-US"/>
        </w:rPr>
        <w:t xml:space="preserve"> Scientific, Waltham, Massachusetts, USA), human albumin (Grifols S.A. Barcelona, Spain), L-glutamine (Gibco, Thermo Fisher Scientific), Antibiotic-Antimycotic (Streptomycin, Amphotericin B, Penicillin,</w:t>
      </w:r>
      <w:r w:rsidR="008E661B" w:rsidRPr="00072D37">
        <w:rPr>
          <w:lang w:val="en-US"/>
        </w:rPr>
        <w:t xml:space="preserve"> </w:t>
      </w:r>
      <w:r w:rsidRPr="00072D37">
        <w:rPr>
          <w:lang w:val="en-US"/>
        </w:rPr>
        <w:t>Gibco, Thermo Fisher Scientific), insulin (Humalog, Eli Lilly, Utrecht, Netherlands), N-acetylcysteine (</w:t>
      </w:r>
      <w:proofErr w:type="spellStart"/>
      <w:r w:rsidRPr="00072D37">
        <w:rPr>
          <w:lang w:val="en-US"/>
        </w:rPr>
        <w:t>Zambon</w:t>
      </w:r>
      <w:proofErr w:type="spellEnd"/>
      <w:r w:rsidRPr="00072D37">
        <w:rPr>
          <w:lang w:val="en-US"/>
        </w:rPr>
        <w:t xml:space="preserve"> Italia, Bresso, Italy), and sodium taurocholate (</w:t>
      </w:r>
      <w:proofErr w:type="spellStart"/>
      <w:r w:rsidRPr="00072D37">
        <w:rPr>
          <w:lang w:val="en-US"/>
        </w:rPr>
        <w:t>Organox</w:t>
      </w:r>
      <w:proofErr w:type="spellEnd"/>
      <w:r w:rsidRPr="00072D37">
        <w:rPr>
          <w:lang w:val="en-US"/>
        </w:rPr>
        <w:t xml:space="preserve">, Oxford, UK). </w:t>
      </w:r>
    </w:p>
    <w:p w14:paraId="4189E8F5" w14:textId="4907D79B" w:rsidR="00D0556B" w:rsidRPr="00072D37" w:rsidRDefault="00D0556B" w:rsidP="00DA4897">
      <w:pPr>
        <w:rPr>
          <w:lang w:val="en-US"/>
        </w:rPr>
      </w:pPr>
      <w:r w:rsidRPr="00072D37">
        <w:rPr>
          <w:lang w:val="en-US"/>
        </w:rPr>
        <w:lastRenderedPageBreak/>
        <w:t xml:space="preserve">Then, 46.2 mL of </w:t>
      </w:r>
      <w:proofErr w:type="spellStart"/>
      <w:r w:rsidRPr="00072D37">
        <w:rPr>
          <w:lang w:val="en-US"/>
        </w:rPr>
        <w:t>Oxyglobin</w:t>
      </w:r>
      <w:proofErr w:type="spellEnd"/>
      <w:r w:rsidRPr="00072D37">
        <w:rPr>
          <w:lang w:val="en-US"/>
        </w:rPr>
        <w:t xml:space="preserve">® (HBO2 Therapeutics, Boston, USA), a veterinary-licensed bovine-derived </w:t>
      </w:r>
      <w:proofErr w:type="spellStart"/>
      <w:r w:rsidRPr="00072D37">
        <w:rPr>
          <w:lang w:val="en-US"/>
        </w:rPr>
        <w:t>haemoglobin</w:t>
      </w:r>
      <w:proofErr w:type="spellEnd"/>
      <w:r w:rsidRPr="00072D37">
        <w:rPr>
          <w:lang w:val="en-US"/>
        </w:rPr>
        <w:t xml:space="preserve">, was added to the solution to reach a final volume of 120 </w:t>
      </w:r>
      <w:proofErr w:type="spellStart"/>
      <w:r w:rsidRPr="00072D37">
        <w:rPr>
          <w:lang w:val="en-US"/>
        </w:rPr>
        <w:t>mL.</w:t>
      </w:r>
      <w:proofErr w:type="spellEnd"/>
      <w:r w:rsidRPr="00072D37">
        <w:rPr>
          <w:lang w:val="en-US"/>
        </w:rPr>
        <w:t xml:space="preserve"> After bioreactors connection to the circuit, the perfusion fluid was pumped inside the fibers at a flow of 20 ml/m</w:t>
      </w:r>
      <w:r w:rsidR="00BB6BA5" w:rsidRPr="00072D37">
        <w:rPr>
          <w:lang w:val="en-US"/>
        </w:rPr>
        <w:t>i</w:t>
      </w:r>
      <w:r w:rsidRPr="00072D37">
        <w:rPr>
          <w:lang w:val="en-US"/>
        </w:rPr>
        <w:t>n, and outside the cave fibers at a flow of 5 ml/min in the opposite direction to allow a better fluid exchange between the different compartments.</w:t>
      </w:r>
    </w:p>
    <w:p w14:paraId="62E9C1BC" w14:textId="0769B1AC" w:rsidR="00D112CB" w:rsidRPr="00072D37" w:rsidRDefault="00D112CB" w:rsidP="003E231F">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5" w:name="_Toc143336303"/>
      <w:r w:rsidRPr="00072D37">
        <w:rPr>
          <w:rFonts w:ascii="Arial" w:hAnsi="Arial" w:cs="Arial"/>
        </w:rPr>
        <w:fldChar w:fldCharType="end"/>
      </w:r>
      <w:r w:rsidRPr="00072D37">
        <w:rPr>
          <w:rFonts w:ascii="Arial" w:hAnsi="Arial" w:cs="Arial"/>
        </w:rPr>
        <w:t xml:space="preserve"> </w:t>
      </w:r>
      <w:r w:rsidR="000235E8" w:rsidRPr="00072D37">
        <w:rPr>
          <w:rFonts w:ascii="Arial" w:hAnsi="Arial" w:cs="Arial"/>
        </w:rPr>
        <w:t>B</w:t>
      </w:r>
      <w:r w:rsidRPr="00072D37">
        <w:rPr>
          <w:rFonts w:ascii="Arial" w:hAnsi="Arial" w:cs="Arial"/>
        </w:rPr>
        <w:t>io-molecular analysis</w:t>
      </w:r>
      <w:r w:rsidR="005F7145" w:rsidRPr="00072D37">
        <w:rPr>
          <w:rFonts w:ascii="Arial" w:hAnsi="Arial" w:cs="Arial"/>
        </w:rPr>
        <w:t xml:space="preserve"> </w:t>
      </w:r>
      <w:r w:rsidR="000235E8" w:rsidRPr="00072D37">
        <w:rPr>
          <w:rFonts w:ascii="Arial" w:hAnsi="Arial" w:cs="Arial"/>
        </w:rPr>
        <w:t xml:space="preserve">performed on </w:t>
      </w:r>
      <w:r w:rsidR="009F7EF8" w:rsidRPr="00072D37">
        <w:rPr>
          <w:rFonts w:ascii="Arial" w:hAnsi="Arial" w:cs="Arial"/>
        </w:rPr>
        <w:t xml:space="preserve">bioreactor supernatants and </w:t>
      </w:r>
      <w:r w:rsidR="000235E8" w:rsidRPr="00072D37">
        <w:rPr>
          <w:rFonts w:ascii="Arial" w:hAnsi="Arial" w:cs="Arial"/>
        </w:rPr>
        <w:t xml:space="preserve">perfusate samples collected during </w:t>
      </w:r>
      <w:r w:rsidR="005F7145" w:rsidRPr="00072D37">
        <w:rPr>
          <w:rFonts w:ascii="Arial" w:hAnsi="Arial" w:cs="Arial"/>
        </w:rPr>
        <w:t>liverless</w:t>
      </w:r>
      <w:r w:rsidR="00C20683" w:rsidRPr="00072D37">
        <w:rPr>
          <w:rFonts w:ascii="Arial" w:hAnsi="Arial" w:cs="Arial"/>
        </w:rPr>
        <w:t>-</w:t>
      </w:r>
      <w:r w:rsidR="005F7145" w:rsidRPr="00072D37">
        <w:rPr>
          <w:rFonts w:ascii="Arial" w:hAnsi="Arial" w:cs="Arial"/>
        </w:rPr>
        <w:t>NMP</w:t>
      </w:r>
      <w:bookmarkEnd w:id="5"/>
    </w:p>
    <w:p w14:paraId="4C545CEB" w14:textId="6C559578" w:rsidR="00C20683" w:rsidRPr="00072D37" w:rsidRDefault="00C20683" w:rsidP="00DA4897">
      <w:pPr>
        <w:rPr>
          <w:lang w:val="en-US"/>
        </w:rPr>
      </w:pPr>
      <w:r w:rsidRPr="00072D37">
        <w:rPr>
          <w:lang w:val="en-US"/>
        </w:rPr>
        <w:t>Perfusates were used to assess the concentration of the following molecules of human origin: Indoleamine 2,3-Dioxygenase (IDO), caspase-cleaved keratin 18 (CK18), Galectin-9, Interleukin (IL)-8, IL-33, IL-18, IL-1ra, and nitric oxide (NO).</w:t>
      </w:r>
    </w:p>
    <w:p w14:paraId="705CC781" w14:textId="37B65327" w:rsidR="00B44BA6" w:rsidRPr="00072D37" w:rsidRDefault="00B44BA6" w:rsidP="00B44BA6">
      <w:pPr>
        <w:pStyle w:val="Heading3"/>
        <w:rPr>
          <w:rFonts w:ascii="Arial" w:hAnsi="Arial" w:cs="Arial"/>
          <w:lang w:val="en-US"/>
        </w:rPr>
      </w:pPr>
      <w:r w:rsidRPr="00072D37">
        <w:rPr>
          <w:rFonts w:ascii="Arial" w:hAnsi="Arial" w:cs="Arial"/>
          <w:lang w:val="en-US"/>
        </w:rPr>
        <w:fldChar w:fldCharType="begin"/>
      </w:r>
      <w:r w:rsidRPr="00072D37">
        <w:rPr>
          <w:rFonts w:ascii="Arial" w:hAnsi="Arial" w:cs="Arial"/>
          <w:lang w:val="en-US"/>
        </w:rPr>
        <w:instrText xml:space="preserve"> AUTONUMLGL </w:instrText>
      </w:r>
      <w:bookmarkStart w:id="6" w:name="_Toc143336304"/>
      <w:r w:rsidRPr="00072D37">
        <w:rPr>
          <w:rFonts w:ascii="Arial" w:hAnsi="Arial" w:cs="Arial"/>
          <w:lang w:val="en-US"/>
        </w:rPr>
        <w:fldChar w:fldCharType="end"/>
      </w:r>
      <w:r w:rsidRPr="00072D37">
        <w:rPr>
          <w:rFonts w:ascii="Arial" w:hAnsi="Arial" w:cs="Arial"/>
          <w:lang w:val="en-US"/>
        </w:rPr>
        <w:t xml:space="preserve"> Perfusate sample proce</w:t>
      </w:r>
      <w:r w:rsidR="00D0556B" w:rsidRPr="00072D37">
        <w:rPr>
          <w:rFonts w:ascii="Arial" w:hAnsi="Arial" w:cs="Arial"/>
          <w:lang w:val="en-US"/>
        </w:rPr>
        <w:t>s</w:t>
      </w:r>
      <w:r w:rsidR="00397D92">
        <w:rPr>
          <w:rFonts w:ascii="Arial" w:hAnsi="Arial" w:cs="Arial"/>
          <w:lang w:val="en-US"/>
        </w:rPr>
        <w:t>sing</w:t>
      </w:r>
      <w:bookmarkEnd w:id="6"/>
    </w:p>
    <w:p w14:paraId="58A4D0D7" w14:textId="13450E75" w:rsidR="00C26BB3" w:rsidRPr="00072D37" w:rsidRDefault="00B44BA6" w:rsidP="00DA4897">
      <w:pPr>
        <w:rPr>
          <w:lang w:val="en-US"/>
        </w:rPr>
      </w:pPr>
      <w:r w:rsidRPr="00072D37">
        <w:rPr>
          <w:lang w:val="en-US"/>
        </w:rPr>
        <w:t>Perfusate samples were centrifugated at 2000 rpm for 10 min at 4</w:t>
      </w:r>
      <w:r w:rsidR="00BB6BA5" w:rsidRPr="00072D37">
        <w:rPr>
          <w:lang w:val="en-US"/>
        </w:rPr>
        <w:t>°</w:t>
      </w:r>
      <w:r w:rsidRPr="00072D37">
        <w:rPr>
          <w:lang w:val="en-US"/>
        </w:rPr>
        <w:t xml:space="preserve">C </w:t>
      </w:r>
      <w:r w:rsidR="00C25E53" w:rsidRPr="00072D37">
        <w:rPr>
          <w:lang w:val="en-US"/>
        </w:rPr>
        <w:t>(</w:t>
      </w:r>
      <w:proofErr w:type="spellStart"/>
      <w:r w:rsidR="00C25E53" w:rsidRPr="00072D37">
        <w:rPr>
          <w:lang w:val="en-US"/>
        </w:rPr>
        <w:t>Haereus</w:t>
      </w:r>
      <w:proofErr w:type="spellEnd"/>
      <w:r w:rsidR="00C25E53" w:rsidRPr="00072D37">
        <w:rPr>
          <w:lang w:val="en-US"/>
        </w:rPr>
        <w:t xml:space="preserve"> </w:t>
      </w:r>
      <w:proofErr w:type="spellStart"/>
      <w:r w:rsidR="00C25E53" w:rsidRPr="00072D37">
        <w:rPr>
          <w:lang w:val="en-US"/>
        </w:rPr>
        <w:t>Multifuge</w:t>
      </w:r>
      <w:proofErr w:type="spellEnd"/>
      <w:r w:rsidR="00C25E53" w:rsidRPr="00072D37">
        <w:rPr>
          <w:lang w:val="en-US"/>
        </w:rPr>
        <w:t xml:space="preserve"> X3R, </w:t>
      </w:r>
      <w:proofErr w:type="spellStart"/>
      <w:r w:rsidR="00FD7FBA" w:rsidRPr="00072D37">
        <w:rPr>
          <w:lang w:val="en-US"/>
        </w:rPr>
        <w:t>Thermo</w:t>
      </w:r>
      <w:proofErr w:type="spellEnd"/>
      <w:r w:rsidR="00FD7FBA" w:rsidRPr="00072D37">
        <w:rPr>
          <w:lang w:val="en-US"/>
        </w:rPr>
        <w:t xml:space="preserve"> Fisher Scientific Inc., Cambridge, UK</w:t>
      </w:r>
      <w:r w:rsidR="00C25E53" w:rsidRPr="00072D37">
        <w:rPr>
          <w:lang w:val="en-US"/>
        </w:rPr>
        <w:t>)</w:t>
      </w:r>
      <w:r w:rsidRPr="00072D37">
        <w:rPr>
          <w:lang w:val="en-US"/>
        </w:rPr>
        <w:t xml:space="preserve">. Supernatants were collected </w:t>
      </w:r>
      <w:r w:rsidR="00C26BB3" w:rsidRPr="00072D37">
        <w:rPr>
          <w:lang w:val="en-US"/>
        </w:rPr>
        <w:t xml:space="preserve">and purified with </w:t>
      </w:r>
      <w:proofErr w:type="spellStart"/>
      <w:r w:rsidR="00C26BB3" w:rsidRPr="00072D37">
        <w:rPr>
          <w:lang w:val="en-US"/>
        </w:rPr>
        <w:t>Amicon</w:t>
      </w:r>
      <w:proofErr w:type="spellEnd"/>
      <w:r w:rsidR="00C26BB3" w:rsidRPr="00072D37">
        <w:rPr>
          <w:lang w:val="en-US"/>
        </w:rPr>
        <w:t xml:space="preserve"> Ultra 100K centrifugal filter devices (</w:t>
      </w:r>
      <w:proofErr w:type="spellStart"/>
      <w:r w:rsidR="00C26BB3" w:rsidRPr="00072D37">
        <w:rPr>
          <w:lang w:val="en-US"/>
        </w:rPr>
        <w:t>MilliporeSigma</w:t>
      </w:r>
      <w:proofErr w:type="spellEnd"/>
      <w:r w:rsidR="00B40F39" w:rsidRPr="00072D37">
        <w:rPr>
          <w:lang w:val="en-US"/>
        </w:rPr>
        <w:t xml:space="preserve">, </w:t>
      </w:r>
      <w:r w:rsidR="00D0556B" w:rsidRPr="00072D37">
        <w:rPr>
          <w:lang w:val="en-US"/>
        </w:rPr>
        <w:t>Frankfurter, Germany</w:t>
      </w:r>
      <w:r w:rsidR="00C26BB3" w:rsidRPr="00072D37">
        <w:rPr>
          <w:lang w:val="en-US"/>
        </w:rPr>
        <w:t xml:space="preserve">) to avoid colorimetric interferences possibly given by </w:t>
      </w:r>
      <w:proofErr w:type="spellStart"/>
      <w:r w:rsidR="00C26BB3" w:rsidRPr="00072D37">
        <w:rPr>
          <w:lang w:val="en-US"/>
        </w:rPr>
        <w:t>Oxyglobin</w:t>
      </w:r>
      <w:proofErr w:type="spellEnd"/>
      <w:r w:rsidR="00C26BB3" w:rsidRPr="00072D37">
        <w:rPr>
          <w:lang w:val="en-US"/>
        </w:rPr>
        <w:t>®. Briefly, 500 µL of each sample were loaded onto the columns and centrifuged at 13500 rpm for 15 min</w:t>
      </w:r>
      <w:r w:rsidR="00C25E53" w:rsidRPr="00072D37">
        <w:rPr>
          <w:lang w:val="en-US"/>
        </w:rPr>
        <w:t xml:space="preserve"> (</w:t>
      </w:r>
      <w:proofErr w:type="spellStart"/>
      <w:r w:rsidR="00C25E53" w:rsidRPr="00072D37">
        <w:rPr>
          <w:lang w:val="en-US"/>
        </w:rPr>
        <w:t>Haereus</w:t>
      </w:r>
      <w:proofErr w:type="spellEnd"/>
      <w:r w:rsidR="00C25E53" w:rsidRPr="00072D37">
        <w:rPr>
          <w:lang w:val="en-US"/>
        </w:rPr>
        <w:t xml:space="preserve"> </w:t>
      </w:r>
      <w:proofErr w:type="spellStart"/>
      <w:r w:rsidR="00C25E53" w:rsidRPr="00072D37">
        <w:rPr>
          <w:lang w:val="en-US"/>
        </w:rPr>
        <w:t>Multifuge</w:t>
      </w:r>
      <w:proofErr w:type="spellEnd"/>
      <w:r w:rsidR="00C25E53" w:rsidRPr="00072D37">
        <w:rPr>
          <w:lang w:val="en-US"/>
        </w:rPr>
        <w:t xml:space="preserve"> X3R)</w:t>
      </w:r>
      <w:r w:rsidR="00C26BB3" w:rsidRPr="00072D37">
        <w:rPr>
          <w:lang w:val="en-US"/>
        </w:rPr>
        <w:t xml:space="preserve">. </w:t>
      </w:r>
      <w:r w:rsidR="00E76576" w:rsidRPr="00072D37">
        <w:rPr>
          <w:lang w:val="en-US"/>
        </w:rPr>
        <w:t>Next,</w:t>
      </w:r>
      <w:r w:rsidR="00C26BB3" w:rsidRPr="00072D37">
        <w:rPr>
          <w:lang w:val="en-US"/>
        </w:rPr>
        <w:t xml:space="preserve"> eluates were collected and stored at -80°C for subsequent biomolecular analysis.</w:t>
      </w:r>
    </w:p>
    <w:p w14:paraId="25E800A4" w14:textId="2CA53311" w:rsidR="00ED5DA4" w:rsidRPr="00072D37" w:rsidRDefault="00ED5DA4" w:rsidP="005206DD">
      <w:pPr>
        <w:pStyle w:val="Heading3"/>
        <w:rPr>
          <w:rFonts w:ascii="Arial" w:hAnsi="Arial" w:cs="Arial"/>
          <w:lang w:val="en-US"/>
        </w:rPr>
      </w:pPr>
      <w:r w:rsidRPr="00072D37">
        <w:rPr>
          <w:rFonts w:ascii="Arial" w:hAnsi="Arial" w:cs="Arial"/>
          <w:lang w:val="en-US"/>
        </w:rPr>
        <w:fldChar w:fldCharType="begin"/>
      </w:r>
      <w:r w:rsidRPr="00072D37">
        <w:rPr>
          <w:rFonts w:ascii="Arial" w:hAnsi="Arial" w:cs="Arial"/>
          <w:lang w:val="en-US"/>
        </w:rPr>
        <w:instrText xml:space="preserve"> AUTONUMLGL </w:instrText>
      </w:r>
      <w:bookmarkStart w:id="7" w:name="_Toc143336305"/>
      <w:r w:rsidRPr="00072D37">
        <w:rPr>
          <w:rFonts w:ascii="Arial" w:hAnsi="Arial" w:cs="Arial"/>
          <w:lang w:val="en-US"/>
        </w:rPr>
        <w:fldChar w:fldCharType="end"/>
      </w:r>
      <w:r w:rsidRPr="00072D37">
        <w:rPr>
          <w:rFonts w:ascii="Arial" w:hAnsi="Arial" w:cs="Arial"/>
          <w:lang w:val="en-US"/>
        </w:rPr>
        <w:t xml:space="preserve"> Human </w:t>
      </w:r>
      <w:r w:rsidR="00D12463" w:rsidRPr="00072D37">
        <w:rPr>
          <w:rFonts w:ascii="Arial" w:hAnsi="Arial" w:cs="Arial"/>
          <w:lang w:val="en-US"/>
        </w:rPr>
        <w:t>Indoleamine 2,3-Dioxygenase (IDO)</w:t>
      </w:r>
      <w:bookmarkEnd w:id="7"/>
    </w:p>
    <w:p w14:paraId="506D4A5A" w14:textId="609D1494" w:rsidR="00ED5DA4" w:rsidRPr="00072D37" w:rsidRDefault="00ED5DA4" w:rsidP="00DA4897">
      <w:pPr>
        <w:rPr>
          <w:lang w:val="en-US"/>
        </w:rPr>
      </w:pPr>
      <w:r w:rsidRPr="00072D37">
        <w:rPr>
          <w:lang w:val="en-US"/>
        </w:rPr>
        <w:t>The amount of Indoleamine 2,3-Dioxygenase (IDO), was investigated in perfusate</w:t>
      </w:r>
      <w:r w:rsidR="005C63E6" w:rsidRPr="00072D37">
        <w:rPr>
          <w:lang w:val="en-US"/>
        </w:rPr>
        <w:t>s</w:t>
      </w:r>
      <w:r w:rsidRPr="00072D37">
        <w:rPr>
          <w:lang w:val="en-US"/>
        </w:rPr>
        <w:t xml:space="preserve"> and supernatant</w:t>
      </w:r>
      <w:r w:rsidR="005C63E6" w:rsidRPr="00072D37">
        <w:rPr>
          <w:lang w:val="en-US"/>
        </w:rPr>
        <w:t>s</w:t>
      </w:r>
      <w:r w:rsidRPr="00072D37">
        <w:rPr>
          <w:lang w:val="en-US"/>
        </w:rPr>
        <w:t xml:space="preserve"> using a Human Elisa Kit (Invitrogen</w:t>
      </w:r>
      <w:r w:rsidR="005C63E6" w:rsidRPr="00072D37">
        <w:rPr>
          <w:lang w:val="en-US"/>
        </w:rPr>
        <w:t xml:space="preserve">, </w:t>
      </w:r>
      <w:r w:rsidR="00D0556B" w:rsidRPr="00072D37">
        <w:rPr>
          <w:lang w:val="en-US"/>
        </w:rPr>
        <w:t>California, USA</w:t>
      </w:r>
      <w:r w:rsidRPr="00072D37">
        <w:rPr>
          <w:lang w:val="en-US"/>
        </w:rPr>
        <w:t>). Standards were prepared with a serial dilution ranging from 200 ng/mL to 0.819 ng/</w:t>
      </w:r>
      <w:proofErr w:type="spellStart"/>
      <w:r w:rsidRPr="00072D37">
        <w:rPr>
          <w:lang w:val="en-US"/>
        </w:rPr>
        <w:t>mL.</w:t>
      </w:r>
      <w:proofErr w:type="spellEnd"/>
      <w:r w:rsidRPr="00072D37">
        <w:rPr>
          <w:lang w:val="en-US"/>
        </w:rPr>
        <w:t xml:space="preserve"> </w:t>
      </w:r>
      <w:r w:rsidR="00D0556B" w:rsidRPr="00072D37">
        <w:rPr>
          <w:lang w:val="en-US"/>
        </w:rPr>
        <w:t xml:space="preserve">Absorbance readings at 450 nm was performed using a multi-mode microplate reader (Synergy HTX, </w:t>
      </w:r>
      <w:proofErr w:type="spellStart"/>
      <w:r w:rsidR="00D0556B" w:rsidRPr="00072D37">
        <w:rPr>
          <w:lang w:val="en-US"/>
        </w:rPr>
        <w:t>Biotek</w:t>
      </w:r>
      <w:proofErr w:type="spellEnd"/>
      <w:r w:rsidR="00D0556B" w:rsidRPr="00072D37">
        <w:rPr>
          <w:lang w:val="en-US"/>
        </w:rPr>
        <w:t xml:space="preserve"> U.S, Winooski, VT, USA).</w:t>
      </w:r>
    </w:p>
    <w:bookmarkStart w:id="8" w:name="_Toc94893034"/>
    <w:p w14:paraId="550DEAAA" w14:textId="4616C540" w:rsidR="007303D8" w:rsidRPr="00072D37" w:rsidRDefault="007303D8" w:rsidP="00D112CB">
      <w:pPr>
        <w:pStyle w:val="Heading3"/>
        <w:rPr>
          <w:rFonts w:ascii="Arial" w:hAnsi="Arial" w:cs="Arial"/>
          <w:lang w:val="en-US"/>
        </w:rPr>
      </w:pPr>
      <w:r w:rsidRPr="00072D37">
        <w:rPr>
          <w:rFonts w:ascii="Arial" w:hAnsi="Arial" w:cs="Arial"/>
        </w:rPr>
        <w:fldChar w:fldCharType="begin"/>
      </w:r>
      <w:r w:rsidRPr="00072D37">
        <w:rPr>
          <w:rFonts w:ascii="Arial" w:hAnsi="Arial" w:cs="Arial"/>
          <w:lang w:val="en-US"/>
        </w:rPr>
        <w:instrText xml:space="preserve"> AUTONUMLGL </w:instrText>
      </w:r>
      <w:bookmarkStart w:id="9" w:name="_Toc143336306"/>
      <w:r w:rsidRPr="00072D37">
        <w:rPr>
          <w:rFonts w:ascii="Arial" w:hAnsi="Arial" w:cs="Arial"/>
        </w:rPr>
        <w:fldChar w:fldCharType="end"/>
      </w:r>
      <w:r w:rsidRPr="00072D37">
        <w:rPr>
          <w:rFonts w:ascii="Arial" w:hAnsi="Arial" w:cs="Arial"/>
          <w:lang w:val="en-US"/>
        </w:rPr>
        <w:t xml:space="preserve"> Human </w:t>
      </w:r>
      <w:bookmarkEnd w:id="8"/>
      <w:r w:rsidR="00D12463" w:rsidRPr="00072D37">
        <w:rPr>
          <w:rFonts w:ascii="Arial" w:hAnsi="Arial" w:cs="Arial"/>
          <w:lang w:val="en-US"/>
        </w:rPr>
        <w:t>caspase-cleaved keratin 18 (CK18)</w:t>
      </w:r>
      <w:bookmarkEnd w:id="9"/>
    </w:p>
    <w:p w14:paraId="6308EDF7" w14:textId="63FDE079" w:rsidR="00D0556B" w:rsidRPr="00072D37" w:rsidRDefault="007303D8" w:rsidP="00DA4897">
      <w:pPr>
        <w:rPr>
          <w:lang w:val="en-US"/>
        </w:rPr>
      </w:pPr>
      <w:r w:rsidRPr="00072D37">
        <w:rPr>
          <w:lang w:val="en-US"/>
        </w:rPr>
        <w:t>The M30 Elisa kit (</w:t>
      </w:r>
      <w:proofErr w:type="spellStart"/>
      <w:r w:rsidRPr="00072D37">
        <w:rPr>
          <w:lang w:val="en-US"/>
        </w:rPr>
        <w:t>VLVbio</w:t>
      </w:r>
      <w:proofErr w:type="spellEnd"/>
      <w:r w:rsidRPr="00072D37">
        <w:rPr>
          <w:lang w:val="en-US"/>
        </w:rPr>
        <w:t xml:space="preserve"> AB,</w:t>
      </w:r>
      <w:r w:rsidRPr="00072D37">
        <w:rPr>
          <w:shd w:val="clear" w:color="auto" w:fill="FFFFFF"/>
          <w:lang w:val="en-US"/>
        </w:rPr>
        <w:t xml:space="preserve"> </w:t>
      </w:r>
      <w:r w:rsidRPr="00072D37">
        <w:rPr>
          <w:lang w:val="en-US"/>
        </w:rPr>
        <w:t>Nacka, Stockholm, Sweden) is a one-step immunoassay for quantitative determination of the apoptosis-associated caspase-cleaved keratin 18. The M30 antibody recognizes a neo-epitope exposed after caspase cleavage of K18 fragments containing the K18Asp396 neo-epitope. Standard</w:t>
      </w:r>
      <w:r w:rsidR="006A0C6D" w:rsidRPr="00072D37">
        <w:rPr>
          <w:lang w:val="en-US"/>
        </w:rPr>
        <w:t xml:space="preserve"> curve range was from 1.56 </w:t>
      </w:r>
      <w:proofErr w:type="spellStart"/>
      <w:r w:rsidR="006A0C6D" w:rsidRPr="00072D37">
        <w:rPr>
          <w:lang w:val="en-US"/>
        </w:rPr>
        <w:t>mU</w:t>
      </w:r>
      <w:proofErr w:type="spellEnd"/>
      <w:r w:rsidR="006A0C6D" w:rsidRPr="00072D37">
        <w:rPr>
          <w:lang w:val="en-US"/>
        </w:rPr>
        <w:t xml:space="preserve">/ml to 100 </w:t>
      </w:r>
      <w:proofErr w:type="spellStart"/>
      <w:r w:rsidR="006A0C6D" w:rsidRPr="00072D37">
        <w:rPr>
          <w:lang w:val="en-US"/>
        </w:rPr>
        <w:t>mU</w:t>
      </w:r>
      <w:proofErr w:type="spellEnd"/>
      <w:r w:rsidR="006A0C6D" w:rsidRPr="00072D37">
        <w:rPr>
          <w:lang w:val="en-US"/>
        </w:rPr>
        <w:t>/ml</w:t>
      </w:r>
      <w:r w:rsidRPr="00072D37">
        <w:rPr>
          <w:lang w:val="en-US"/>
        </w:rPr>
        <w:t xml:space="preserve">. </w:t>
      </w:r>
      <w:r w:rsidR="00D0556B" w:rsidRPr="00072D37">
        <w:rPr>
          <w:lang w:val="en-US"/>
        </w:rPr>
        <w:t>Absorbance readings at 450 nm was performed using a multi-mode microplate reader (Synergy HTX).</w:t>
      </w:r>
    </w:p>
    <w:p w14:paraId="39D2566E" w14:textId="307A6888" w:rsidR="00D112CB" w:rsidRPr="00072D37" w:rsidRDefault="00D112CB" w:rsidP="00D0556B">
      <w:pPr>
        <w:pStyle w:val="Heading3"/>
        <w:rPr>
          <w:rFonts w:ascii="Arial" w:hAnsi="Arial" w:cs="Arial"/>
          <w:lang w:val="en-US"/>
        </w:rPr>
      </w:pPr>
      <w:r w:rsidRPr="00072D37">
        <w:rPr>
          <w:rFonts w:ascii="Arial" w:hAnsi="Arial" w:cs="Arial"/>
        </w:rPr>
        <w:fldChar w:fldCharType="begin"/>
      </w:r>
      <w:r w:rsidRPr="00072D37">
        <w:rPr>
          <w:rFonts w:ascii="Arial" w:hAnsi="Arial" w:cs="Arial"/>
          <w:lang w:val="en-US"/>
        </w:rPr>
        <w:instrText xml:space="preserve"> AUTONUMLGL </w:instrText>
      </w:r>
      <w:bookmarkStart w:id="10" w:name="_Toc143336307"/>
      <w:r w:rsidRPr="00072D37">
        <w:rPr>
          <w:rFonts w:ascii="Arial" w:hAnsi="Arial" w:cs="Arial"/>
        </w:rPr>
        <w:fldChar w:fldCharType="end"/>
      </w:r>
      <w:r w:rsidRPr="00072D37">
        <w:rPr>
          <w:rFonts w:ascii="Arial" w:hAnsi="Arial" w:cs="Arial"/>
          <w:lang w:val="en-US"/>
        </w:rPr>
        <w:t xml:space="preserve"> Total </w:t>
      </w:r>
      <w:r w:rsidR="009F7EF8" w:rsidRPr="00072D37">
        <w:rPr>
          <w:rFonts w:ascii="Arial" w:hAnsi="Arial" w:cs="Arial"/>
          <w:lang w:val="en-US"/>
        </w:rPr>
        <w:t>nitric oxide (</w:t>
      </w:r>
      <w:r w:rsidRPr="00072D37">
        <w:rPr>
          <w:rFonts w:ascii="Arial" w:hAnsi="Arial" w:cs="Arial"/>
          <w:lang w:val="en-US"/>
        </w:rPr>
        <w:t>NO</w:t>
      </w:r>
      <w:r w:rsidR="009F7EF8" w:rsidRPr="00072D37">
        <w:rPr>
          <w:rFonts w:ascii="Arial" w:hAnsi="Arial" w:cs="Arial"/>
          <w:lang w:val="en-US"/>
        </w:rPr>
        <w:t>)</w:t>
      </w:r>
      <w:r w:rsidRPr="00072D37">
        <w:rPr>
          <w:rFonts w:ascii="Arial" w:hAnsi="Arial" w:cs="Arial"/>
          <w:lang w:val="en-US"/>
        </w:rPr>
        <w:t xml:space="preserve"> metabolites</w:t>
      </w:r>
      <w:bookmarkEnd w:id="10"/>
      <w:r w:rsidRPr="00072D37">
        <w:rPr>
          <w:rFonts w:ascii="Arial" w:hAnsi="Arial" w:cs="Arial"/>
          <w:lang w:val="en-US"/>
        </w:rPr>
        <w:t xml:space="preserve"> </w:t>
      </w:r>
    </w:p>
    <w:p w14:paraId="6F08A5ED" w14:textId="223D91EF" w:rsidR="00D112CB" w:rsidRPr="00072D37" w:rsidRDefault="00D112CB" w:rsidP="00DA4897">
      <w:pPr>
        <w:rPr>
          <w:lang w:val="en-US"/>
        </w:rPr>
      </w:pPr>
      <w:r w:rsidRPr="00072D37">
        <w:rPr>
          <w:lang w:val="en-US"/>
        </w:rPr>
        <w:t xml:space="preserve">Concentration of nitric oxide (NO) was evaluated through assessment of total NO metabolites (nitrites and nitrates) content using Griess reagent. A colorimetric commercially available kit with a detection range of 10–100 </w:t>
      </w:r>
      <w:r w:rsidRPr="00072D37">
        <w:t>μ</w:t>
      </w:r>
      <w:r w:rsidRPr="00072D37">
        <w:rPr>
          <w:lang w:val="en-US"/>
        </w:rPr>
        <w:t>M was utilized (Sigma</w:t>
      </w:r>
      <w:r w:rsidR="009F7EF8" w:rsidRPr="00072D37">
        <w:rPr>
          <w:lang w:val="en-US"/>
        </w:rPr>
        <w:t>-</w:t>
      </w:r>
      <w:r w:rsidRPr="00072D37">
        <w:rPr>
          <w:lang w:val="en-US"/>
        </w:rPr>
        <w:t xml:space="preserve">Aldrich). Samples were loaded into </w:t>
      </w:r>
      <w:proofErr w:type="spellStart"/>
      <w:r w:rsidRPr="00072D37">
        <w:rPr>
          <w:lang w:val="en-US"/>
        </w:rPr>
        <w:t>Amicon</w:t>
      </w:r>
      <w:proofErr w:type="spellEnd"/>
      <w:r w:rsidRPr="00072D37">
        <w:rPr>
          <w:lang w:val="en-US"/>
        </w:rPr>
        <w:t xml:space="preserve"> Ultra 10 K </w:t>
      </w:r>
      <w:r w:rsidRPr="00072D37">
        <w:rPr>
          <w:lang w:val="en-US"/>
        </w:rPr>
        <w:lastRenderedPageBreak/>
        <w:t xml:space="preserve">centrifugal filter devices (Millipore, Burlington, MA, USA) and then subjected to 15-min centrifugation at 14.000 </w:t>
      </w:r>
      <w:r w:rsidRPr="00072D37">
        <w:rPr>
          <w:i/>
          <w:iCs/>
          <w:lang w:val="en-US"/>
        </w:rPr>
        <w:t xml:space="preserve">g </w:t>
      </w:r>
      <w:r w:rsidRPr="00072D37">
        <w:rPr>
          <w:lang w:val="en-US"/>
        </w:rPr>
        <w:t>(</w:t>
      </w:r>
      <w:proofErr w:type="spellStart"/>
      <w:r w:rsidRPr="00072D37">
        <w:rPr>
          <w:lang w:val="en-US"/>
        </w:rPr>
        <w:t>Haereus</w:t>
      </w:r>
      <w:proofErr w:type="spellEnd"/>
      <w:r w:rsidRPr="00072D37">
        <w:rPr>
          <w:lang w:val="en-US"/>
        </w:rPr>
        <w:t xml:space="preserve"> </w:t>
      </w:r>
      <w:proofErr w:type="spellStart"/>
      <w:r w:rsidRPr="00072D37">
        <w:rPr>
          <w:lang w:val="en-US"/>
        </w:rPr>
        <w:t>Multifuge</w:t>
      </w:r>
      <w:proofErr w:type="spellEnd"/>
      <w:r w:rsidRPr="00072D37">
        <w:rPr>
          <w:lang w:val="en-US"/>
        </w:rPr>
        <w:t xml:space="preserve"> X3R). Next, protein- and hemoglobin-free eluates were added to a nitrate reductase according to manufacturer’s instructions. Absorbance readings at 450 nm was performed using a multi-mode microplate reader (Synergy HTX).</w:t>
      </w:r>
    </w:p>
    <w:p w14:paraId="7F9796F1" w14:textId="7AD95884" w:rsidR="0004594F" w:rsidRPr="00072D37" w:rsidRDefault="0004594F" w:rsidP="00425050">
      <w:pPr>
        <w:pStyle w:val="Heading3"/>
        <w:rPr>
          <w:rFonts w:ascii="Arial" w:hAnsi="Arial" w:cs="Arial"/>
          <w:lang w:val="en-US"/>
        </w:rPr>
      </w:pPr>
      <w:r w:rsidRPr="00072D37">
        <w:rPr>
          <w:rFonts w:ascii="Arial" w:hAnsi="Arial" w:cs="Arial"/>
          <w:lang w:val="en-US"/>
        </w:rPr>
        <w:fldChar w:fldCharType="begin"/>
      </w:r>
      <w:r w:rsidRPr="00072D37">
        <w:rPr>
          <w:rFonts w:ascii="Arial" w:hAnsi="Arial" w:cs="Arial"/>
          <w:lang w:val="en-US"/>
        </w:rPr>
        <w:instrText xml:space="preserve"> AUTONUMLGL </w:instrText>
      </w:r>
      <w:bookmarkStart w:id="11" w:name="_Toc143336308"/>
      <w:r w:rsidRPr="00072D37">
        <w:rPr>
          <w:rFonts w:ascii="Arial" w:hAnsi="Arial" w:cs="Arial"/>
          <w:lang w:val="en-US"/>
        </w:rPr>
        <w:fldChar w:fldCharType="end"/>
      </w:r>
      <w:r w:rsidRPr="00072D37">
        <w:rPr>
          <w:rFonts w:ascii="Arial" w:hAnsi="Arial" w:cs="Arial"/>
          <w:lang w:val="en-US"/>
        </w:rPr>
        <w:t xml:space="preserve"> Analysis of </w:t>
      </w:r>
      <w:r w:rsidR="00F34E97" w:rsidRPr="00072D37">
        <w:rPr>
          <w:rFonts w:ascii="Arial" w:hAnsi="Arial" w:cs="Arial"/>
          <w:lang w:val="en-US"/>
        </w:rPr>
        <w:t xml:space="preserve">extracellular </w:t>
      </w:r>
      <w:proofErr w:type="spellStart"/>
      <w:r w:rsidR="00F34E97" w:rsidRPr="00072D37">
        <w:rPr>
          <w:rFonts w:ascii="Arial" w:hAnsi="Arial" w:cs="Arial"/>
          <w:lang w:val="en-US"/>
        </w:rPr>
        <w:t>vesicles</w:t>
      </w:r>
      <w:proofErr w:type="spellEnd"/>
      <w:r w:rsidR="00F34E97" w:rsidRPr="00072D37">
        <w:rPr>
          <w:rFonts w:ascii="Arial" w:hAnsi="Arial" w:cs="Arial"/>
          <w:lang w:val="en-US"/>
        </w:rPr>
        <w:t xml:space="preserve"> (EVs)</w:t>
      </w:r>
      <w:r w:rsidRPr="00072D37">
        <w:rPr>
          <w:rFonts w:ascii="Arial" w:hAnsi="Arial" w:cs="Arial"/>
          <w:lang w:val="en-US"/>
        </w:rPr>
        <w:t xml:space="preserve"> released in the perfusate</w:t>
      </w:r>
      <w:bookmarkEnd w:id="11"/>
    </w:p>
    <w:p w14:paraId="3702C04A" w14:textId="52CE9E16" w:rsidR="0004594F" w:rsidRPr="00072D37" w:rsidRDefault="00BB6BA5" w:rsidP="00DA4897">
      <w:pPr>
        <w:rPr>
          <w:lang w:val="en-US"/>
        </w:rPr>
      </w:pPr>
      <w:r w:rsidRPr="00072D37">
        <w:rPr>
          <w:lang w:val="en-US"/>
        </w:rPr>
        <w:t xml:space="preserve">EVs were isolated from perfusate samples using </w:t>
      </w:r>
      <w:proofErr w:type="spellStart"/>
      <w:r w:rsidRPr="00072D37">
        <w:rPr>
          <w:lang w:val="en-US"/>
        </w:rPr>
        <w:t>qEV</w:t>
      </w:r>
      <w:proofErr w:type="spellEnd"/>
      <w:r w:rsidRPr="00072D37">
        <w:rPr>
          <w:lang w:val="en-US"/>
        </w:rPr>
        <w:t>/35nm size exclusion chromatography columns (</w:t>
      </w:r>
      <w:proofErr w:type="spellStart"/>
      <w:r w:rsidRPr="00072D37">
        <w:rPr>
          <w:lang w:val="en-US"/>
        </w:rPr>
        <w:t>Izon</w:t>
      </w:r>
      <w:proofErr w:type="spellEnd"/>
      <w:r w:rsidRPr="00072D37">
        <w:rPr>
          <w:lang w:val="en-US"/>
        </w:rPr>
        <w:t xml:space="preserve"> Science, Medford, MA), which preferentially isolates EVs between 35-350nm. Isolated EVs then underwent size and concentration measurements by </w:t>
      </w:r>
      <w:proofErr w:type="spellStart"/>
      <w:r w:rsidRPr="00072D37">
        <w:rPr>
          <w:lang w:val="en-US"/>
        </w:rPr>
        <w:t>nanosight</w:t>
      </w:r>
      <w:proofErr w:type="spellEnd"/>
      <w:r w:rsidRPr="00072D37">
        <w:rPr>
          <w:lang w:val="en-US"/>
        </w:rPr>
        <w:t xml:space="preserve"> tracking analysis using a </w:t>
      </w:r>
      <w:proofErr w:type="spellStart"/>
      <w:r w:rsidRPr="00072D37">
        <w:rPr>
          <w:lang w:val="en-US"/>
        </w:rPr>
        <w:t>Nanosight</w:t>
      </w:r>
      <w:proofErr w:type="spellEnd"/>
      <w:r w:rsidRPr="00072D37">
        <w:rPr>
          <w:lang w:val="en-US"/>
        </w:rPr>
        <w:t xml:space="preserve"> NS300 (Malvern Instruments, UK).</w:t>
      </w:r>
    </w:p>
    <w:p w14:paraId="514B30DF" w14:textId="632F71BC" w:rsidR="00704DB0" w:rsidRPr="00072D37" w:rsidRDefault="002E5566" w:rsidP="003E231F">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12" w:name="_Toc143336309"/>
      <w:r w:rsidRPr="00072D37">
        <w:rPr>
          <w:rFonts w:ascii="Arial" w:hAnsi="Arial" w:cs="Arial"/>
        </w:rPr>
        <w:fldChar w:fldCharType="end"/>
      </w:r>
      <w:r w:rsidRPr="00072D37">
        <w:rPr>
          <w:rFonts w:ascii="Arial" w:hAnsi="Arial" w:cs="Arial"/>
        </w:rPr>
        <w:t xml:space="preserve"> </w:t>
      </w:r>
      <w:r w:rsidR="00704DB0" w:rsidRPr="00072D37">
        <w:rPr>
          <w:rFonts w:ascii="Arial" w:hAnsi="Arial" w:cs="Arial"/>
        </w:rPr>
        <w:t>MSC</w:t>
      </w:r>
      <w:r w:rsidR="00E55575" w:rsidRPr="00072D37">
        <w:rPr>
          <w:rFonts w:ascii="Arial" w:hAnsi="Arial" w:cs="Arial"/>
        </w:rPr>
        <w:t xml:space="preserve"> flow-</w:t>
      </w:r>
      <w:proofErr w:type="spellStart"/>
      <w:r w:rsidR="00E55575" w:rsidRPr="00072D37">
        <w:rPr>
          <w:rFonts w:ascii="Arial" w:hAnsi="Arial" w:cs="Arial"/>
        </w:rPr>
        <w:t>c</w:t>
      </w:r>
      <w:r w:rsidR="007C590E" w:rsidRPr="00072D37">
        <w:rPr>
          <w:rFonts w:ascii="Arial" w:hAnsi="Arial" w:cs="Arial"/>
        </w:rPr>
        <w:t>i</w:t>
      </w:r>
      <w:r w:rsidR="00E55575" w:rsidRPr="00072D37">
        <w:rPr>
          <w:rFonts w:ascii="Arial" w:hAnsi="Arial" w:cs="Arial"/>
        </w:rPr>
        <w:t>tometry</w:t>
      </w:r>
      <w:bookmarkEnd w:id="12"/>
      <w:proofErr w:type="spellEnd"/>
      <w:r w:rsidR="00E55575" w:rsidRPr="00072D37">
        <w:rPr>
          <w:rFonts w:ascii="Arial" w:hAnsi="Arial" w:cs="Arial"/>
        </w:rPr>
        <w:t xml:space="preserve"> </w:t>
      </w:r>
    </w:p>
    <w:p w14:paraId="5F1B57A0" w14:textId="4823F9EB" w:rsidR="00306F11" w:rsidRPr="00072D37" w:rsidRDefault="00704DB0" w:rsidP="00DA4897">
      <w:pPr>
        <w:rPr>
          <w:lang w:val="en-US"/>
        </w:rPr>
      </w:pPr>
      <w:r w:rsidRPr="00072D37">
        <w:rPr>
          <w:lang w:val="en-US"/>
        </w:rPr>
        <w:t xml:space="preserve">Cytofluorimetric analysis was set up as follows: cells were washed with cold FACS buffer and collected by centrifugation (350g, 10 min). </w:t>
      </w:r>
      <w:r w:rsidR="00E16575" w:rsidRPr="00072D37">
        <w:rPr>
          <w:lang w:val="en-US"/>
        </w:rPr>
        <w:t xml:space="preserve">Next, cells were incubated in the dark for 10 min at RT with the following monoclonal mouse anti-human fluorochrome-conjugated antibodies against the indicated surface markers, in different combinations: CD29, CD73, CD90, CD105, CD45, CD31, CD34 (BD Biosciences, San Jose, CA, USA). Biomarkers were selected based on the Guidelines for Standardization and quality assessment for clinical grade MSCs from human adipose tissue formulated by T. Debnath and coworkers </w:t>
      </w:r>
      <w:r w:rsidR="00F9455A" w:rsidRPr="00072D37">
        <w:rPr>
          <w:lang w:val="en-US"/>
        </w:rPr>
        <w:fldChar w:fldCharType="begin" w:fldLock="1"/>
      </w:r>
      <w:r w:rsidR="004B50BC">
        <w:rPr>
          <w:lang w:val="en-US"/>
        </w:rPr>
        <w:instrText>ADDIN CSL_CITATION {"citationItems":[{"id":"ITEM-1","itemData":{"DOI":"10.1016/j.htct.2018.05.001","ISSN":"25311387","abstract":"Background: Mesenchymal stem cells have immense potential in stem cell-based therapies, however there is a pre-requisite to develop a curative cell dose. Adipose tissue-derived mesenchymal stem cells are promising mainly due to their potential abundance, immunomodulatory effect and remarkable differentiation potential. Nevertheless, senescence may develop during their in vitro expansion due to the incidence of genetic instability. Hence, it is important to attain an ideal balance between mesenchymal stem cell growth, quality and genetic integrity before their clinical use. Methods: Stromal vascular fraction was obtained from omentum tissue of patients undergoing liposuction procedures for morbid obesity. This study standardized a closed system protocol which can be utilized for clinical grade stem cell derivation. Stages of cell growth and characterization of human adipose tissue-derived mesenchymal stem cells were also assessed along with the chromosomal stability in these in vitro cultures. Results: Human adipose tissue-derived mesenchymal stem cells maintained their spindle-shaped morphology and were able to proliferate and renew, confirming their suitability for in vitro cultivation and generate clinical grade mesenchymal stem cells. Immunophenotyping indicates that the cells expressed cluster of differentiation (CD)73/CD90/CD105, mesenchymal stem-cell markers, while lacked CD34/CD45/ Human Leukocyte antigen-antigen D related (HLA-DR) expression (hematopoietic cell markers). A cell cycle study demonstrated growth kinetics under in vitro culture conditions. Human adipose tissue derived mesenchymal stem cells expressed normal cell karyotype by chromosomal G-banding indicating their genetic stability at Passage 5. Mesenchymal stem cells also demonstrated trilineage differentiation. Conclusions: Availability of adipose tissue in abundance is a major advantage for clinical applications. Furthermore, detailed characterization of human adipose tissue-derived mesenchymal stem cells, their genomic stability and differentiation potential from stromal vascular fraction of human adipose tissue would help assist in tissue regeneration and repair.","author":[{"dropping-particle":"","family":"Debnath","given":"Tanya","non-dropping-particle":"","parse-names":false,"suffix":""},{"dropping-particle":"","family":"Chelluri","given":"Lakshmi Kiran","non-dropping-particle":"","parse-names":false,"suffix":""}],"container-title":"Hematology, Transfusion and Cell Therapy","id":"ITEM-1","issue":"1","issued":{"date-parts":[["2019"]]},"page":"7-16","title":"Standardization and quality assessment for clinical grade mesenchymal stem cells from human adipose tissue","type":"article-journal","volume":"41"},"uris":["http://www.mendeley.com/documents/?uuid=7a07aec0-672a-460f-87bb-1788afd1a0db"]}],"mendeley":{"formattedCitation":"&lt;sup&gt;1&lt;/sup&gt;","plainTextFormattedCitation":"1","previouslyFormattedCitation":"[1]"},"properties":{"noteIndex":0},"schema":"https://github.com/citation-style-language/schema/raw/master/csl-citation.json"}</w:instrText>
      </w:r>
      <w:r w:rsidR="00F9455A" w:rsidRPr="00072D37">
        <w:rPr>
          <w:lang w:val="en-US"/>
        </w:rPr>
        <w:fldChar w:fldCharType="separate"/>
      </w:r>
      <w:r w:rsidR="004B50BC" w:rsidRPr="004B50BC">
        <w:rPr>
          <w:noProof/>
          <w:vertAlign w:val="superscript"/>
          <w:lang w:val="en-US"/>
        </w:rPr>
        <w:t>1</w:t>
      </w:r>
      <w:r w:rsidR="00F9455A" w:rsidRPr="00072D37">
        <w:rPr>
          <w:lang w:val="en-US"/>
        </w:rPr>
        <w:fldChar w:fldCharType="end"/>
      </w:r>
      <w:r w:rsidR="00F9455A" w:rsidRPr="00072D37">
        <w:rPr>
          <w:lang w:val="en-US"/>
        </w:rPr>
        <w:t xml:space="preserve">. </w:t>
      </w:r>
    </w:p>
    <w:p w14:paraId="04E49C42" w14:textId="6E3FACC7" w:rsidR="00704DB0" w:rsidRPr="00072D37" w:rsidRDefault="00704DB0" w:rsidP="00DA4897">
      <w:pPr>
        <w:rPr>
          <w:lang w:val="en-US"/>
        </w:rPr>
      </w:pPr>
      <w:r w:rsidRPr="00072D37">
        <w:rPr>
          <w:lang w:val="en-US"/>
        </w:rPr>
        <w:t xml:space="preserve">Labeled cells were acquired and analyzed by a </w:t>
      </w:r>
      <w:proofErr w:type="spellStart"/>
      <w:r w:rsidRPr="00072D37">
        <w:rPr>
          <w:lang w:val="en-US"/>
        </w:rPr>
        <w:t>FACSCantoTM</w:t>
      </w:r>
      <w:proofErr w:type="spellEnd"/>
      <w:r w:rsidRPr="00072D37">
        <w:rPr>
          <w:lang w:val="en-US"/>
        </w:rPr>
        <w:t xml:space="preserve"> Flow Cytometer (BD Biosciences) using the BD </w:t>
      </w:r>
      <w:proofErr w:type="spellStart"/>
      <w:r w:rsidRPr="00072D37">
        <w:rPr>
          <w:lang w:val="en-US"/>
        </w:rPr>
        <w:t>FACSDivaTM</w:t>
      </w:r>
      <w:proofErr w:type="spellEnd"/>
      <w:r w:rsidRPr="00072D37">
        <w:rPr>
          <w:lang w:val="en-US"/>
        </w:rPr>
        <w:t xml:space="preserve"> software to characterize MSCs (CD29+, CD73+, CD90+, CD105+, CD45-, CD31-, CD34-). </w:t>
      </w:r>
    </w:p>
    <w:p w14:paraId="4CEB03CC" w14:textId="57613B19" w:rsidR="00A35BB1" w:rsidRPr="00072D37" w:rsidRDefault="00752EEB" w:rsidP="003E231F">
      <w:pPr>
        <w:pStyle w:val="Heading2"/>
        <w:rPr>
          <w:rFonts w:ascii="Arial" w:hAnsi="Arial" w:cs="Arial"/>
          <w:color w:val="4472C4" w:themeColor="accent1"/>
        </w:rPr>
      </w:pPr>
      <w:r w:rsidRPr="00072D37">
        <w:rPr>
          <w:rFonts w:ascii="Arial" w:hAnsi="Arial" w:cs="Arial"/>
        </w:rPr>
        <w:fldChar w:fldCharType="begin"/>
      </w:r>
      <w:r w:rsidRPr="00551491">
        <w:rPr>
          <w:rFonts w:ascii="Arial" w:hAnsi="Arial" w:cs="Arial"/>
        </w:rPr>
        <w:instrText xml:space="preserve"> AUTONUMLGL </w:instrText>
      </w:r>
      <w:bookmarkStart w:id="13" w:name="_Toc143336310"/>
      <w:r w:rsidRPr="00072D37">
        <w:rPr>
          <w:rFonts w:ascii="Arial" w:hAnsi="Arial" w:cs="Arial"/>
        </w:rPr>
        <w:fldChar w:fldCharType="end"/>
      </w:r>
      <w:r w:rsidR="00610E6B" w:rsidRPr="00072D37">
        <w:rPr>
          <w:rFonts w:ascii="Arial" w:hAnsi="Arial" w:cs="Arial"/>
        </w:rPr>
        <w:t xml:space="preserve"> </w:t>
      </w:r>
      <w:r w:rsidR="00890207" w:rsidRPr="00072D37">
        <w:rPr>
          <w:rFonts w:ascii="Arial" w:hAnsi="Arial" w:cs="Arial"/>
        </w:rPr>
        <w:t>Animals</w:t>
      </w:r>
      <w:r w:rsidR="00551491">
        <w:rPr>
          <w:rFonts w:ascii="Arial" w:hAnsi="Arial" w:cs="Arial"/>
        </w:rPr>
        <w:t xml:space="preserve"> and sample size calculation</w:t>
      </w:r>
      <w:bookmarkEnd w:id="13"/>
    </w:p>
    <w:p w14:paraId="085F65FD" w14:textId="3A737806" w:rsidR="00890207" w:rsidRDefault="00890207" w:rsidP="00DA4897">
      <w:pPr>
        <w:rPr>
          <w:lang w:val="en-US"/>
        </w:rPr>
      </w:pPr>
      <w:r w:rsidRPr="00072D37">
        <w:rPr>
          <w:lang w:val="en-US"/>
        </w:rPr>
        <w:t>Animals received humane care in compliance with the European Union Directive 2010/63/EU and the Italian Legislative Decree 26/2014. Experiments were planned according to the Planning Research and Experimental Procedures on Animals: Recommendations for Excellence (PREPARE) guidelines  and performed in compliance with the 3R principles</w:t>
      </w:r>
      <w:r w:rsidR="00E73666">
        <w:rPr>
          <w:lang w:val="en-US"/>
        </w:rPr>
        <w:t xml:space="preserve"> </w:t>
      </w:r>
      <w:r w:rsidR="00E73666">
        <w:rPr>
          <w:lang w:val="en-US"/>
        </w:rPr>
        <w:fldChar w:fldCharType="begin" w:fldLock="1"/>
      </w:r>
      <w:r w:rsidR="004B50BC">
        <w:rPr>
          <w:lang w:val="en-US"/>
        </w:rPr>
        <w:instrText>ADDIN CSL_CITATION {"citationItems":[{"id":"ITEM-1","itemData":{"DOI":"10.1177/0261192920911339","ISSN":"26323559","PMID":"32316753","abstract":"In the 60 years since the publication of The Principles of Humane Experimental Technique, the Three Rs (Reduction, Refinement, Replacement) proposed by William Russell and Rex Burch have gradually been accepted throughout the world as ways of facing up to the ethical and scientific dilemmas involved in animal experimentation. However, the scale of animal use and the use of animals as models of humans has continued, seemingly almost unchallenged in much of the scientific community, despite the warnings about models, species differences and human variation spelled out in the The Principles. In this Comment, it is proposed that it is time to move away from the animal welfare focus of the Three Rs, in favour of a wider concept of humanity, which also embraces human welfare. In addition, since less than 10% of new drugs successfully pass from preclinical testing, which is highly reliant on animal procedures, to acceptance for clinical use, it is argued that the aim should not be to directly replace animal testing with non-animal methods with similar aims and which produce similar results, but to take advantage of developments in cell and molecular biology and in computer science, to devise new, different, appropriate, specific and intelligent stand-alone preclinical testing strategies that are applicable to particular human situations.","author":[{"dropping-particle":"","family":"Balls","given":"Michael","non-dropping-particle":"","parse-names":false,"suffix":""}],"container-title":"ATLA Alternatives to Laboratory Animals","id":"ITEM-1","issue":"1","issued":{"date-parts":[["2020"]]},"page":"40-46","title":"It’s Time to Reconsider The Principles of Humane Experimental Technique","type":"article-journal","volume":"48"},"uris":["http://www.mendeley.com/documents/?uuid=5b97a46f-4228-4a6d-9a4c-dd025c9ccd2a"]},{"id":"ITEM-2","itemData":{"DOI":"10.1017/CBO9781107415324.004","ISBN":"0900767782","ISSN":"1868-596X","PMID":"3484760","abstract":"The theme of this book is that the humane treatment of experimental animals is not only desirable on ethical grounds but is actually a prerequisite for successful animal experiment \". The work was sponsored by the Universities Federation of Animal Welfare and is another example of the Federation's laudable efforts to reduce the amount of suffering among animals by employing a rational and scientific rather than an emotional and subjective approach. The book is in two parts. Part One begins with a discussion of the Concept of inhumanity briefly summarising our knowledge of the mechanisms of pain and distress in animals and attempting to lay down some criteria for their estimation. Throughout the book references are given to publications in a great variety of fields and an example here is that to Dr Phyllis Croft's valuable work on the effects of conscious pain upon the heart rate. This is of particular importance in view of the increasing use of muscular relaxants. The following chapters include a fairly elaborate analysis based upon the L. A. B. Survey for 1952. The distribution of the various species of experimental animals between different types of laboratory, the degree of severity of the more widely employed techniques and many other aspects of the subject are described and tabulated. One of Dr Russell's characteristically valuable contributions appears in this section-the distinction between direct \"and contingent inhumanity \". Part Two is entitled The progress of human technique\" and forms, in effect, a survey of the methods used in biological investigation with suggestions as to their improvement from a humanitarian aspect by. one of three methods. In the definition of these three methods, Dr Russell has classified and simplified a confusing picture by coining the terms \"replacement\", \"reduction\" and refinement \". Replacement implies the use of micro-organisms, tissue cultures, chemical methods, mechanical or electrical models, etc., instead of sentient creatures. \"Refinement\" is a subtle concept, difficult to summarise. \"Reduction however, it seems to me, is a method of approach of wide application and invariable advantage to the experimenter. Its basis is almost pure mathematics and in essence concerns the planning of experiments in such a fashion that statistical analysis will afford the desired result with but a tithe of the animals required in an unplanned experiment. Here surely is an advance which can be applied in many fields and which i","author":[{"dropping-particle":"","family":"Russell","given":"W.M.S.","non-dropping-particle":"","parse-names":false,"suffix":""},{"dropping-particle":"","family":"Burch","given":"R.L.","non-dropping-particle":"","parse-names":false,"suffix":""}],"container-title":"Methuen and Co., Ltd.","id":"ITEM-2","issued":{"date-parts":[["1959"]]},"title":"The Principles of Humane Experimental Technique","type":"article-journal"},"uris":["http://www.mendeley.com/documents/?uuid=ffcabfb7-7276-466c-9a19-2039f931c556"]}],"mendeley":{"formattedCitation":"&lt;sup&gt;2,3&lt;/sup&gt;","plainTextFormattedCitation":"2,3","previouslyFormattedCitation":"[2,3]"},"properties":{"noteIndex":0},"schema":"https://github.com/citation-style-language/schema/raw/master/csl-citation.json"}</w:instrText>
      </w:r>
      <w:r w:rsidR="00E73666">
        <w:rPr>
          <w:lang w:val="en-US"/>
        </w:rPr>
        <w:fldChar w:fldCharType="separate"/>
      </w:r>
      <w:r w:rsidR="004B50BC" w:rsidRPr="004B50BC">
        <w:rPr>
          <w:noProof/>
          <w:vertAlign w:val="superscript"/>
          <w:lang w:val="en-US"/>
        </w:rPr>
        <w:t>2,3</w:t>
      </w:r>
      <w:r w:rsidR="00E73666">
        <w:rPr>
          <w:lang w:val="en-US"/>
        </w:rPr>
        <w:fldChar w:fldCharType="end"/>
      </w:r>
      <w:r w:rsidRPr="00072D37">
        <w:rPr>
          <w:lang w:val="en-US"/>
        </w:rPr>
        <w:t>.</w:t>
      </w:r>
    </w:p>
    <w:p w14:paraId="66664D92" w14:textId="69E0ABB4" w:rsidR="00551491" w:rsidRPr="00551491" w:rsidRDefault="00551491" w:rsidP="00551491">
      <w:pPr>
        <w:rPr>
          <w:lang w:val="en-US"/>
        </w:rPr>
      </w:pPr>
      <w:r w:rsidRPr="00551491">
        <w:rPr>
          <w:lang w:val="en-US"/>
        </w:rPr>
        <w:t>An “a priori” power analysis was carried out to estimate the minimum number of animals needed to reliably detect the expected effect size.</w:t>
      </w:r>
      <w:r w:rsidR="000F7E2B">
        <w:rPr>
          <w:lang w:val="en-US"/>
        </w:rPr>
        <w:t xml:space="preserve"> </w:t>
      </w:r>
      <w:r w:rsidRPr="00551491">
        <w:rPr>
          <w:lang w:val="en-US"/>
        </w:rPr>
        <w:t xml:space="preserve">Given the well-known negative effects of reperfusion on mitochondrial oxidative phosphorylation, ATP liver content was used as reference variable to explore </w:t>
      </w:r>
      <w:r w:rsidR="008B13ED">
        <w:rPr>
          <w:lang w:val="en-US"/>
        </w:rPr>
        <w:t>the effects exerted by the MSCs-bioreactor-based perfusion</w:t>
      </w:r>
      <w:r w:rsidRPr="00551491">
        <w:rPr>
          <w:lang w:val="en-US"/>
        </w:rPr>
        <w:t>. Details on sample size calculation are listed below:</w:t>
      </w:r>
    </w:p>
    <w:p w14:paraId="7DBACDA6" w14:textId="66B517E3" w:rsidR="00551491" w:rsidRPr="00551491" w:rsidRDefault="00551491" w:rsidP="00551491">
      <w:pPr>
        <w:rPr>
          <w:lang w:val="en-US"/>
        </w:rPr>
      </w:pPr>
      <w:r w:rsidRPr="00551491">
        <w:rPr>
          <w:lang w:val="en-US"/>
        </w:rPr>
        <w:t>•</w:t>
      </w:r>
      <w:r w:rsidRPr="00551491">
        <w:rPr>
          <w:lang w:val="en-US"/>
        </w:rPr>
        <w:tab/>
        <w:t xml:space="preserve">number of groups: 3 (Native, NMP, </w:t>
      </w:r>
      <w:proofErr w:type="spellStart"/>
      <w:r w:rsidRPr="00551491">
        <w:rPr>
          <w:lang w:val="en-US"/>
        </w:rPr>
        <w:t>NMP</w:t>
      </w:r>
      <w:r w:rsidR="00E73666">
        <w:rPr>
          <w:lang w:val="en-US"/>
        </w:rPr>
        <w:t>+bioreactor</w:t>
      </w:r>
      <w:proofErr w:type="spellEnd"/>
      <w:r w:rsidRPr="00551491">
        <w:rPr>
          <w:lang w:val="en-US"/>
        </w:rPr>
        <w:t xml:space="preserve">); </w:t>
      </w:r>
    </w:p>
    <w:p w14:paraId="027063ED" w14:textId="4DF2B5A6" w:rsidR="00551491" w:rsidRPr="00551491" w:rsidRDefault="00551491" w:rsidP="00551491">
      <w:pPr>
        <w:rPr>
          <w:lang w:val="en-US"/>
        </w:rPr>
      </w:pPr>
      <w:r w:rsidRPr="00551491">
        <w:rPr>
          <w:lang w:val="en-US"/>
        </w:rPr>
        <w:t>•</w:t>
      </w:r>
      <w:r w:rsidRPr="00551491">
        <w:rPr>
          <w:lang w:val="en-US"/>
        </w:rPr>
        <w:tab/>
        <w:t xml:space="preserve">statistical test: one-way or two-way </w:t>
      </w:r>
      <w:r w:rsidR="0061351A">
        <w:rPr>
          <w:lang w:val="en-US"/>
        </w:rPr>
        <w:t xml:space="preserve">repeated measures </w:t>
      </w:r>
      <w:r w:rsidRPr="00551491">
        <w:rPr>
          <w:lang w:val="en-US"/>
        </w:rPr>
        <w:t xml:space="preserve">ANOVA; </w:t>
      </w:r>
    </w:p>
    <w:p w14:paraId="2CB63013" w14:textId="0BBF54C5" w:rsidR="00551491" w:rsidRPr="00551491" w:rsidRDefault="00551491" w:rsidP="00551491">
      <w:pPr>
        <w:rPr>
          <w:lang w:val="en-US"/>
        </w:rPr>
      </w:pPr>
      <w:r w:rsidRPr="00551491">
        <w:rPr>
          <w:lang w:val="en-US"/>
        </w:rPr>
        <w:lastRenderedPageBreak/>
        <w:t>•</w:t>
      </w:r>
      <w:r w:rsidRPr="00551491">
        <w:rPr>
          <w:lang w:val="en-US"/>
        </w:rPr>
        <w:tab/>
        <w:t xml:space="preserve">expected effect size: </w:t>
      </w:r>
      <w:r w:rsidR="0061351A">
        <w:rPr>
          <w:lang w:val="en-US"/>
        </w:rPr>
        <w:t>0.45</w:t>
      </w:r>
      <w:r w:rsidRPr="00551491">
        <w:rPr>
          <w:lang w:val="en-US"/>
        </w:rPr>
        <w:t xml:space="preserve">; </w:t>
      </w:r>
    </w:p>
    <w:p w14:paraId="645F0C7D" w14:textId="4D0E2E9E" w:rsidR="00551491" w:rsidRPr="00551491" w:rsidRDefault="00551491" w:rsidP="00551491">
      <w:pPr>
        <w:rPr>
          <w:lang w:val="en-US"/>
        </w:rPr>
      </w:pPr>
      <w:r w:rsidRPr="00551491">
        <w:rPr>
          <w:lang w:val="en-US"/>
        </w:rPr>
        <w:t>•</w:t>
      </w:r>
      <w:r w:rsidRPr="00551491">
        <w:rPr>
          <w:lang w:val="en-US"/>
        </w:rPr>
        <w:tab/>
        <w:t>expected standard deviation</w:t>
      </w:r>
      <w:r w:rsidR="0061351A">
        <w:rPr>
          <w:lang w:val="en-US"/>
        </w:rPr>
        <w:t xml:space="preserve"> of residuals</w:t>
      </w:r>
      <w:r w:rsidRPr="00551491">
        <w:rPr>
          <w:lang w:val="en-US"/>
        </w:rPr>
        <w:t xml:space="preserve">: </w:t>
      </w:r>
      <w:r w:rsidR="0061351A">
        <w:rPr>
          <w:lang w:val="en-US"/>
        </w:rPr>
        <w:t>0.20</w:t>
      </w:r>
      <w:r w:rsidRPr="00551491">
        <w:rPr>
          <w:lang w:val="en-US"/>
        </w:rPr>
        <w:t xml:space="preserve">; </w:t>
      </w:r>
    </w:p>
    <w:p w14:paraId="2D6F021C" w14:textId="77777777" w:rsidR="00551491" w:rsidRPr="00551491" w:rsidRDefault="00551491" w:rsidP="00551491">
      <w:pPr>
        <w:rPr>
          <w:lang w:val="en-US"/>
        </w:rPr>
      </w:pPr>
      <w:r w:rsidRPr="00551491">
        <w:rPr>
          <w:lang w:val="en-US"/>
        </w:rPr>
        <w:t>•</w:t>
      </w:r>
      <w:r w:rsidRPr="00551491">
        <w:rPr>
          <w:lang w:val="en-US"/>
        </w:rPr>
        <w:tab/>
        <w:t xml:space="preserve">desired power: 0.80; </w:t>
      </w:r>
    </w:p>
    <w:p w14:paraId="16B0B8D4" w14:textId="77777777" w:rsidR="00551491" w:rsidRPr="00551491" w:rsidRDefault="00551491" w:rsidP="00551491">
      <w:pPr>
        <w:rPr>
          <w:lang w:val="en-US"/>
        </w:rPr>
      </w:pPr>
      <w:r w:rsidRPr="00551491">
        <w:rPr>
          <w:lang w:val="en-US"/>
        </w:rPr>
        <w:t>•</w:t>
      </w:r>
      <w:r w:rsidRPr="00551491">
        <w:rPr>
          <w:lang w:val="en-US"/>
        </w:rPr>
        <w:tab/>
        <w:t>alpha error: 0.05.</w:t>
      </w:r>
    </w:p>
    <w:p w14:paraId="72176540" w14:textId="10ED8B68" w:rsidR="00551491" w:rsidRDefault="00551491" w:rsidP="00551491">
      <w:pPr>
        <w:rPr>
          <w:lang w:val="en-US"/>
        </w:rPr>
      </w:pPr>
      <w:r w:rsidRPr="00551491">
        <w:rPr>
          <w:lang w:val="en-US"/>
        </w:rPr>
        <w:t>The analysis provided a minimum number of 5 livers for each experimental group. The final number needed to perform the whole study was therefore 15.</w:t>
      </w:r>
    </w:p>
    <w:p w14:paraId="0409DA3E" w14:textId="4C5D1126" w:rsidR="00551491" w:rsidRPr="00551491" w:rsidRDefault="00551491" w:rsidP="00551491">
      <w:pPr>
        <w:pStyle w:val="Heading2"/>
        <w:rPr>
          <w:rFonts w:ascii="Arial" w:hAnsi="Arial" w:cs="Arial"/>
          <w:color w:val="4472C4" w:themeColor="accent1"/>
        </w:rPr>
      </w:pPr>
      <w:r w:rsidRPr="00072D37">
        <w:rPr>
          <w:rFonts w:ascii="Arial" w:hAnsi="Arial" w:cs="Arial"/>
        </w:rPr>
        <w:fldChar w:fldCharType="begin"/>
      </w:r>
      <w:r w:rsidRPr="00551491">
        <w:rPr>
          <w:rFonts w:ascii="Arial" w:hAnsi="Arial" w:cs="Arial"/>
        </w:rPr>
        <w:instrText xml:space="preserve"> AUTONUMLGL </w:instrText>
      </w:r>
      <w:bookmarkStart w:id="14" w:name="_Toc143336311"/>
      <w:r w:rsidRPr="00072D37">
        <w:rPr>
          <w:rFonts w:ascii="Arial" w:hAnsi="Arial" w:cs="Arial"/>
        </w:rPr>
        <w:fldChar w:fldCharType="end"/>
      </w:r>
      <w:r w:rsidRPr="00072D37">
        <w:rPr>
          <w:rFonts w:ascii="Arial" w:hAnsi="Arial" w:cs="Arial"/>
        </w:rPr>
        <w:t xml:space="preserve"> Anesthesia, Surgery, In-situ Perfusion, and liver procurement</w:t>
      </w:r>
      <w:bookmarkEnd w:id="14"/>
    </w:p>
    <w:p w14:paraId="1E6A0593" w14:textId="04DA6606" w:rsidR="00610E6B" w:rsidRPr="00072D37" w:rsidRDefault="00610E6B" w:rsidP="00DA4897">
      <w:pPr>
        <w:rPr>
          <w:lang w:val="en-US"/>
        </w:rPr>
      </w:pPr>
      <w:r w:rsidRPr="00072D37">
        <w:rPr>
          <w:lang w:val="en-US"/>
        </w:rPr>
        <w:t>All experiments were performed in sterile conditions. Rats were anesthetized using Isoflurane (Abbott, Chicago, Illinois, USA) 3-4% (1-2 L/min O2 flow) in a rat anesthetic induction chamber</w:t>
      </w:r>
      <w:r w:rsidR="00EA73B4" w:rsidRPr="00072D37">
        <w:rPr>
          <w:lang w:val="en-US"/>
        </w:rPr>
        <w:t xml:space="preserve"> </w:t>
      </w:r>
      <w:r w:rsidRPr="00072D37">
        <w:rPr>
          <w:lang w:val="en-US"/>
        </w:rPr>
        <w:t xml:space="preserve">for 10 min. When unresponsive to pain, rats were placed onto the operating table, enduring spontaneous breathing with a mask that insufflate O2 and Isoflurane 3-4% (Abbott). </w:t>
      </w:r>
    </w:p>
    <w:p w14:paraId="6464892E" w14:textId="0AA0339B" w:rsidR="00610E6B" w:rsidRPr="00072D37" w:rsidRDefault="00EA73B4" w:rsidP="00DA4897">
      <w:pPr>
        <w:rPr>
          <w:lang w:val="en-US"/>
        </w:rPr>
      </w:pPr>
      <w:r w:rsidRPr="00072D37">
        <w:rPr>
          <w:lang w:val="en-US"/>
        </w:rPr>
        <w:t>The surgical p</w:t>
      </w:r>
      <w:r w:rsidR="00610E6B" w:rsidRPr="00072D37">
        <w:rPr>
          <w:lang w:val="en-US"/>
        </w:rPr>
        <w:t xml:space="preserve">rocedure began with a </w:t>
      </w:r>
      <w:proofErr w:type="spellStart"/>
      <w:r w:rsidR="00610E6B" w:rsidRPr="00072D37">
        <w:rPr>
          <w:lang w:val="en-US"/>
        </w:rPr>
        <w:t>xifo</w:t>
      </w:r>
      <w:proofErr w:type="spellEnd"/>
      <w:r w:rsidR="00610E6B" w:rsidRPr="00072D37">
        <w:rPr>
          <w:lang w:val="en-US"/>
        </w:rPr>
        <w:t xml:space="preserve">-pubic and bilateral subcostal incision. The hepatic pedicle was then exposed, and the bile duct was dissected. Bile duct was distally ligated with an 8-0 nylon tie, then a customized cannula (tip: 24 G cannula Braun, Bethlehem, PA, USA; tube: PE-50, BD-Clay Adams, Becton, UK) was inserted at the end of the </w:t>
      </w:r>
      <w:proofErr w:type="spellStart"/>
      <w:r w:rsidR="00610E6B" w:rsidRPr="00072D37">
        <w:rPr>
          <w:lang w:val="en-US"/>
        </w:rPr>
        <w:t>choledotomy</w:t>
      </w:r>
      <w:proofErr w:type="spellEnd"/>
      <w:r w:rsidR="00610E6B" w:rsidRPr="00072D37">
        <w:rPr>
          <w:lang w:val="en-US"/>
        </w:rPr>
        <w:t>; the cannula was secured with a proximal 8-0 nylon tie. Then, the pyloric vein was ligated (8-0 nylon) and trans</w:t>
      </w:r>
      <w:r w:rsidR="00397D92">
        <w:rPr>
          <w:lang w:val="en-US"/>
        </w:rPr>
        <w:t>e</w:t>
      </w:r>
      <w:r w:rsidR="00610E6B" w:rsidRPr="00072D37">
        <w:rPr>
          <w:lang w:val="en-US"/>
        </w:rPr>
        <w:t xml:space="preserve">cted, and then the main trunk of the portal vein was dissected distally. The portal vein was encircled with three 5-0 silk tie; then </w:t>
      </w:r>
      <w:proofErr w:type="spellStart"/>
      <w:r w:rsidR="00610E6B" w:rsidRPr="00072D37">
        <w:rPr>
          <w:lang w:val="en-US"/>
        </w:rPr>
        <w:t>unfractioned</w:t>
      </w:r>
      <w:proofErr w:type="spellEnd"/>
      <w:r w:rsidR="00610E6B" w:rsidRPr="00072D37">
        <w:rPr>
          <w:lang w:val="en-US"/>
        </w:rPr>
        <w:t xml:space="preserve"> heparin (2 IU/g diluted in 1 mL of saline </w:t>
      </w:r>
      <w:r w:rsidRPr="00072D37">
        <w:rPr>
          <w:lang w:val="en-US"/>
        </w:rPr>
        <w:t xml:space="preserve">from </w:t>
      </w:r>
      <w:r w:rsidR="00610E6B" w:rsidRPr="00072D37">
        <w:rPr>
          <w:lang w:val="en-US"/>
        </w:rPr>
        <w:t xml:space="preserve">Fresenius Medical Care, Bad Homburg </w:t>
      </w:r>
      <w:proofErr w:type="spellStart"/>
      <w:r w:rsidR="00610E6B" w:rsidRPr="00072D37">
        <w:rPr>
          <w:lang w:val="en-US"/>
        </w:rPr>
        <w:t>corder</w:t>
      </w:r>
      <w:proofErr w:type="spellEnd"/>
      <w:r w:rsidR="00610E6B" w:rsidRPr="00072D37">
        <w:rPr>
          <w:lang w:val="en-US"/>
        </w:rPr>
        <w:t xml:space="preserve"> </w:t>
      </w:r>
      <w:proofErr w:type="spellStart"/>
      <w:r w:rsidR="00610E6B" w:rsidRPr="00072D37">
        <w:rPr>
          <w:lang w:val="en-US"/>
        </w:rPr>
        <w:t>Hohe</w:t>
      </w:r>
      <w:proofErr w:type="spellEnd"/>
      <w:r w:rsidR="00610E6B" w:rsidRPr="00072D37">
        <w:rPr>
          <w:lang w:val="en-US"/>
        </w:rPr>
        <w:t>, Germany) was administered by tail intravenous injection. After three min, portal vein was ligated distally to the splenic vein insertion and a 16 G cannula was inserted by venipuncture until the tip of the cannula reached the portal bifurcation. A blood retrograde flush was performed, and the in-situ perfusion system was connected. Then, the cannula was secured with a two-silk tie and gently retracted to avoid obstruction of the right lobe portal vein branch. Rapid sternotomy was performed, the heart was removed, and the inferior vena cava was transected. In-situ cold perfusion (4</w:t>
      </w:r>
      <w:r w:rsidR="00BB6BA5" w:rsidRPr="00072D37">
        <w:rPr>
          <w:lang w:val="en-US"/>
        </w:rPr>
        <w:t>°</w:t>
      </w:r>
      <w:r w:rsidR="00610E6B" w:rsidRPr="00072D37">
        <w:rPr>
          <w:lang w:val="en-US"/>
        </w:rPr>
        <w:t xml:space="preserve">C) was started with 35 mL of </w:t>
      </w:r>
      <w:proofErr w:type="spellStart"/>
      <w:r w:rsidR="00610E6B" w:rsidRPr="00072D37">
        <w:rPr>
          <w:lang w:val="en-US"/>
        </w:rPr>
        <w:t>Celsior</w:t>
      </w:r>
      <w:proofErr w:type="spellEnd"/>
      <w:r w:rsidR="00610E6B" w:rsidRPr="00072D37">
        <w:rPr>
          <w:lang w:val="en-US"/>
        </w:rPr>
        <w:t xml:space="preserve"> solution (IGL, </w:t>
      </w:r>
      <w:proofErr w:type="spellStart"/>
      <w:r w:rsidR="00610E6B" w:rsidRPr="00072D37">
        <w:rPr>
          <w:lang w:val="en-US"/>
        </w:rPr>
        <w:t>Lissieu</w:t>
      </w:r>
      <w:proofErr w:type="spellEnd"/>
      <w:r w:rsidR="00610E6B" w:rsidRPr="00072D37">
        <w:rPr>
          <w:lang w:val="en-US"/>
        </w:rPr>
        <w:t>, France) at a pressure of 30 cmH2O. At the end of in-situ cold perfusion, hepatectomy was completed and the liver graft was stored in 4</w:t>
      </w:r>
      <w:r w:rsidR="00BB6BA5" w:rsidRPr="00072D37">
        <w:rPr>
          <w:lang w:val="en-US"/>
        </w:rPr>
        <w:t>°</w:t>
      </w:r>
      <w:r w:rsidR="00610E6B" w:rsidRPr="00072D37">
        <w:rPr>
          <w:lang w:val="en-US"/>
        </w:rPr>
        <w:t xml:space="preserve">C </w:t>
      </w:r>
      <w:proofErr w:type="spellStart"/>
      <w:r w:rsidR="00610E6B" w:rsidRPr="00072D37">
        <w:rPr>
          <w:lang w:val="en-US"/>
        </w:rPr>
        <w:t>Celsior</w:t>
      </w:r>
      <w:proofErr w:type="spellEnd"/>
      <w:r w:rsidR="00610E6B" w:rsidRPr="00072D37">
        <w:rPr>
          <w:lang w:val="en-US"/>
        </w:rPr>
        <w:t xml:space="preserve"> (IGL) solution for 30 min. At the end of cold storage, </w:t>
      </w:r>
      <w:proofErr w:type="spellStart"/>
      <w:r w:rsidR="00610E6B" w:rsidRPr="00072D37">
        <w:rPr>
          <w:lang w:val="en-US"/>
        </w:rPr>
        <w:t>backtable</w:t>
      </w:r>
      <w:proofErr w:type="spellEnd"/>
      <w:r w:rsidR="00610E6B" w:rsidRPr="00072D37">
        <w:rPr>
          <w:lang w:val="en-US"/>
        </w:rPr>
        <w:t xml:space="preserve"> was completed, while maintaining the liver on a refrigerated surface. </w:t>
      </w:r>
    </w:p>
    <w:p w14:paraId="79697F02" w14:textId="0003AF9D" w:rsidR="00610E6B" w:rsidRPr="00072D37" w:rsidRDefault="00610E6B" w:rsidP="003E231F">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15" w:name="_Toc143336312"/>
      <w:r w:rsidRPr="00072D37">
        <w:rPr>
          <w:rFonts w:ascii="Arial" w:hAnsi="Arial" w:cs="Arial"/>
        </w:rPr>
        <w:fldChar w:fldCharType="end"/>
      </w:r>
      <w:r w:rsidRPr="00072D37">
        <w:rPr>
          <w:rFonts w:ascii="Arial" w:hAnsi="Arial" w:cs="Arial"/>
        </w:rPr>
        <w:t xml:space="preserve"> Liver normothermic perfusion</w:t>
      </w:r>
      <w:bookmarkEnd w:id="15"/>
    </w:p>
    <w:p w14:paraId="643B7D3C" w14:textId="49257421" w:rsidR="00290C07" w:rsidRPr="00072D37" w:rsidRDefault="00290C07" w:rsidP="00DA4897">
      <w:pPr>
        <w:rPr>
          <w:lang w:val="en-US"/>
        </w:rPr>
      </w:pPr>
      <w:r w:rsidRPr="00072D37">
        <w:rPr>
          <w:lang w:val="en-US"/>
        </w:rPr>
        <w:t xml:space="preserve">At the end of SCS, the liver was placed onto the modified glass chamber to let the liver laid on the diaphragmatic surface on a modeled ad hoc, perforated parafilm. The liver was then connected to the primed circuit through the portal vein cannula, while the bile duct cannula was connected to a 1.5 mL </w:t>
      </w:r>
      <w:r w:rsidRPr="00072D37">
        <w:rPr>
          <w:lang w:val="en-US"/>
        </w:rPr>
        <w:lastRenderedPageBreak/>
        <w:t xml:space="preserve">tube in order to collect bile during reperfusion. The chamber was closed to maintain humidity. We carefully avoided air embolism during priming and liver connection. The membrane oxygenator was ventilated with a 200 mL/min </w:t>
      </w:r>
      <w:r w:rsidR="00BB6BA5" w:rsidRPr="00072D37">
        <w:rPr>
          <w:lang w:val="en-US"/>
        </w:rPr>
        <w:t xml:space="preserve">gas </w:t>
      </w:r>
      <w:r w:rsidRPr="00072D37">
        <w:rPr>
          <w:lang w:val="en-US"/>
        </w:rPr>
        <w:t>flow, with 50% FiO2 and 5% FiCO2.</w:t>
      </w:r>
      <w:r w:rsidR="00152B92" w:rsidRPr="00072D37">
        <w:rPr>
          <w:lang w:val="en-US"/>
        </w:rPr>
        <w:t xml:space="preserve"> </w:t>
      </w:r>
    </w:p>
    <w:p w14:paraId="386CBFF1" w14:textId="7A098CBF" w:rsidR="00152B92" w:rsidRPr="00072D37" w:rsidRDefault="00290C07" w:rsidP="00DA4897">
      <w:pPr>
        <w:rPr>
          <w:lang w:val="en-US"/>
        </w:rPr>
      </w:pPr>
      <w:r w:rsidRPr="00072D37">
        <w:rPr>
          <w:lang w:val="en-US"/>
        </w:rPr>
        <w:t xml:space="preserve">The NMP-protocol </w:t>
      </w:r>
      <w:r w:rsidR="007610A0" w:rsidRPr="00072D37">
        <w:rPr>
          <w:lang w:val="en-US"/>
        </w:rPr>
        <w:t>was maintained for</w:t>
      </w:r>
      <w:r w:rsidRPr="00072D37">
        <w:rPr>
          <w:lang w:val="en-US"/>
        </w:rPr>
        <w:t xml:space="preserve"> 280 min and </w:t>
      </w:r>
      <w:r w:rsidR="007610A0" w:rsidRPr="00072D37">
        <w:rPr>
          <w:lang w:val="en-US"/>
        </w:rPr>
        <w:t>included</w:t>
      </w:r>
      <w:r w:rsidRPr="00072D37">
        <w:rPr>
          <w:lang w:val="en-US"/>
        </w:rPr>
        <w:t xml:space="preserve"> two phases: </w:t>
      </w:r>
      <w:r w:rsidR="00CA2701" w:rsidRPr="00072D37">
        <w:rPr>
          <w:lang w:val="en-US"/>
        </w:rPr>
        <w:t>1) the rewarming phase, lasting 40 min and 2) the normothermic phase, lasting 240 min.</w:t>
      </w:r>
      <w:r w:rsidR="00A73230" w:rsidRPr="00072D37">
        <w:rPr>
          <w:lang w:val="en-US"/>
        </w:rPr>
        <w:t xml:space="preserve"> </w:t>
      </w:r>
      <w:r w:rsidR="00CA2701" w:rsidRPr="00072D37">
        <w:rPr>
          <w:lang w:val="en-US"/>
        </w:rPr>
        <w:t xml:space="preserve">During </w:t>
      </w:r>
      <w:r w:rsidRPr="00072D37">
        <w:rPr>
          <w:lang w:val="en-US"/>
        </w:rPr>
        <w:t>the “rewarming” phase, the system reaches the temperature of 37°C</w:t>
      </w:r>
      <w:r w:rsidR="00CA2701" w:rsidRPr="00072D37">
        <w:rPr>
          <w:lang w:val="en-US"/>
        </w:rPr>
        <w:t>. Portal flow was set at 5 mL/min and was increased every five minutes up to 30 mL/min, or until the portal pressure reaches 8 cmH2O. In</w:t>
      </w:r>
      <w:r w:rsidRPr="00072D37">
        <w:rPr>
          <w:lang w:val="en-US"/>
        </w:rPr>
        <w:t xml:space="preserve"> the normothermic phase, temperature was maintained at 37°C and portal flow remained unchanged.</w:t>
      </w:r>
      <w:r w:rsidR="00152B92" w:rsidRPr="00072D37">
        <w:rPr>
          <w:lang w:val="en-US"/>
        </w:rPr>
        <w:t xml:space="preserve"> </w:t>
      </w:r>
    </w:p>
    <w:p w14:paraId="594043A2" w14:textId="2212C2F2" w:rsidR="00290C07" w:rsidRPr="00072D37" w:rsidRDefault="00152B92" w:rsidP="00DA4897">
      <w:pPr>
        <w:rPr>
          <w:lang w:val="en-US"/>
        </w:rPr>
      </w:pPr>
      <w:r w:rsidRPr="00072D37">
        <w:rPr>
          <w:lang w:val="en-US"/>
        </w:rPr>
        <w:t xml:space="preserve">Perfusion fluid volume was maintained at 100 mL </w:t>
      </w:r>
      <w:r w:rsidR="00546B70" w:rsidRPr="00072D37">
        <w:rPr>
          <w:lang w:val="en-US"/>
        </w:rPr>
        <w:t xml:space="preserve">throughout the procedure. </w:t>
      </w:r>
      <w:r w:rsidR="000C5FD1" w:rsidRPr="00072D37">
        <w:rPr>
          <w:lang w:val="en-US"/>
        </w:rPr>
        <w:t>T</w:t>
      </w:r>
      <w:r w:rsidR="00546B70" w:rsidRPr="00072D37">
        <w:rPr>
          <w:lang w:val="en-US"/>
        </w:rPr>
        <w:t xml:space="preserve">o prevent </w:t>
      </w:r>
      <w:r w:rsidR="000C5FD1" w:rsidRPr="00072D37">
        <w:rPr>
          <w:lang w:val="en-US"/>
        </w:rPr>
        <w:t xml:space="preserve">the </w:t>
      </w:r>
      <w:r w:rsidR="00546B70" w:rsidRPr="00072D37">
        <w:rPr>
          <w:lang w:val="en-US"/>
        </w:rPr>
        <w:t>accumulation</w:t>
      </w:r>
      <w:r w:rsidR="00BB2429" w:rsidRPr="00072D37">
        <w:rPr>
          <w:lang w:val="en-US"/>
        </w:rPr>
        <w:t xml:space="preserve"> of</w:t>
      </w:r>
      <w:r w:rsidR="007A4E3F" w:rsidRPr="00072D37">
        <w:rPr>
          <w:lang w:val="en-US"/>
        </w:rPr>
        <w:t xml:space="preserve"> </w:t>
      </w:r>
      <w:proofErr w:type="spellStart"/>
      <w:r w:rsidR="00BB2429" w:rsidRPr="00072D37">
        <w:rPr>
          <w:lang w:val="en-US"/>
        </w:rPr>
        <w:t>MetaOxyglobin</w:t>
      </w:r>
      <w:proofErr w:type="spellEnd"/>
      <w:r w:rsidR="00546B70" w:rsidRPr="00072D37">
        <w:rPr>
          <w:lang w:val="en-US"/>
        </w:rPr>
        <w:t xml:space="preserve">, </w:t>
      </w:r>
      <w:r w:rsidR="000851E6" w:rsidRPr="00072D37">
        <w:rPr>
          <w:lang w:val="en-US"/>
        </w:rPr>
        <w:t xml:space="preserve">from the beginning of normothermic phase </w:t>
      </w:r>
      <w:r w:rsidR="0048412D" w:rsidRPr="00072D37">
        <w:rPr>
          <w:lang w:val="en-US"/>
        </w:rPr>
        <w:t xml:space="preserve">a fixed volume of perfusate was replaced with fresh perfusion fluid at 20 mL/h flow rate. </w:t>
      </w:r>
      <w:r w:rsidR="00546B70" w:rsidRPr="00072D37">
        <w:rPr>
          <w:lang w:val="en-US"/>
        </w:rPr>
        <w:t xml:space="preserve">Waste flow rate was 10 mL/h from 0 h to 2 h, </w:t>
      </w:r>
      <w:r w:rsidR="00717037" w:rsidRPr="00072D37">
        <w:rPr>
          <w:lang w:val="en-US"/>
        </w:rPr>
        <w:t xml:space="preserve">while it </w:t>
      </w:r>
      <w:r w:rsidR="00546B70" w:rsidRPr="00072D37">
        <w:rPr>
          <w:lang w:val="en-US"/>
        </w:rPr>
        <w:t>was</w:t>
      </w:r>
      <w:r w:rsidR="00717037" w:rsidRPr="00072D37">
        <w:rPr>
          <w:lang w:val="en-US"/>
        </w:rPr>
        <w:t xml:space="preserve"> increased to 14 ml/</w:t>
      </w:r>
      <w:r w:rsidR="00546B70" w:rsidRPr="00072D37">
        <w:rPr>
          <w:lang w:val="en-US"/>
        </w:rPr>
        <w:t>h</w:t>
      </w:r>
      <w:r w:rsidR="00717037" w:rsidRPr="00072D37">
        <w:rPr>
          <w:lang w:val="en-US"/>
        </w:rPr>
        <w:t xml:space="preserve"> </w:t>
      </w:r>
      <w:r w:rsidR="00546B70" w:rsidRPr="00072D37">
        <w:rPr>
          <w:lang w:val="en-US"/>
        </w:rPr>
        <w:t xml:space="preserve">from 2 h to 4 h </w:t>
      </w:r>
      <w:r w:rsidR="00717037" w:rsidRPr="00072D37">
        <w:rPr>
          <w:lang w:val="en-US"/>
        </w:rPr>
        <w:t xml:space="preserve">to adjust for the volume of perfusate collected for biomolecular analysis. </w:t>
      </w:r>
    </w:p>
    <w:p w14:paraId="7FEF8D10" w14:textId="656199EA" w:rsidR="00610E6B" w:rsidRPr="00072D37" w:rsidRDefault="004629E8" w:rsidP="00DA4897">
      <w:pPr>
        <w:rPr>
          <w:sz w:val="20"/>
          <w:szCs w:val="20"/>
          <w:lang w:val="en-US"/>
        </w:rPr>
      </w:pPr>
      <w:r w:rsidRPr="00072D37">
        <w:rPr>
          <w:lang w:val="en-US"/>
        </w:rPr>
        <w:t>H</w:t>
      </w:r>
      <w:r w:rsidR="00610E6B" w:rsidRPr="00072D37">
        <w:rPr>
          <w:lang w:val="en-US"/>
        </w:rPr>
        <w:t xml:space="preserve">emodynamics parameters were monitored using the </w:t>
      </w:r>
      <w:proofErr w:type="spellStart"/>
      <w:r w:rsidR="00610E6B" w:rsidRPr="00072D37">
        <w:rPr>
          <w:lang w:val="en-US"/>
        </w:rPr>
        <w:t>Powerlab</w:t>
      </w:r>
      <w:proofErr w:type="spellEnd"/>
      <w:r w:rsidR="00610E6B" w:rsidRPr="00072D37">
        <w:rPr>
          <w:lang w:val="en-US"/>
        </w:rPr>
        <w:t xml:space="preserve"> 16/35 system (</w:t>
      </w:r>
      <w:proofErr w:type="spellStart"/>
      <w:r w:rsidR="00610E6B" w:rsidRPr="00072D37">
        <w:rPr>
          <w:lang w:val="en-US"/>
        </w:rPr>
        <w:t>ADInstruments</w:t>
      </w:r>
      <w:proofErr w:type="spellEnd"/>
      <w:r w:rsidR="00610E6B" w:rsidRPr="00072D37">
        <w:rPr>
          <w:lang w:val="en-US"/>
        </w:rPr>
        <w:t xml:space="preserve">, Dunedin, New </w:t>
      </w:r>
      <w:proofErr w:type="spellStart"/>
      <w:r w:rsidR="00610E6B" w:rsidRPr="00072D37">
        <w:rPr>
          <w:lang w:val="en-US"/>
        </w:rPr>
        <w:t>Zeland</w:t>
      </w:r>
      <w:proofErr w:type="spellEnd"/>
      <w:r w:rsidR="00610E6B" w:rsidRPr="00072D37">
        <w:rPr>
          <w:lang w:val="en-US"/>
        </w:rPr>
        <w:t xml:space="preserve">) and </w:t>
      </w:r>
      <w:proofErr w:type="spellStart"/>
      <w:r w:rsidR="00610E6B" w:rsidRPr="00072D37">
        <w:rPr>
          <w:lang w:val="en-US"/>
        </w:rPr>
        <w:t>LabChart</w:t>
      </w:r>
      <w:proofErr w:type="spellEnd"/>
      <w:r w:rsidR="00610E6B" w:rsidRPr="00072D37">
        <w:rPr>
          <w:lang w:val="en-US"/>
        </w:rPr>
        <w:t xml:space="preserve"> 8 pro (</w:t>
      </w:r>
      <w:proofErr w:type="spellStart"/>
      <w:r w:rsidR="00610E6B" w:rsidRPr="00072D37">
        <w:rPr>
          <w:lang w:val="en-US"/>
        </w:rPr>
        <w:t>ADInstruments</w:t>
      </w:r>
      <w:proofErr w:type="spellEnd"/>
      <w:r w:rsidR="00610E6B" w:rsidRPr="00072D37">
        <w:rPr>
          <w:lang w:val="en-US"/>
        </w:rPr>
        <w:t>)</w:t>
      </w:r>
      <w:r w:rsidR="007547E5" w:rsidRPr="00072D37">
        <w:rPr>
          <w:lang w:val="en-US"/>
        </w:rPr>
        <w:t>.</w:t>
      </w:r>
      <w:r w:rsidR="00610E6B" w:rsidRPr="00072D37">
        <w:rPr>
          <w:sz w:val="20"/>
          <w:szCs w:val="20"/>
          <w:lang w:val="en-US"/>
        </w:rPr>
        <w:t xml:space="preserve"> </w:t>
      </w:r>
      <w:r w:rsidR="00610E6B" w:rsidRPr="00072D37">
        <w:rPr>
          <w:lang w:val="en-US"/>
        </w:rPr>
        <w:t xml:space="preserve">Portal vein and pre-membrane </w:t>
      </w:r>
      <w:r w:rsidR="00BB6BA5" w:rsidRPr="00072D37">
        <w:rPr>
          <w:lang w:val="en-US"/>
        </w:rPr>
        <w:t xml:space="preserve">oxygenator </w:t>
      </w:r>
      <w:r w:rsidR="00610E6B" w:rsidRPr="00072D37">
        <w:rPr>
          <w:lang w:val="en-US"/>
        </w:rPr>
        <w:t>pressures were recorded every 5 min during rewarming, and every hour during normothermic machine perfusion. Vascular resistances were calculated as mean portal vein pressure divided by blood flow of the portal vein (mL/min). Temperature was monitored using a thermo probe located between the lobes of the liver.</w:t>
      </w:r>
      <w:r w:rsidR="00610E6B" w:rsidRPr="00072D37">
        <w:rPr>
          <w:sz w:val="20"/>
          <w:szCs w:val="20"/>
          <w:lang w:val="en-US"/>
        </w:rPr>
        <w:t xml:space="preserve"> </w:t>
      </w:r>
    </w:p>
    <w:p w14:paraId="41E53510" w14:textId="3B34C898" w:rsidR="00F77558" w:rsidRPr="00072D37" w:rsidRDefault="00F77558" w:rsidP="00F77558">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16" w:name="_Toc143336313"/>
      <w:r w:rsidRPr="00072D37">
        <w:rPr>
          <w:rFonts w:ascii="Arial" w:hAnsi="Arial" w:cs="Arial"/>
        </w:rPr>
        <w:fldChar w:fldCharType="end"/>
      </w:r>
      <w:r w:rsidRPr="00072D37">
        <w:rPr>
          <w:rFonts w:ascii="Arial" w:hAnsi="Arial" w:cs="Arial"/>
        </w:rPr>
        <w:t xml:space="preserve"> Comparative analysis of perfusates collected during liverless-NMP and liver NMP</w:t>
      </w:r>
      <w:bookmarkEnd w:id="16"/>
    </w:p>
    <w:p w14:paraId="3E8E6B5E" w14:textId="4843DF13" w:rsidR="00ED1EC8" w:rsidRPr="00072D37" w:rsidRDefault="00ED1EC8" w:rsidP="00DA4897">
      <w:pPr>
        <w:rPr>
          <w:lang w:val="en-US"/>
        </w:rPr>
      </w:pPr>
      <w:r w:rsidRPr="00072D37">
        <w:rPr>
          <w:lang w:val="en-US"/>
        </w:rPr>
        <w:t xml:space="preserve">Perfusates collected during liverless NMP and liver NMP were used to assess the concentration of the following molecules of human origin: IDO, IL-4, IL-6, IL-8, IL-10, IL-13, IL-1ra, IL-18, IL-33, IL-36-beta, Galectin-3, Galectin-9, and CCL-2/MCP-1. </w:t>
      </w:r>
    </w:p>
    <w:p w14:paraId="73D94898" w14:textId="165A8AD4" w:rsidR="00F77558" w:rsidRPr="00DA4897" w:rsidRDefault="00F77558" w:rsidP="00DA4897">
      <w:pPr>
        <w:pStyle w:val="Heading3"/>
        <w:rPr>
          <w:rFonts w:ascii="Arial" w:hAnsi="Arial" w:cs="Arial"/>
          <w:lang w:val="en-US"/>
        </w:rPr>
      </w:pPr>
      <w:r w:rsidRPr="00DA4897">
        <w:rPr>
          <w:rFonts w:ascii="Arial" w:hAnsi="Arial" w:cs="Arial"/>
          <w:lang w:val="en-US"/>
        </w:rPr>
        <w:fldChar w:fldCharType="begin"/>
      </w:r>
      <w:r w:rsidRPr="00DA4897">
        <w:rPr>
          <w:rFonts w:ascii="Arial" w:hAnsi="Arial" w:cs="Arial"/>
          <w:lang w:val="en-US"/>
        </w:rPr>
        <w:instrText xml:space="preserve"> AUTONUMLGL </w:instrText>
      </w:r>
      <w:bookmarkStart w:id="17" w:name="_Toc143336314"/>
      <w:r w:rsidRPr="00DA4897">
        <w:rPr>
          <w:rFonts w:ascii="Arial" w:hAnsi="Arial" w:cs="Arial"/>
          <w:lang w:val="en-US"/>
        </w:rPr>
        <w:fldChar w:fldCharType="end"/>
      </w:r>
      <w:r w:rsidRPr="00DA4897">
        <w:rPr>
          <w:rFonts w:ascii="Arial" w:hAnsi="Arial" w:cs="Arial"/>
          <w:lang w:val="en-US"/>
        </w:rPr>
        <w:t xml:space="preserve"> Process</w:t>
      </w:r>
      <w:r w:rsidR="00B61132">
        <w:rPr>
          <w:rFonts w:ascii="Arial" w:hAnsi="Arial" w:cs="Arial"/>
          <w:lang w:val="en-US"/>
        </w:rPr>
        <w:t>ing</w:t>
      </w:r>
      <w:r w:rsidRPr="00DA4897">
        <w:rPr>
          <w:rFonts w:ascii="Arial" w:hAnsi="Arial" w:cs="Arial"/>
          <w:lang w:val="en-US"/>
        </w:rPr>
        <w:t xml:space="preserve"> of perfusate samples collected during liver NMP</w:t>
      </w:r>
      <w:bookmarkEnd w:id="17"/>
    </w:p>
    <w:p w14:paraId="71C2EAB3" w14:textId="04A62F8C" w:rsidR="00F77558" w:rsidRPr="00072D37" w:rsidRDefault="00F77558" w:rsidP="00DA4897">
      <w:pPr>
        <w:rPr>
          <w:color w:val="000000" w:themeColor="text1"/>
          <w:lang w:val="en-US"/>
        </w:rPr>
      </w:pPr>
      <w:r w:rsidRPr="00072D37">
        <w:rPr>
          <w:color w:val="000000" w:themeColor="text1"/>
          <w:lang w:val="en-US"/>
        </w:rPr>
        <w:t>Samples were centrifugated at 2000 rpm for 10 min at 4</w:t>
      </w:r>
      <w:r w:rsidR="00CF1687" w:rsidRPr="00072D37">
        <w:rPr>
          <w:color w:val="000000" w:themeColor="text1"/>
          <w:lang w:val="en-US"/>
        </w:rPr>
        <w:t>°</w:t>
      </w:r>
      <w:r w:rsidRPr="00072D37">
        <w:rPr>
          <w:color w:val="000000" w:themeColor="text1"/>
          <w:lang w:val="en-US"/>
        </w:rPr>
        <w:t>C (CentrifugeX3R Heraeus). Supernatants were collected and stored at −80</w:t>
      </w:r>
      <w:r w:rsidR="00CF1687" w:rsidRPr="00072D37">
        <w:rPr>
          <w:color w:val="000000" w:themeColor="text1"/>
          <w:lang w:val="en-US"/>
        </w:rPr>
        <w:t>°</w:t>
      </w:r>
      <w:r w:rsidRPr="00072D37">
        <w:rPr>
          <w:color w:val="000000" w:themeColor="text1"/>
          <w:lang w:val="en-US"/>
        </w:rPr>
        <w:t>C for further analysis, whereas cell pellets were washed using 15 mL of PBS 1X (</w:t>
      </w:r>
      <w:proofErr w:type="spellStart"/>
      <w:r w:rsidRPr="00072D37">
        <w:rPr>
          <w:color w:val="000000" w:themeColor="text1"/>
          <w:lang w:val="en-US"/>
        </w:rPr>
        <w:t>MilliporeSigma</w:t>
      </w:r>
      <w:proofErr w:type="spellEnd"/>
      <w:r w:rsidRPr="00072D37">
        <w:rPr>
          <w:color w:val="000000" w:themeColor="text1"/>
          <w:lang w:val="en-US"/>
        </w:rPr>
        <w:t>, Frankfurter, Germany) vortexed, and then centrifuged for 10 min at 4</w:t>
      </w:r>
      <w:r w:rsidR="00CF1687" w:rsidRPr="00072D37">
        <w:rPr>
          <w:color w:val="000000" w:themeColor="text1"/>
          <w:lang w:val="en-US"/>
        </w:rPr>
        <w:t>°</w:t>
      </w:r>
      <w:r w:rsidRPr="00072D37">
        <w:rPr>
          <w:color w:val="000000" w:themeColor="text1"/>
          <w:lang w:val="en-US"/>
        </w:rPr>
        <w:t xml:space="preserve">C. Afterwards, pellets were resuspended in 7-15 mL, depending on the volume of perfusate, of erythrocyte lysis buffer (0.155 M NH4Cl, 10 mM KHCO3, 0.1 mM Na2EDTA, pH 7.4; all from </w:t>
      </w:r>
      <w:proofErr w:type="spellStart"/>
      <w:r w:rsidRPr="00072D37">
        <w:rPr>
          <w:color w:val="000000" w:themeColor="text1"/>
          <w:lang w:val="en-US"/>
        </w:rPr>
        <w:t>MilliporeSigma</w:t>
      </w:r>
      <w:proofErr w:type="spellEnd"/>
      <w:r w:rsidRPr="00072D37">
        <w:rPr>
          <w:color w:val="000000" w:themeColor="text1"/>
          <w:lang w:val="en-US"/>
        </w:rPr>
        <w:t>) and incubated for 15 min at 4°C. A 10-min centrifugation at 2000 rpm was then performed. Pellets were suspended in 0,5-4 mL of PBS 1X (</w:t>
      </w:r>
      <w:proofErr w:type="spellStart"/>
      <w:r w:rsidRPr="00072D37">
        <w:rPr>
          <w:color w:val="000000" w:themeColor="text1"/>
          <w:lang w:val="en-US"/>
        </w:rPr>
        <w:t>MilliporeSigma</w:t>
      </w:r>
      <w:proofErr w:type="spellEnd"/>
      <w:r w:rsidRPr="00072D37">
        <w:rPr>
          <w:color w:val="000000" w:themeColor="text1"/>
          <w:lang w:val="en-US"/>
        </w:rPr>
        <w:t>) for cell count and characterization using the Scepter cell counter (Millipore Corporation, Billerica, MA, USA).</w:t>
      </w:r>
    </w:p>
    <w:p w14:paraId="5DB2BC0D" w14:textId="51958077" w:rsidR="00F77558" w:rsidRPr="00072D37" w:rsidRDefault="00F77558" w:rsidP="00DA4897">
      <w:pPr>
        <w:rPr>
          <w:color w:val="000000" w:themeColor="text1"/>
          <w:lang w:val="en-US"/>
        </w:rPr>
      </w:pPr>
      <w:r w:rsidRPr="00072D37">
        <w:rPr>
          <w:color w:val="000000" w:themeColor="text1"/>
          <w:lang w:val="en-US"/>
        </w:rPr>
        <w:lastRenderedPageBreak/>
        <w:t xml:space="preserve">To avoid colorimetric interferences possibly given by </w:t>
      </w:r>
      <w:proofErr w:type="spellStart"/>
      <w:r w:rsidRPr="00072D37">
        <w:rPr>
          <w:color w:val="000000" w:themeColor="text1"/>
          <w:lang w:val="en-US"/>
        </w:rPr>
        <w:t>Oxyglobin</w:t>
      </w:r>
      <w:proofErr w:type="spellEnd"/>
      <w:r w:rsidRPr="00072D37">
        <w:rPr>
          <w:color w:val="000000" w:themeColor="text1"/>
          <w:lang w:val="en-US"/>
        </w:rPr>
        <w:t xml:space="preserve">®, perfusates were purified with </w:t>
      </w:r>
      <w:proofErr w:type="spellStart"/>
      <w:r w:rsidRPr="00072D37">
        <w:rPr>
          <w:color w:val="000000" w:themeColor="text1"/>
          <w:lang w:val="en-US"/>
        </w:rPr>
        <w:t>Amicon</w:t>
      </w:r>
      <w:proofErr w:type="spellEnd"/>
      <w:r w:rsidRPr="00072D37">
        <w:rPr>
          <w:color w:val="000000" w:themeColor="text1"/>
          <w:lang w:val="en-US"/>
        </w:rPr>
        <w:t xml:space="preserve"> Ultra 100K centrifugal filter devices (</w:t>
      </w:r>
      <w:proofErr w:type="spellStart"/>
      <w:r w:rsidRPr="00072D37">
        <w:rPr>
          <w:color w:val="000000" w:themeColor="text1"/>
          <w:lang w:val="en-US"/>
        </w:rPr>
        <w:t>MilliporeSigma</w:t>
      </w:r>
      <w:proofErr w:type="spellEnd"/>
      <w:r w:rsidRPr="00072D37">
        <w:rPr>
          <w:color w:val="000000" w:themeColor="text1"/>
          <w:lang w:val="en-US"/>
        </w:rPr>
        <w:t xml:space="preserve">). Briefly, 500 µL of each sample were loaded onto the columns and centrifuged at 13500 rpm for 15 min (CentrifugeX3R Heraeus). </w:t>
      </w:r>
    </w:p>
    <w:p w14:paraId="6F6E2733" w14:textId="3D2B5189" w:rsidR="00ED1EC8" w:rsidRPr="00072D37" w:rsidRDefault="00ED1EC8" w:rsidP="00ED1EC8">
      <w:pPr>
        <w:pStyle w:val="Heading3"/>
        <w:rPr>
          <w:rFonts w:ascii="Arial" w:hAnsi="Arial" w:cs="Arial"/>
        </w:rPr>
      </w:pPr>
      <w:r w:rsidRPr="00072D37">
        <w:rPr>
          <w:rFonts w:ascii="Arial" w:hAnsi="Arial" w:cs="Arial"/>
          <w:lang w:val="en-US"/>
        </w:rPr>
        <w:fldChar w:fldCharType="begin"/>
      </w:r>
      <w:r w:rsidRPr="00DA4897">
        <w:rPr>
          <w:rFonts w:ascii="Arial" w:hAnsi="Arial" w:cs="Arial"/>
        </w:rPr>
        <w:instrText xml:space="preserve"> AUTONUMLGL </w:instrText>
      </w:r>
      <w:bookmarkStart w:id="18" w:name="_Toc143336315"/>
      <w:r w:rsidRPr="00072D37">
        <w:rPr>
          <w:rFonts w:ascii="Arial" w:hAnsi="Arial" w:cs="Arial"/>
          <w:lang w:val="en-US"/>
        </w:rPr>
        <w:fldChar w:fldCharType="end"/>
      </w:r>
      <w:r w:rsidRPr="00072D37">
        <w:rPr>
          <w:rFonts w:ascii="Arial" w:hAnsi="Arial" w:cs="Arial"/>
        </w:rPr>
        <w:t xml:space="preserve"> Human IL-4, IL-6, IL-10, IL-13, IL-1ra, IL-36-beta, Galectin-3 and CCL-2/MCP-1</w:t>
      </w:r>
      <w:bookmarkEnd w:id="18"/>
    </w:p>
    <w:p w14:paraId="624FDFE9" w14:textId="4B2949F8" w:rsidR="00ED1EC8" w:rsidRPr="00072D37" w:rsidRDefault="00ED1EC8" w:rsidP="00DA4897">
      <w:pPr>
        <w:rPr>
          <w:lang w:val="en-US"/>
        </w:rPr>
      </w:pPr>
      <w:r w:rsidRPr="00072D37">
        <w:rPr>
          <w:lang w:val="en-US"/>
        </w:rPr>
        <w:t xml:space="preserve">The concentration of Human IL-4, IL-6, IL-10, IL-13, IL-1ra, IL-36-beta, Galectin-3 and CCL-2/MCP-1 was measured by means Luminex® </w:t>
      </w:r>
      <w:proofErr w:type="spellStart"/>
      <w:r w:rsidRPr="00072D37">
        <w:rPr>
          <w:lang w:val="en-US"/>
        </w:rPr>
        <w:t>xMAP</w:t>
      </w:r>
      <w:proofErr w:type="spellEnd"/>
      <w:r w:rsidRPr="00072D37">
        <w:rPr>
          <w:lang w:val="en-US"/>
        </w:rPr>
        <w:t xml:space="preserve"> Technology with a </w:t>
      </w:r>
      <w:proofErr w:type="gramStart"/>
      <w:r w:rsidRPr="00072D37">
        <w:rPr>
          <w:lang w:val="en-US"/>
        </w:rPr>
        <w:t>custom-designed immunoassays</w:t>
      </w:r>
      <w:proofErr w:type="gramEnd"/>
      <w:r w:rsidRPr="00072D37">
        <w:rPr>
          <w:lang w:val="en-US"/>
        </w:rPr>
        <w:t xml:space="preserve"> (R&amp;D Systems). Briefly, 100 µL from each antibody-bead vial were added to a Mixing Bottle and then brought to a final volume of 1 mL with the kit-specific Assay Buffer. Fifty µL of standards, controls and samples were added to the appropriate wells, then each well was brought to a final volume of 100 µL with 50 µL of Mixed Beads. The plate was incubated in the dark for 2 h with gentle agitation at RT. Plate was washed 3 times for every new step; then Biotin and Streptavidin were added subsequently to the wells. Lastly, 100 µL of Wash Buffer were added for fluorescence detection.</w:t>
      </w:r>
    </w:p>
    <w:p w14:paraId="090B31C8" w14:textId="77777777" w:rsidR="00ED1EC8" w:rsidRPr="00072D37" w:rsidRDefault="00ED1EC8" w:rsidP="00ED1EC8">
      <w:pPr>
        <w:pStyle w:val="Heading3"/>
        <w:rPr>
          <w:rFonts w:ascii="Arial" w:hAnsi="Arial" w:cs="Arial"/>
          <w:lang w:val="en-US"/>
        </w:rPr>
      </w:pPr>
      <w:r w:rsidRPr="00072D37">
        <w:rPr>
          <w:rFonts w:ascii="Arial" w:hAnsi="Arial" w:cs="Arial"/>
        </w:rPr>
        <w:fldChar w:fldCharType="begin"/>
      </w:r>
      <w:r w:rsidRPr="00072D37">
        <w:rPr>
          <w:rFonts w:ascii="Arial" w:hAnsi="Arial" w:cs="Arial"/>
          <w:lang w:val="en-US"/>
        </w:rPr>
        <w:instrText xml:space="preserve"> AUTONUMLGL </w:instrText>
      </w:r>
      <w:bookmarkStart w:id="19" w:name="_Toc143336316"/>
      <w:r w:rsidRPr="00072D37">
        <w:rPr>
          <w:rFonts w:ascii="Arial" w:hAnsi="Arial" w:cs="Arial"/>
        </w:rPr>
        <w:fldChar w:fldCharType="end"/>
      </w:r>
      <w:r w:rsidRPr="00072D37">
        <w:rPr>
          <w:rFonts w:ascii="Arial" w:hAnsi="Arial" w:cs="Arial"/>
          <w:lang w:val="en-US"/>
        </w:rPr>
        <w:t xml:space="preserve"> Human Galectin-9</w:t>
      </w:r>
      <w:bookmarkEnd w:id="19"/>
    </w:p>
    <w:p w14:paraId="0D8188DF" w14:textId="384E585A" w:rsidR="00ED1EC8" w:rsidRPr="00072D37" w:rsidRDefault="00ED1EC8" w:rsidP="00DA4897">
      <w:pPr>
        <w:rPr>
          <w:lang w:val="en-US"/>
        </w:rPr>
      </w:pPr>
      <w:r w:rsidRPr="00072D37">
        <w:rPr>
          <w:lang w:val="en-US"/>
        </w:rPr>
        <w:t>Concentration of Human Galectin-9 was investigated in perfusate samples before and during NMP with an ELISA kit. (R&amp;D Systems, Bio</w:t>
      </w:r>
      <w:r w:rsidR="00CF1687" w:rsidRPr="00072D37">
        <w:rPr>
          <w:lang w:val="en-US"/>
        </w:rPr>
        <w:t>-T</w:t>
      </w:r>
      <w:r w:rsidRPr="00072D37">
        <w:rPr>
          <w:lang w:val="en-US"/>
        </w:rPr>
        <w:t>echne, Minneapolis, USA). Standards were prepared with a serial dilution ranging from 10 ng/mL to 0.156 ng/</w:t>
      </w:r>
      <w:proofErr w:type="spellStart"/>
      <w:r w:rsidRPr="00072D37">
        <w:rPr>
          <w:lang w:val="en-US"/>
        </w:rPr>
        <w:t>mL.</w:t>
      </w:r>
      <w:proofErr w:type="spellEnd"/>
      <w:r w:rsidRPr="00072D37">
        <w:rPr>
          <w:lang w:val="en-US"/>
        </w:rPr>
        <w:t xml:space="preserve"> Absorbance was read at 450 nm (Synergy HTX).</w:t>
      </w:r>
    </w:p>
    <w:p w14:paraId="3D6C83DE" w14:textId="77777777" w:rsidR="00ED1EC8" w:rsidRPr="0060794A" w:rsidRDefault="00ED1EC8" w:rsidP="00ED1EC8">
      <w:pPr>
        <w:pStyle w:val="Heading3"/>
        <w:rPr>
          <w:rFonts w:ascii="Arial" w:hAnsi="Arial" w:cs="Arial"/>
          <w:lang w:val="en-US"/>
        </w:rPr>
      </w:pPr>
      <w:r w:rsidRPr="00072D37">
        <w:rPr>
          <w:rFonts w:ascii="Arial" w:hAnsi="Arial" w:cs="Arial"/>
          <w:lang w:val="en-US"/>
        </w:rPr>
        <w:fldChar w:fldCharType="begin"/>
      </w:r>
      <w:r w:rsidRPr="0060794A">
        <w:rPr>
          <w:rFonts w:ascii="Arial" w:hAnsi="Arial" w:cs="Arial"/>
          <w:lang w:val="en-US"/>
        </w:rPr>
        <w:instrText xml:space="preserve"> AUTONUMLGL </w:instrText>
      </w:r>
      <w:bookmarkStart w:id="20" w:name="_Toc143336317"/>
      <w:r w:rsidRPr="00072D37">
        <w:rPr>
          <w:rFonts w:ascii="Arial" w:hAnsi="Arial" w:cs="Arial"/>
          <w:lang w:val="en-US"/>
        </w:rPr>
        <w:fldChar w:fldCharType="end"/>
      </w:r>
      <w:r w:rsidRPr="0060794A">
        <w:rPr>
          <w:rFonts w:ascii="Arial" w:hAnsi="Arial" w:cs="Arial"/>
          <w:lang w:val="en-US"/>
        </w:rPr>
        <w:t xml:space="preserve"> Human IL-8, IL-33, and IL-18</w:t>
      </w:r>
      <w:bookmarkEnd w:id="20"/>
    </w:p>
    <w:p w14:paraId="070B9F9D" w14:textId="6A2887DE" w:rsidR="00ED1EC8" w:rsidRPr="00072D37" w:rsidRDefault="00ED1EC8" w:rsidP="00DA4897">
      <w:pPr>
        <w:rPr>
          <w:lang w:val="en-US" w:eastAsia="en-US"/>
        </w:rPr>
      </w:pPr>
      <w:r w:rsidRPr="00072D37">
        <w:rPr>
          <w:lang w:val="en-US" w:eastAsia="en-US"/>
        </w:rPr>
        <w:t>Pre-configured Ella® (</w:t>
      </w:r>
      <w:r w:rsidRPr="00072D37">
        <w:rPr>
          <w:lang w:val="en-US"/>
        </w:rPr>
        <w:t>Bio</w:t>
      </w:r>
      <w:r w:rsidR="00CF1687" w:rsidRPr="00072D37">
        <w:rPr>
          <w:lang w:val="en-US"/>
        </w:rPr>
        <w:t>-T</w:t>
      </w:r>
      <w:r w:rsidRPr="00072D37">
        <w:rPr>
          <w:lang w:val="en-US"/>
        </w:rPr>
        <w:t>echne)</w:t>
      </w:r>
      <w:r w:rsidRPr="00072D37">
        <w:rPr>
          <w:lang w:val="en-US" w:eastAsia="en-US"/>
        </w:rPr>
        <w:t xml:space="preserve"> cartridges were used to investigate Human IL-8, IL-33, and IL-18.</w:t>
      </w:r>
    </w:p>
    <w:p w14:paraId="02BC28F4" w14:textId="28498239" w:rsidR="00F77558" w:rsidRPr="00072D37" w:rsidRDefault="00ED1EC8" w:rsidP="00DA4897">
      <w:pPr>
        <w:rPr>
          <w:lang w:val="en-US" w:eastAsia="en-US"/>
        </w:rPr>
      </w:pPr>
      <w:r w:rsidRPr="00072D37">
        <w:rPr>
          <w:lang w:val="en-US" w:eastAsia="en-US"/>
        </w:rPr>
        <w:t xml:space="preserve">Samples were loaded onto an Ella cartridge for the run. All sample specific information </w:t>
      </w:r>
      <w:proofErr w:type="gramStart"/>
      <w:r w:rsidRPr="00072D37">
        <w:rPr>
          <w:lang w:val="en-US" w:eastAsia="en-US"/>
        </w:rPr>
        <w:t>were</w:t>
      </w:r>
      <w:proofErr w:type="gramEnd"/>
      <w:r w:rsidRPr="00072D37">
        <w:rPr>
          <w:lang w:val="en-US" w:eastAsia="en-US"/>
        </w:rPr>
        <w:t xml:space="preserve"> entered into the Simple Plex Runner software. The cartridge was inserted into the device and the run was started. At the end of the assay, the results of triplicate measurements in relative fluorescence units, mean signal values, SD and coefficient of the variance (CV) were automatically displayed for each analyte.</w:t>
      </w:r>
    </w:p>
    <w:p w14:paraId="5C810189" w14:textId="17C270C3" w:rsidR="0051253F" w:rsidRPr="00072D37" w:rsidRDefault="00752EEB" w:rsidP="003E231F">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21" w:name="_Toc143336318"/>
      <w:r w:rsidRPr="00072D37">
        <w:rPr>
          <w:rFonts w:ascii="Arial" w:hAnsi="Arial" w:cs="Arial"/>
        </w:rPr>
        <w:fldChar w:fldCharType="end"/>
      </w:r>
      <w:r w:rsidRPr="00072D37">
        <w:rPr>
          <w:rFonts w:ascii="Arial" w:hAnsi="Arial" w:cs="Arial"/>
        </w:rPr>
        <w:t xml:space="preserve"> </w:t>
      </w:r>
      <w:r w:rsidR="000235E8" w:rsidRPr="00072D37">
        <w:rPr>
          <w:rFonts w:ascii="Arial" w:hAnsi="Arial" w:cs="Arial"/>
        </w:rPr>
        <w:t xml:space="preserve">Bio-molecular analysis </w:t>
      </w:r>
      <w:r w:rsidR="00A4321E">
        <w:rPr>
          <w:rFonts w:ascii="Arial" w:hAnsi="Arial" w:cs="Arial"/>
        </w:rPr>
        <w:t>of</w:t>
      </w:r>
      <w:r w:rsidR="000235E8" w:rsidRPr="00072D37">
        <w:rPr>
          <w:rFonts w:ascii="Arial" w:hAnsi="Arial" w:cs="Arial"/>
        </w:rPr>
        <w:t xml:space="preserve"> perfusate samples collected during liver NMP</w:t>
      </w:r>
      <w:bookmarkEnd w:id="21"/>
    </w:p>
    <w:p w14:paraId="058E957E" w14:textId="1C0F486D" w:rsidR="00890207" w:rsidRPr="00072D37" w:rsidRDefault="00F77558" w:rsidP="00DA4897">
      <w:pPr>
        <w:rPr>
          <w:lang w:val="en-US"/>
        </w:rPr>
      </w:pPr>
      <w:r w:rsidRPr="00072D37">
        <w:rPr>
          <w:lang w:val="en-US"/>
        </w:rPr>
        <w:t>After p</w:t>
      </w:r>
      <w:r w:rsidR="00890207" w:rsidRPr="00072D37">
        <w:rPr>
          <w:lang w:val="en-US"/>
        </w:rPr>
        <w:t>erfusate</w:t>
      </w:r>
      <w:r w:rsidRPr="00072D37">
        <w:rPr>
          <w:lang w:val="en-US"/>
        </w:rPr>
        <w:t xml:space="preserve"> </w:t>
      </w:r>
      <w:proofErr w:type="gramStart"/>
      <w:r w:rsidR="00397D92">
        <w:rPr>
          <w:lang w:val="en-US"/>
        </w:rPr>
        <w:t>processing</w:t>
      </w:r>
      <w:r w:rsidRPr="00072D37">
        <w:rPr>
          <w:lang w:val="en-US"/>
        </w:rPr>
        <w:t xml:space="preserve">  as</w:t>
      </w:r>
      <w:proofErr w:type="gramEnd"/>
      <w:r w:rsidRPr="00072D37">
        <w:rPr>
          <w:lang w:val="en-US"/>
        </w:rPr>
        <w:t xml:space="preserve"> reported in the paragraph 1.8.1,</w:t>
      </w:r>
      <w:r w:rsidR="00890207" w:rsidRPr="00072D37">
        <w:rPr>
          <w:lang w:val="en-US"/>
        </w:rPr>
        <w:t xml:space="preserve"> </w:t>
      </w:r>
      <w:r w:rsidRPr="00072D37">
        <w:rPr>
          <w:lang w:val="en-US"/>
        </w:rPr>
        <w:t>samples were used to assess</w:t>
      </w:r>
      <w:r w:rsidR="00890207" w:rsidRPr="00072D37">
        <w:rPr>
          <w:lang w:val="en-US"/>
        </w:rPr>
        <w:t xml:space="preserve"> the following parameters: alanine-aminotransferase (ALT), Lactate dehydrogenase, (LDH), NO, rat biomarkers of liver injury, rat biomarkers of endothelial activation, rat inflammation-related mediators, and rat molecules involved in inflammation resolution and liver cell regeneration.</w:t>
      </w:r>
    </w:p>
    <w:bookmarkStart w:id="22" w:name="_Toc94893049"/>
    <w:p w14:paraId="123C228A" w14:textId="7B475200" w:rsidR="00256FF3" w:rsidRPr="00072D37" w:rsidRDefault="00752EEB" w:rsidP="00595F48">
      <w:pPr>
        <w:pStyle w:val="Heading3"/>
        <w:rPr>
          <w:rFonts w:ascii="Arial" w:hAnsi="Arial" w:cs="Arial"/>
          <w:lang w:val="en-US"/>
        </w:rPr>
      </w:pPr>
      <w:r w:rsidRPr="00072D37">
        <w:rPr>
          <w:rFonts w:ascii="Arial" w:hAnsi="Arial" w:cs="Arial"/>
          <w:lang w:val="en-US"/>
        </w:rPr>
        <w:lastRenderedPageBreak/>
        <w:fldChar w:fldCharType="begin"/>
      </w:r>
      <w:r w:rsidRPr="00DA4897">
        <w:rPr>
          <w:rFonts w:ascii="Arial" w:hAnsi="Arial" w:cs="Arial"/>
          <w:lang w:val="en-US"/>
        </w:rPr>
        <w:instrText xml:space="preserve"> AUTONUMLGL </w:instrText>
      </w:r>
      <w:bookmarkStart w:id="23" w:name="_Toc143336319"/>
      <w:r w:rsidRPr="00072D37">
        <w:rPr>
          <w:rFonts w:ascii="Arial" w:hAnsi="Arial" w:cs="Arial"/>
          <w:lang w:val="en-US"/>
        </w:rPr>
        <w:fldChar w:fldCharType="end"/>
      </w:r>
      <w:r w:rsidRPr="00072D37">
        <w:rPr>
          <w:rFonts w:ascii="Arial" w:hAnsi="Arial" w:cs="Arial"/>
          <w:lang w:val="en-US"/>
        </w:rPr>
        <w:t xml:space="preserve"> </w:t>
      </w:r>
      <w:r w:rsidR="00256FF3" w:rsidRPr="00072D37">
        <w:rPr>
          <w:rFonts w:ascii="Arial" w:hAnsi="Arial" w:cs="Arial"/>
          <w:lang w:val="en-US"/>
        </w:rPr>
        <w:t>Succinate</w:t>
      </w:r>
      <w:bookmarkEnd w:id="23"/>
      <w:r w:rsidR="00256FF3" w:rsidRPr="00072D37">
        <w:rPr>
          <w:rFonts w:ascii="Arial" w:hAnsi="Arial" w:cs="Arial"/>
          <w:lang w:val="en-US"/>
        </w:rPr>
        <w:t xml:space="preserve"> </w:t>
      </w:r>
      <w:bookmarkEnd w:id="22"/>
    </w:p>
    <w:p w14:paraId="2805B518" w14:textId="0725D0FC" w:rsidR="00256FF3" w:rsidRPr="00072D37" w:rsidRDefault="00595F48" w:rsidP="00DA4897">
      <w:pPr>
        <w:rPr>
          <w:lang w:val="en-US"/>
        </w:rPr>
      </w:pPr>
      <w:r w:rsidRPr="00072D37">
        <w:rPr>
          <w:lang w:val="en-US"/>
        </w:rPr>
        <w:t xml:space="preserve">Perfusate succinate was assessed using the </w:t>
      </w:r>
      <w:r w:rsidR="00256FF3" w:rsidRPr="00072D37">
        <w:rPr>
          <w:lang w:val="en-US"/>
        </w:rPr>
        <w:t>Succinate Colorimetric Assay Kit</w:t>
      </w:r>
      <w:r w:rsidRPr="00072D37">
        <w:rPr>
          <w:lang w:val="en-US"/>
        </w:rPr>
        <w:t xml:space="preserve"> (</w:t>
      </w:r>
      <w:r w:rsidR="00256FF3" w:rsidRPr="00072D37">
        <w:rPr>
          <w:lang w:val="en-US"/>
        </w:rPr>
        <w:t xml:space="preserve">Sigma-Aldrich, Frankfurter, Germany). Perfusates were deproteinized using </w:t>
      </w:r>
      <w:proofErr w:type="spellStart"/>
      <w:r w:rsidR="00256FF3" w:rsidRPr="00072D37">
        <w:rPr>
          <w:lang w:val="en-US"/>
        </w:rPr>
        <w:t>Amicon</w:t>
      </w:r>
      <w:proofErr w:type="spellEnd"/>
      <w:r w:rsidR="00256FF3" w:rsidRPr="00072D37">
        <w:rPr>
          <w:lang w:val="en-US"/>
        </w:rPr>
        <w:t xml:space="preserve"> Ultra 10K centrifugal filter devices (</w:t>
      </w:r>
      <w:proofErr w:type="spellStart"/>
      <w:r w:rsidR="00256FF3" w:rsidRPr="00072D37">
        <w:rPr>
          <w:lang w:val="en-US"/>
        </w:rPr>
        <w:t>MilliporeSigma</w:t>
      </w:r>
      <w:proofErr w:type="spellEnd"/>
      <w:r w:rsidR="00256FF3" w:rsidRPr="00072D37">
        <w:rPr>
          <w:lang w:val="en-US"/>
        </w:rPr>
        <w:t>). Standards were prepared directly in wells adding from 10µL to 2µL of the 1mM Standard Solution, therefore with a scale that ranged from 10 nmol/well to 2 nmol/well. After a 30-min incubation at 37°C, absorbance was read at 450 nm</w:t>
      </w:r>
      <w:r w:rsidR="00D0556B" w:rsidRPr="00072D37">
        <w:rPr>
          <w:lang w:val="en-US"/>
        </w:rPr>
        <w:t xml:space="preserve"> </w:t>
      </w:r>
      <w:r w:rsidR="00340631" w:rsidRPr="00072D37">
        <w:rPr>
          <w:lang w:val="en-US"/>
        </w:rPr>
        <w:t>(</w:t>
      </w:r>
      <w:r w:rsidR="00D0556B" w:rsidRPr="00072D37">
        <w:rPr>
          <w:lang w:val="en-US"/>
        </w:rPr>
        <w:t xml:space="preserve">Synergy HTX). </w:t>
      </w:r>
    </w:p>
    <w:p w14:paraId="2445C9ED" w14:textId="4824130D" w:rsidR="00752EEB" w:rsidRPr="00072D37" w:rsidRDefault="00752EEB" w:rsidP="004A37C7">
      <w:pPr>
        <w:pStyle w:val="Heading3"/>
        <w:rPr>
          <w:rFonts w:ascii="Arial" w:hAnsi="Arial" w:cs="Arial"/>
          <w:lang w:val="en-US"/>
        </w:rPr>
      </w:pPr>
      <w:r w:rsidRPr="00072D37">
        <w:rPr>
          <w:rFonts w:ascii="Arial" w:hAnsi="Arial" w:cs="Arial"/>
          <w:lang w:val="en-US"/>
        </w:rPr>
        <w:fldChar w:fldCharType="begin"/>
      </w:r>
      <w:r w:rsidRPr="00072D37">
        <w:rPr>
          <w:rFonts w:ascii="Arial" w:hAnsi="Arial" w:cs="Arial"/>
          <w:lang w:val="en-US"/>
        </w:rPr>
        <w:instrText xml:space="preserve"> AUTONUMLGL </w:instrText>
      </w:r>
      <w:bookmarkStart w:id="24" w:name="_Toc143336320"/>
      <w:r w:rsidRPr="00072D37">
        <w:rPr>
          <w:rFonts w:ascii="Arial" w:hAnsi="Arial" w:cs="Arial"/>
          <w:lang w:val="en-US"/>
        </w:rPr>
        <w:fldChar w:fldCharType="end"/>
      </w:r>
      <w:r w:rsidRPr="00072D37">
        <w:rPr>
          <w:rFonts w:ascii="Arial" w:hAnsi="Arial" w:cs="Arial"/>
          <w:lang w:val="en-US"/>
        </w:rPr>
        <w:t xml:space="preserve"> NADH</w:t>
      </w:r>
      <w:bookmarkEnd w:id="24"/>
      <w:r w:rsidRPr="00072D37">
        <w:rPr>
          <w:rFonts w:ascii="Arial" w:hAnsi="Arial" w:cs="Arial"/>
          <w:lang w:val="en-US"/>
        </w:rPr>
        <w:t xml:space="preserve"> </w:t>
      </w:r>
    </w:p>
    <w:p w14:paraId="37F3EFDD" w14:textId="093E1E5C" w:rsidR="00752EEB" w:rsidRPr="00072D37" w:rsidRDefault="00D0556B" w:rsidP="00DA4897">
      <w:pPr>
        <w:rPr>
          <w:lang w:val="en-US"/>
        </w:rPr>
      </w:pPr>
      <w:r w:rsidRPr="00072D37">
        <w:rPr>
          <w:lang w:val="en-US"/>
        </w:rPr>
        <w:t>NADH concentration in perfusates was analyzed trough fluorescence intensity</w:t>
      </w:r>
      <w:r w:rsidR="00AF3809" w:rsidRPr="00072D37">
        <w:rPr>
          <w:lang w:val="en-US"/>
        </w:rPr>
        <w:t>, as described</w:t>
      </w:r>
      <w:r w:rsidR="00190C04" w:rsidRPr="00072D37">
        <w:rPr>
          <w:lang w:val="en-US"/>
        </w:rPr>
        <w:t xml:space="preserve"> elsewhere</w:t>
      </w:r>
      <w:r w:rsidR="00AF3809" w:rsidRPr="00072D37">
        <w:rPr>
          <w:lang w:val="en-US"/>
        </w:rPr>
        <w:t xml:space="preserve"> </w:t>
      </w:r>
      <w:r w:rsidR="00E5539F" w:rsidRPr="00072D37">
        <w:rPr>
          <w:lang w:val="en-US"/>
        </w:rPr>
        <w:fldChar w:fldCharType="begin" w:fldLock="1"/>
      </w:r>
      <w:r w:rsidR="004B50BC">
        <w:rPr>
          <w:lang w:val="en-US"/>
        </w:rPr>
        <w:instrText>ADDIN CSL_CITATION {"citationItems":[{"id":"ITEM-1","itemData":{"author":[{"dropping-particle":"","family":"Hast","given":"Paul","non-dropping-particle":"","parse-names":false,"suffix":""}],"id":"ITEM-1","issued":{"date-parts":[["2007"]]},"title":"Determination of NADH Concentrations with the Synergy™ 2 Multi-Detection Microplate Reader using Fluorescence or Absorbance","type":"report"},"uris":["http://www.mendeley.com/documents/?uuid=79ce0ca5-80db-422f-a140-6122a99fcf63"]}],"mendeley":{"formattedCitation":"&lt;sup&gt;4&lt;/sup&gt;","plainTextFormattedCitation":"4","previouslyFormattedCitation":"[4]"},"properties":{"noteIndex":0},"schema":"https://github.com/citation-style-language/schema/raw/master/csl-citation.json"}</w:instrText>
      </w:r>
      <w:r w:rsidR="00E5539F" w:rsidRPr="00072D37">
        <w:rPr>
          <w:lang w:val="en-US"/>
        </w:rPr>
        <w:fldChar w:fldCharType="separate"/>
      </w:r>
      <w:r w:rsidR="004B50BC" w:rsidRPr="004B50BC">
        <w:rPr>
          <w:noProof/>
          <w:vertAlign w:val="superscript"/>
          <w:lang w:val="en-US"/>
        </w:rPr>
        <w:t>4</w:t>
      </w:r>
      <w:r w:rsidR="00E5539F" w:rsidRPr="00072D37">
        <w:rPr>
          <w:lang w:val="en-US"/>
        </w:rPr>
        <w:fldChar w:fldCharType="end"/>
      </w:r>
      <w:r w:rsidRPr="00072D37">
        <w:rPr>
          <w:lang w:val="en-US"/>
        </w:rPr>
        <w:t>. A pre-weighed NADH vial was purchased from Sigma Chemical Company (St. Louis, MO). A stock solution of 1</w:t>
      </w:r>
      <w:r w:rsidR="00E5539F" w:rsidRPr="00072D37">
        <w:rPr>
          <w:lang w:val="en-US"/>
        </w:rPr>
        <w:t>0</w:t>
      </w:r>
      <w:r w:rsidRPr="00072D37">
        <w:rPr>
          <w:lang w:val="en-US"/>
        </w:rPr>
        <w:t xml:space="preserve"> mg/ml was prepared using </w:t>
      </w:r>
      <w:r w:rsidR="00E5539F" w:rsidRPr="00072D37">
        <w:rPr>
          <w:lang w:val="en-US"/>
        </w:rPr>
        <w:t>Na-bicarbonate buffer, pH 9</w:t>
      </w:r>
      <w:r w:rsidRPr="00072D37">
        <w:rPr>
          <w:lang w:val="en-US"/>
        </w:rPr>
        <w:t xml:space="preserve">. </w:t>
      </w:r>
      <w:r w:rsidR="00694409" w:rsidRPr="00072D37">
        <w:rPr>
          <w:lang w:val="en-US"/>
        </w:rPr>
        <w:t xml:space="preserve">A standard curve ranging from 250 to 2.5 ng/ml was then prepared </w:t>
      </w:r>
      <w:r w:rsidRPr="00072D37">
        <w:rPr>
          <w:lang w:val="en-US"/>
        </w:rPr>
        <w:t>using filtered perfusate/medium</w:t>
      </w:r>
      <w:r w:rsidR="00694409" w:rsidRPr="00072D37">
        <w:rPr>
          <w:lang w:val="en-US"/>
        </w:rPr>
        <w:t>.</w:t>
      </w:r>
      <w:r w:rsidRPr="00072D37">
        <w:rPr>
          <w:lang w:val="en-US"/>
        </w:rPr>
        <w:t xml:space="preserve"> Seventy-five µL of each sample were then added in duplicates to the wells. Fluorescence was determined using a 340 nm excitation filter and a 440 nm emission filter using a </w:t>
      </w:r>
      <w:proofErr w:type="spellStart"/>
      <w:r w:rsidR="00401FED" w:rsidRPr="00072D37">
        <w:rPr>
          <w:lang w:val="en-US"/>
        </w:rPr>
        <w:t>multiplate</w:t>
      </w:r>
      <w:proofErr w:type="spellEnd"/>
      <w:r w:rsidRPr="00072D37">
        <w:rPr>
          <w:lang w:val="en-US"/>
        </w:rPr>
        <w:t xml:space="preserve"> reader (Synergy HTX). </w:t>
      </w:r>
    </w:p>
    <w:p w14:paraId="0CD026C7" w14:textId="7AA7AA0B" w:rsidR="00E25F08" w:rsidRPr="00072D37" w:rsidRDefault="00E25F08" w:rsidP="00E25F08">
      <w:pPr>
        <w:pStyle w:val="Heading3"/>
        <w:rPr>
          <w:rFonts w:ascii="Arial" w:hAnsi="Arial" w:cs="Arial"/>
          <w:lang w:val="en-US"/>
        </w:rPr>
      </w:pPr>
      <w:bookmarkStart w:id="25" w:name="_Toc94893048"/>
      <w:bookmarkStart w:id="26" w:name="_Toc143336321"/>
      <w:r w:rsidRPr="00072D37">
        <w:rPr>
          <w:rFonts w:ascii="Arial" w:hAnsi="Arial" w:cs="Arial"/>
          <w:lang w:val="en-US"/>
        </w:rPr>
        <w:t xml:space="preserve">4.6.2 </w:t>
      </w:r>
      <w:r w:rsidR="00923564" w:rsidRPr="00072D37">
        <w:rPr>
          <w:rFonts w:ascii="Arial" w:hAnsi="Arial" w:cs="Arial"/>
          <w:lang w:val="en-US"/>
        </w:rPr>
        <w:t>M</w:t>
      </w:r>
      <w:r w:rsidRPr="00072D37">
        <w:rPr>
          <w:rFonts w:ascii="Arial" w:hAnsi="Arial" w:cs="Arial"/>
          <w:lang w:val="en-US"/>
        </w:rPr>
        <w:t>olecules relevant to tissue damage, inflammation and resolution</w:t>
      </w:r>
      <w:bookmarkEnd w:id="26"/>
      <w:r w:rsidRPr="00072D37">
        <w:rPr>
          <w:rFonts w:ascii="Arial" w:hAnsi="Arial" w:cs="Arial"/>
          <w:lang w:val="en-US"/>
        </w:rPr>
        <w:t xml:space="preserve"> </w:t>
      </w:r>
      <w:bookmarkEnd w:id="25"/>
    </w:p>
    <w:p w14:paraId="62054099" w14:textId="7579D68C" w:rsidR="00DA4897" w:rsidRDefault="00E25F08" w:rsidP="00DA4897">
      <w:pPr>
        <w:rPr>
          <w:lang w:val="en-US"/>
        </w:rPr>
      </w:pPr>
      <w:r w:rsidRPr="00072D37">
        <w:rPr>
          <w:lang w:val="en-US"/>
        </w:rPr>
        <w:t xml:space="preserve">Soluble proteins relevant to liver damage, vascular damage and immune activation were evaluated by </w:t>
      </w:r>
      <w:r w:rsidR="000A006B" w:rsidRPr="00072D37">
        <w:rPr>
          <w:lang w:val="en-US"/>
        </w:rPr>
        <w:t xml:space="preserve">means of Luminex® </w:t>
      </w:r>
      <w:proofErr w:type="spellStart"/>
      <w:r w:rsidR="000A006B" w:rsidRPr="00072D37">
        <w:rPr>
          <w:lang w:val="en-US"/>
        </w:rPr>
        <w:t>xMAP</w:t>
      </w:r>
      <w:proofErr w:type="spellEnd"/>
      <w:r w:rsidR="000A006B" w:rsidRPr="00072D37">
        <w:rPr>
          <w:lang w:val="en-US"/>
        </w:rPr>
        <w:t xml:space="preserve"> Technology </w:t>
      </w:r>
      <w:r w:rsidR="002C21A1" w:rsidRPr="00072D37">
        <w:rPr>
          <w:lang w:val="en-US"/>
        </w:rPr>
        <w:t xml:space="preserve">(Luminex 200; Luminex, Austin, CA,USA) </w:t>
      </w:r>
      <w:r w:rsidR="000A006B" w:rsidRPr="00072D37">
        <w:rPr>
          <w:lang w:val="en-US"/>
        </w:rPr>
        <w:t>with the following</w:t>
      </w:r>
      <w:r w:rsidRPr="00072D37">
        <w:rPr>
          <w:lang w:val="en-US"/>
        </w:rPr>
        <w:t xml:space="preserve"> custom-designed immunoassays</w:t>
      </w:r>
      <w:r w:rsidR="000A006B" w:rsidRPr="00072D37">
        <w:rPr>
          <w:lang w:val="en-US"/>
        </w:rPr>
        <w:t xml:space="preserve"> (EDM Millipore Corporation, Billerica, MA, USA):</w:t>
      </w:r>
      <w:r w:rsidR="00CF1687" w:rsidRPr="00072D37">
        <w:rPr>
          <w:lang w:val="en-US"/>
        </w:rPr>
        <w:t xml:space="preserve"> </w:t>
      </w:r>
      <w:r w:rsidR="000A006B" w:rsidRPr="00072D37">
        <w:rPr>
          <w:lang w:val="en-US"/>
        </w:rPr>
        <w:t xml:space="preserve">1) </w:t>
      </w:r>
      <w:r w:rsidRPr="00072D37">
        <w:rPr>
          <w:lang w:val="en-US"/>
        </w:rPr>
        <w:t>Rat Liver Injury Magnetic Bead Panel (Arginase-1: ARG1, 5'-nucleotidase: 5’-NT, Glutathione Transferase Alpha: GST</w:t>
      </w:r>
      <w:r w:rsidR="0025196D" w:rsidRPr="00072D37">
        <w:rPr>
          <w:lang w:val="en-US"/>
        </w:rPr>
        <w:t xml:space="preserve">-alpha; </w:t>
      </w:r>
      <w:r w:rsidRPr="00072D37">
        <w:rPr>
          <w:lang w:val="en-US"/>
        </w:rPr>
        <w:t>Sorbitol dehydrogenase</w:t>
      </w:r>
      <w:r w:rsidRPr="00072D37">
        <w:rPr>
          <w:rFonts w:eastAsia="Symbol"/>
          <w:lang w:val="en-US"/>
        </w:rPr>
        <w:t>: SDH</w:t>
      </w:r>
      <w:r w:rsidRPr="00072D37">
        <w:rPr>
          <w:lang w:val="en-US"/>
        </w:rPr>
        <w:t>)</w:t>
      </w:r>
      <w:r w:rsidR="000A006B" w:rsidRPr="00072D37">
        <w:rPr>
          <w:lang w:val="en-US"/>
        </w:rPr>
        <w:t>; 2)</w:t>
      </w:r>
      <w:r w:rsidRPr="00072D37">
        <w:rPr>
          <w:lang w:val="en-US"/>
        </w:rPr>
        <w:t xml:space="preserve"> Rat Vascular Injury Magnetic Panels (</w:t>
      </w:r>
      <w:r w:rsidR="00FB0C99" w:rsidRPr="00072D37">
        <w:rPr>
          <w:lang w:val="en-US"/>
        </w:rPr>
        <w:t xml:space="preserve">Adiponectin; </w:t>
      </w:r>
      <w:r w:rsidRPr="00072D37">
        <w:rPr>
          <w:lang w:val="en-US"/>
        </w:rPr>
        <w:t xml:space="preserve">Caveolin 1:CAV-1, Connective Tissue Growth Factor: CTGF, </w:t>
      </w:r>
      <w:r w:rsidRPr="00072D37">
        <w:rPr>
          <w:rFonts w:eastAsia="Symbol"/>
          <w:lang w:val="en-US"/>
        </w:rPr>
        <w:t>Tissue Plasminogen Activator Inhibitort-1:</w:t>
      </w:r>
      <w:r w:rsidRPr="00072D37">
        <w:rPr>
          <w:lang w:val="en-US"/>
        </w:rPr>
        <w:t xml:space="preserve"> t-PAI-1, </w:t>
      </w:r>
      <w:r w:rsidRPr="00072D37">
        <w:rPr>
          <w:rFonts w:eastAsia="Symbol"/>
          <w:lang w:val="en-US"/>
        </w:rPr>
        <w:t>soluble Intercellular Adhesion Molecule-1: sICAM-1,</w:t>
      </w:r>
      <w:r w:rsidRPr="00072D37">
        <w:rPr>
          <w:sz w:val="21"/>
          <w:szCs w:val="21"/>
          <w:shd w:val="clear" w:color="auto" w:fill="FFFFFF"/>
          <w:lang w:val="en-US"/>
        </w:rPr>
        <w:t xml:space="preserve"> </w:t>
      </w:r>
      <w:r w:rsidRPr="00072D37">
        <w:rPr>
          <w:rFonts w:eastAsia="Symbol"/>
          <w:lang w:val="en-US"/>
        </w:rPr>
        <w:t>Soluble endothelial leukocyte adhesion molecule-1:</w:t>
      </w:r>
      <w:r w:rsidRPr="00072D37">
        <w:rPr>
          <w:lang w:val="en-US"/>
        </w:rPr>
        <w:t xml:space="preserve"> </w:t>
      </w:r>
      <w:proofErr w:type="spellStart"/>
      <w:r w:rsidRPr="00072D37">
        <w:rPr>
          <w:rFonts w:eastAsia="Symbol"/>
          <w:lang w:val="en-US"/>
        </w:rPr>
        <w:t>sE</w:t>
      </w:r>
      <w:proofErr w:type="spellEnd"/>
      <w:r w:rsidRPr="00072D37">
        <w:rPr>
          <w:rFonts w:eastAsia="Symbol"/>
          <w:lang w:val="en-US"/>
        </w:rPr>
        <w:t>-Selectin, Alpha-1-acid glycoprotein: AGP, Alpha-2-Macroglobulin: A2M, Haptoglobin)</w:t>
      </w:r>
      <w:r w:rsidR="000A006B" w:rsidRPr="00072D37">
        <w:rPr>
          <w:rFonts w:eastAsia="Symbol"/>
          <w:lang w:val="en-US"/>
        </w:rPr>
        <w:t>; 3)</w:t>
      </w:r>
      <w:r w:rsidRPr="00072D37">
        <w:rPr>
          <w:rFonts w:eastAsia="Symbol"/>
          <w:lang w:val="en-US"/>
        </w:rPr>
        <w:t xml:space="preserve"> Rat Cytokine/Chemokine Magnetic Bead Panel (Macrophage Inflammatory Protein-1</w:t>
      </w:r>
      <w:r w:rsidR="0025196D" w:rsidRPr="00072D37">
        <w:rPr>
          <w:rFonts w:eastAsia="Symbol"/>
          <w:lang w:val="en-US"/>
        </w:rPr>
        <w:t>alpha</w:t>
      </w:r>
      <w:r w:rsidRPr="00072D37">
        <w:rPr>
          <w:rFonts w:eastAsia="Symbol"/>
          <w:lang w:val="en-US"/>
        </w:rPr>
        <w:t xml:space="preserve"> MIP-1</w:t>
      </w:r>
      <w:r w:rsidR="0025196D" w:rsidRPr="00072D37">
        <w:rPr>
          <w:rFonts w:eastAsia="Symbol"/>
          <w:lang w:val="en-US"/>
        </w:rPr>
        <w:t>alpha</w:t>
      </w:r>
      <w:r w:rsidRPr="00072D37">
        <w:rPr>
          <w:rFonts w:eastAsia="Symbol"/>
          <w:lang w:val="en-US"/>
        </w:rPr>
        <w:t xml:space="preserve">; </w:t>
      </w:r>
      <w:r w:rsidRPr="00072D37">
        <w:rPr>
          <w:lang w:val="en-US"/>
        </w:rPr>
        <w:t>Interleukin-4: IL-4, Interleukin-6: IL-6, Interleukin-10: IL-10, Interferon-</w:t>
      </w:r>
      <w:r w:rsidR="0025196D" w:rsidRPr="00072D37">
        <w:rPr>
          <w:lang w:val="en-US"/>
        </w:rPr>
        <w:t>gamma</w:t>
      </w:r>
      <w:r w:rsidRPr="00072D37">
        <w:rPr>
          <w:lang w:val="en-US"/>
        </w:rPr>
        <w:t xml:space="preserve">: </w:t>
      </w:r>
      <w:r w:rsidRPr="00072D37">
        <w:rPr>
          <w:rFonts w:eastAsia="Symbol"/>
          <w:lang w:val="en-US"/>
        </w:rPr>
        <w:t>IFN-</w:t>
      </w:r>
      <w:r w:rsidR="0025196D" w:rsidRPr="00072D37">
        <w:rPr>
          <w:lang w:val="en-US"/>
        </w:rPr>
        <w:t>gamma</w:t>
      </w:r>
      <w:r w:rsidRPr="00072D37">
        <w:rPr>
          <w:rFonts w:eastAsia="Symbol"/>
          <w:lang w:val="en-US"/>
        </w:rPr>
        <w:t xml:space="preserve">, </w:t>
      </w:r>
      <w:r w:rsidRPr="00072D37">
        <w:rPr>
          <w:lang w:val="en-US"/>
        </w:rPr>
        <w:t xml:space="preserve">Interleukin-18: IL-18, </w:t>
      </w:r>
      <w:r w:rsidR="00C15841" w:rsidRPr="00C15841">
        <w:rPr>
          <w:lang w:val="en-US"/>
        </w:rPr>
        <w:t>Chemokine C-C motif ligand 2/</w:t>
      </w:r>
      <w:r w:rsidRPr="00072D37">
        <w:rPr>
          <w:lang w:val="en-US"/>
        </w:rPr>
        <w:t>Monocyte Chemoattractant Protein-1:</w:t>
      </w:r>
      <w:r w:rsidR="00C15841" w:rsidRPr="00C15841">
        <w:rPr>
          <w:lang w:val="en-US"/>
        </w:rPr>
        <w:t xml:space="preserve"> </w:t>
      </w:r>
      <w:r w:rsidR="00C15841">
        <w:rPr>
          <w:lang w:val="en-US"/>
        </w:rPr>
        <w:t>CCL2/</w:t>
      </w:r>
      <w:r w:rsidRPr="00072D37">
        <w:rPr>
          <w:lang w:val="en-US"/>
        </w:rPr>
        <w:t xml:space="preserve">MCP-1, Interferon gamma-induced protein 10: IP-10, </w:t>
      </w:r>
      <w:r w:rsidR="00C15841" w:rsidRPr="00C15841">
        <w:rPr>
          <w:lang w:val="en-US"/>
        </w:rPr>
        <w:t>C-X-C motif chemokine ligand 1</w:t>
      </w:r>
      <w:r w:rsidR="00C15841">
        <w:rPr>
          <w:rFonts w:eastAsia="Symbol"/>
          <w:lang w:val="en-US"/>
        </w:rPr>
        <w:t>/</w:t>
      </w:r>
      <w:r w:rsidRPr="00072D37">
        <w:rPr>
          <w:rFonts w:eastAsia="Symbol"/>
          <w:lang w:val="en-US"/>
        </w:rPr>
        <w:t xml:space="preserve">Cytokine-Induced Neutrophil Chemoatractant-1: </w:t>
      </w:r>
      <w:r w:rsidR="00C15841">
        <w:rPr>
          <w:rFonts w:eastAsia="Symbol"/>
          <w:lang w:val="en-US"/>
        </w:rPr>
        <w:t>CXCL1/</w:t>
      </w:r>
      <w:r w:rsidRPr="00072D37">
        <w:rPr>
          <w:lang w:val="en-US"/>
        </w:rPr>
        <w:t>CI</w:t>
      </w:r>
      <w:r w:rsidRPr="00072D37">
        <w:rPr>
          <w:rFonts w:eastAsia="Symbol"/>
          <w:lang w:val="en-US"/>
        </w:rPr>
        <w:t>N</w:t>
      </w:r>
      <w:r w:rsidRPr="00072D37">
        <w:rPr>
          <w:lang w:val="en-US"/>
        </w:rPr>
        <w:t>C</w:t>
      </w:r>
      <w:r w:rsidRPr="00072D37">
        <w:rPr>
          <w:rFonts w:eastAsia="Symbol"/>
          <w:lang w:val="en-US"/>
        </w:rPr>
        <w:t xml:space="preserve">-1, Vascular Endothelial Growth Factor: VEGF, C-X-C Motif Chemokine Ligand 5, CXCL5/LIX, </w:t>
      </w:r>
      <w:r w:rsidRPr="00072D37">
        <w:rPr>
          <w:lang w:val="en-US"/>
        </w:rPr>
        <w:t>Tumor Necrosis Factor-</w:t>
      </w:r>
      <w:r w:rsidR="0025196D" w:rsidRPr="00072D37">
        <w:rPr>
          <w:rFonts w:eastAsia="Symbol"/>
          <w:lang w:val="en-US"/>
        </w:rPr>
        <w:t xml:space="preserve"> alpha</w:t>
      </w:r>
      <w:r w:rsidRPr="00072D37">
        <w:rPr>
          <w:lang w:val="en-US"/>
        </w:rPr>
        <w:t>: TNF-</w:t>
      </w:r>
      <w:r w:rsidR="0025196D" w:rsidRPr="00072D37">
        <w:rPr>
          <w:rFonts w:eastAsia="Symbol"/>
          <w:lang w:val="en-US"/>
        </w:rPr>
        <w:t xml:space="preserve"> alpha</w:t>
      </w:r>
      <w:r w:rsidRPr="00072D37">
        <w:rPr>
          <w:rFonts w:eastAsia="Symbol"/>
          <w:lang w:val="en-US"/>
        </w:rPr>
        <w:t>, Chemokine C-C motif ligand 5</w:t>
      </w:r>
      <w:r w:rsidR="00C15841">
        <w:rPr>
          <w:rFonts w:eastAsia="Symbol"/>
          <w:lang w:val="en-US"/>
        </w:rPr>
        <w:t>/</w:t>
      </w:r>
      <w:r w:rsidR="00C15841" w:rsidRPr="00C15841">
        <w:rPr>
          <w:rFonts w:eastAsia="Symbol"/>
          <w:lang w:val="en-US"/>
        </w:rPr>
        <w:t>regulated on activation, normal T cell expressed and secreted</w:t>
      </w:r>
      <w:r w:rsidRPr="00072D37">
        <w:rPr>
          <w:rFonts w:eastAsia="Symbol"/>
          <w:lang w:val="en-US"/>
        </w:rPr>
        <w:t>: CCL5/RANTES)</w:t>
      </w:r>
      <w:r w:rsidRPr="00072D37">
        <w:rPr>
          <w:lang w:val="en-US"/>
        </w:rPr>
        <w:t xml:space="preserve">. </w:t>
      </w:r>
    </w:p>
    <w:p w14:paraId="590DE6D4" w14:textId="3B14C8F4" w:rsidR="00E25F08" w:rsidRPr="00072D37" w:rsidRDefault="00DA4897" w:rsidP="00DA4897">
      <w:pPr>
        <w:rPr>
          <w:lang w:val="en-US"/>
        </w:rPr>
      </w:pPr>
      <w:r>
        <w:rPr>
          <w:lang w:val="en-US"/>
        </w:rPr>
        <w:t>Briefly, 150</w:t>
      </w:r>
      <w:r w:rsidR="00E25F08" w:rsidRPr="00072D37">
        <w:rPr>
          <w:lang w:val="en-US"/>
        </w:rPr>
        <w:t xml:space="preserve"> µL from each antibody-bead vial were added to a Mixing Bottle and then brought to a final volume of 3 mL with the kit-specific Assay Buffer. Twenty-five µL of standards, controls and samples were added to the appropriate wells, then each well was brought to a final volume of 75 µL </w:t>
      </w:r>
      <w:r w:rsidR="00E25F08" w:rsidRPr="00072D37">
        <w:rPr>
          <w:lang w:val="en-US"/>
        </w:rPr>
        <w:lastRenderedPageBreak/>
        <w:t xml:space="preserve">with 25 µL of Assay Buffer and 25µL of Mixed Beads. The plate was incubated in the dark for 2 hours with gentle agitation at RT. Plate was washed 3 times, then Detection Antibodies and Streptavidin-Phycoerythrin were added to the wells. Lastly, 150 µL of Sheath Fluid were added for </w:t>
      </w:r>
      <w:r w:rsidR="000A006B" w:rsidRPr="00072D37">
        <w:rPr>
          <w:lang w:val="en-US"/>
        </w:rPr>
        <w:t>subsequent</w:t>
      </w:r>
      <w:r w:rsidR="00E25F08" w:rsidRPr="00072D37">
        <w:rPr>
          <w:lang w:val="en-US"/>
        </w:rPr>
        <w:t xml:space="preserve"> </w:t>
      </w:r>
      <w:r w:rsidR="000A006B" w:rsidRPr="00072D37">
        <w:rPr>
          <w:lang w:val="en-US"/>
        </w:rPr>
        <w:t>fluorescence detection using a Luminex 200 (Luminex, Austin, CA, USA).</w:t>
      </w:r>
    </w:p>
    <w:p w14:paraId="59588277" w14:textId="77777777" w:rsidR="00E25F08" w:rsidRPr="00072D37" w:rsidRDefault="00E25F08" w:rsidP="00E25F08">
      <w:pPr>
        <w:pStyle w:val="Heading3"/>
        <w:rPr>
          <w:rFonts w:ascii="Arial" w:hAnsi="Arial" w:cs="Arial"/>
          <w:lang w:val="en-US"/>
        </w:rPr>
      </w:pPr>
      <w:r w:rsidRPr="00072D37">
        <w:rPr>
          <w:rFonts w:ascii="Arial" w:hAnsi="Arial" w:cs="Arial"/>
          <w:lang w:val="en-US"/>
        </w:rPr>
        <w:fldChar w:fldCharType="begin"/>
      </w:r>
      <w:r w:rsidRPr="00072D37">
        <w:rPr>
          <w:rFonts w:ascii="Arial" w:hAnsi="Arial" w:cs="Arial"/>
          <w:lang w:val="en-US"/>
        </w:rPr>
        <w:instrText xml:space="preserve"> AUTONUMLGL </w:instrText>
      </w:r>
      <w:bookmarkStart w:id="27" w:name="_Toc143336322"/>
      <w:r w:rsidRPr="00072D37">
        <w:rPr>
          <w:rFonts w:ascii="Arial" w:hAnsi="Arial" w:cs="Arial"/>
          <w:lang w:val="en-US"/>
        </w:rPr>
        <w:fldChar w:fldCharType="end"/>
      </w:r>
      <w:r w:rsidRPr="00072D37">
        <w:rPr>
          <w:rFonts w:ascii="Arial" w:hAnsi="Arial" w:cs="Arial"/>
          <w:lang w:val="en-US"/>
        </w:rPr>
        <w:t xml:space="preserve"> Rat Tissue Inhibitor of Metalloproteinase 1 (TIMP-1)</w:t>
      </w:r>
      <w:bookmarkEnd w:id="27"/>
    </w:p>
    <w:p w14:paraId="35BC1DCE" w14:textId="66B42A01" w:rsidR="00E25F08" w:rsidRPr="00072D37" w:rsidRDefault="00E25F08" w:rsidP="00526DD8">
      <w:pPr>
        <w:rPr>
          <w:lang w:val="en-US"/>
        </w:rPr>
      </w:pPr>
      <w:r w:rsidRPr="00072D37">
        <w:rPr>
          <w:lang w:val="en-US"/>
        </w:rPr>
        <w:t xml:space="preserve">The amount of </w:t>
      </w:r>
      <w:r w:rsidR="00190C04" w:rsidRPr="00072D37">
        <w:rPr>
          <w:lang w:val="en-US"/>
        </w:rPr>
        <w:t>the</w:t>
      </w:r>
      <w:r w:rsidRPr="00072D37">
        <w:rPr>
          <w:lang w:val="en-US"/>
        </w:rPr>
        <w:t xml:space="preserve"> Tissue Inhibitor of Metalloproteinase 1 (TIMP-1), was investigated in perfusate samples using a Rat TIMP-1 Immunoassay (R&amp;D Systems). Standards were prepared with a serial dilution ranging from 2400 </w:t>
      </w:r>
      <w:proofErr w:type="spellStart"/>
      <w:r w:rsidRPr="00072D37">
        <w:rPr>
          <w:lang w:val="en-US"/>
        </w:rPr>
        <w:t>pg</w:t>
      </w:r>
      <w:proofErr w:type="spellEnd"/>
      <w:r w:rsidRPr="00072D37">
        <w:rPr>
          <w:lang w:val="en-US"/>
        </w:rPr>
        <w:t xml:space="preserve">/mL to 37.5 </w:t>
      </w:r>
      <w:proofErr w:type="spellStart"/>
      <w:r w:rsidRPr="00072D37">
        <w:rPr>
          <w:lang w:val="en-US"/>
        </w:rPr>
        <w:t>pg</w:t>
      </w:r>
      <w:proofErr w:type="spellEnd"/>
      <w:r w:rsidRPr="00072D37">
        <w:rPr>
          <w:lang w:val="en-US"/>
        </w:rPr>
        <w:t>/</w:t>
      </w:r>
      <w:proofErr w:type="spellStart"/>
      <w:r w:rsidRPr="00072D37">
        <w:rPr>
          <w:lang w:val="en-US"/>
        </w:rPr>
        <w:t>mL.</w:t>
      </w:r>
      <w:proofErr w:type="spellEnd"/>
      <w:r w:rsidRPr="00072D37">
        <w:rPr>
          <w:lang w:val="en-US"/>
        </w:rPr>
        <w:t xml:space="preserve"> </w:t>
      </w:r>
      <w:r w:rsidR="00D0556B" w:rsidRPr="00072D37">
        <w:rPr>
          <w:lang w:val="en-US"/>
        </w:rPr>
        <w:t>A</w:t>
      </w:r>
      <w:r w:rsidRPr="00072D37">
        <w:rPr>
          <w:lang w:val="en-US"/>
        </w:rPr>
        <w:t>bsorbance was read at 450 nm with wavelength correction at 540 nm</w:t>
      </w:r>
      <w:r w:rsidR="00D0556B" w:rsidRPr="00072D37">
        <w:rPr>
          <w:lang w:val="en-US"/>
        </w:rPr>
        <w:t xml:space="preserve"> (Synergy HTX).</w:t>
      </w:r>
    </w:p>
    <w:p w14:paraId="75E15244" w14:textId="2FC536D5" w:rsidR="00FB0C99" w:rsidRPr="00072D37" w:rsidRDefault="00FB0C99" w:rsidP="00FB0C99">
      <w:pPr>
        <w:pStyle w:val="Heading3"/>
        <w:rPr>
          <w:rFonts w:ascii="Arial" w:hAnsi="Arial" w:cs="Arial"/>
          <w:lang w:val="en-US"/>
        </w:rPr>
      </w:pPr>
      <w:r w:rsidRPr="00072D37">
        <w:rPr>
          <w:rFonts w:ascii="Arial" w:hAnsi="Arial" w:cs="Arial"/>
          <w:lang w:val="en-US"/>
        </w:rPr>
        <w:fldChar w:fldCharType="begin"/>
      </w:r>
      <w:r w:rsidRPr="00072D37">
        <w:rPr>
          <w:rFonts w:ascii="Arial" w:hAnsi="Arial" w:cs="Arial"/>
          <w:lang w:val="en-US"/>
        </w:rPr>
        <w:instrText xml:space="preserve"> AUTONUMLGL </w:instrText>
      </w:r>
      <w:bookmarkStart w:id="28" w:name="_Toc143336323"/>
      <w:r w:rsidRPr="00072D37">
        <w:rPr>
          <w:rFonts w:ascii="Arial" w:hAnsi="Arial" w:cs="Arial"/>
          <w:lang w:val="en-US"/>
        </w:rPr>
        <w:fldChar w:fldCharType="end"/>
      </w:r>
      <w:r w:rsidRPr="00072D37">
        <w:rPr>
          <w:rFonts w:ascii="Arial" w:hAnsi="Arial" w:cs="Arial"/>
          <w:lang w:val="en-US"/>
        </w:rPr>
        <w:t xml:space="preserve"> Rat IL-13, Hepatocyte growth factor (HGF)</w:t>
      </w:r>
      <w:bookmarkEnd w:id="28"/>
    </w:p>
    <w:p w14:paraId="3BD55BBA" w14:textId="292C82EE" w:rsidR="00D0556B" w:rsidRPr="00072D37" w:rsidRDefault="00D0556B" w:rsidP="00DA4897">
      <w:pPr>
        <w:rPr>
          <w:lang w:val="en-US"/>
        </w:rPr>
      </w:pPr>
      <w:r w:rsidRPr="00072D37">
        <w:rPr>
          <w:lang w:val="en-US"/>
        </w:rPr>
        <w:t xml:space="preserve">The amount of IL-13 was investigated in perfusates using an ELISA kit (Abcam, Cambridge, UK). Standards were prepared with a serial dilution ranging from 5000 </w:t>
      </w:r>
      <w:proofErr w:type="spellStart"/>
      <w:r w:rsidRPr="00072D37">
        <w:rPr>
          <w:lang w:val="en-US"/>
        </w:rPr>
        <w:t>pg</w:t>
      </w:r>
      <w:proofErr w:type="spellEnd"/>
      <w:r w:rsidRPr="00072D37">
        <w:rPr>
          <w:lang w:val="en-US"/>
        </w:rPr>
        <w:t xml:space="preserve">/mL to 78.125 </w:t>
      </w:r>
      <w:proofErr w:type="spellStart"/>
      <w:r w:rsidRPr="00072D37">
        <w:rPr>
          <w:lang w:val="en-US"/>
        </w:rPr>
        <w:t>pg</w:t>
      </w:r>
      <w:proofErr w:type="spellEnd"/>
      <w:r w:rsidRPr="00072D37">
        <w:rPr>
          <w:lang w:val="en-US"/>
        </w:rPr>
        <w:t>/</w:t>
      </w:r>
      <w:proofErr w:type="spellStart"/>
      <w:r w:rsidRPr="00072D37">
        <w:rPr>
          <w:lang w:val="en-US"/>
        </w:rPr>
        <w:t>mL.</w:t>
      </w:r>
      <w:proofErr w:type="spellEnd"/>
      <w:r w:rsidRPr="00072D37">
        <w:rPr>
          <w:lang w:val="en-US"/>
        </w:rPr>
        <w:t xml:space="preserve"> Absorbance readings at 450 nm was performed using a multi-mode microplate reader (Synergy HTX).</w:t>
      </w:r>
    </w:p>
    <w:p w14:paraId="7DA9E797" w14:textId="2052F849" w:rsidR="004636C1" w:rsidRPr="00072D37" w:rsidRDefault="00D0556B" w:rsidP="00DA4897">
      <w:pPr>
        <w:rPr>
          <w:lang w:val="en-US"/>
        </w:rPr>
      </w:pPr>
      <w:r w:rsidRPr="00072D37">
        <w:rPr>
          <w:lang w:val="en-US"/>
        </w:rPr>
        <w:t>HGF was investigated in perfusates using a Rat HGF Immunoassay (R&amp;D Systems).</w:t>
      </w:r>
      <w:r w:rsidR="00E5539F" w:rsidRPr="00072D37">
        <w:rPr>
          <w:lang w:val="en-US"/>
        </w:rPr>
        <w:t xml:space="preserve"> </w:t>
      </w:r>
      <w:r w:rsidRPr="00072D37">
        <w:rPr>
          <w:lang w:val="en-US"/>
        </w:rPr>
        <w:t xml:space="preserve">Standards were prepared with a serial dilution ranging from 4000 </w:t>
      </w:r>
      <w:proofErr w:type="spellStart"/>
      <w:r w:rsidRPr="00072D37">
        <w:rPr>
          <w:lang w:val="en-US"/>
        </w:rPr>
        <w:t>pg</w:t>
      </w:r>
      <w:proofErr w:type="spellEnd"/>
      <w:r w:rsidRPr="00072D37">
        <w:rPr>
          <w:lang w:val="en-US"/>
        </w:rPr>
        <w:t xml:space="preserve">/mL to 62.5 </w:t>
      </w:r>
      <w:proofErr w:type="spellStart"/>
      <w:r w:rsidRPr="00072D37">
        <w:rPr>
          <w:lang w:val="en-US"/>
        </w:rPr>
        <w:t>pg</w:t>
      </w:r>
      <w:proofErr w:type="spellEnd"/>
      <w:r w:rsidRPr="00072D37">
        <w:rPr>
          <w:lang w:val="en-US"/>
        </w:rPr>
        <w:t>/</w:t>
      </w:r>
      <w:proofErr w:type="spellStart"/>
      <w:r w:rsidRPr="00072D37">
        <w:rPr>
          <w:lang w:val="en-US"/>
        </w:rPr>
        <w:t>mL.</w:t>
      </w:r>
      <w:proofErr w:type="spellEnd"/>
      <w:r w:rsidRPr="00072D37">
        <w:rPr>
          <w:lang w:val="en-US"/>
        </w:rPr>
        <w:t xml:space="preserve"> Absorbance was read at 450 nm with wavelength correction at 540 nm (Synergy HTX).</w:t>
      </w:r>
    </w:p>
    <w:bookmarkStart w:id="29" w:name="_Toc94893043"/>
    <w:p w14:paraId="3A42154B" w14:textId="5F242900" w:rsidR="002279A0" w:rsidRPr="00072D37" w:rsidRDefault="00752EEB" w:rsidP="003E231F">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30" w:name="_Toc143336324"/>
      <w:r w:rsidRPr="00072D37">
        <w:rPr>
          <w:rFonts w:ascii="Arial" w:hAnsi="Arial" w:cs="Arial"/>
        </w:rPr>
        <w:fldChar w:fldCharType="end"/>
      </w:r>
      <w:r w:rsidRPr="00072D37">
        <w:rPr>
          <w:rFonts w:ascii="Arial" w:hAnsi="Arial" w:cs="Arial"/>
        </w:rPr>
        <w:t xml:space="preserve"> </w:t>
      </w:r>
      <w:r w:rsidR="00663BC2" w:rsidRPr="00072D37">
        <w:rPr>
          <w:rFonts w:ascii="Arial" w:hAnsi="Arial" w:cs="Arial"/>
        </w:rPr>
        <w:t>Evaluations performed on l</w:t>
      </w:r>
      <w:r w:rsidR="002279A0" w:rsidRPr="00072D37">
        <w:rPr>
          <w:rFonts w:ascii="Arial" w:hAnsi="Arial" w:cs="Arial"/>
        </w:rPr>
        <w:t>iver biops</w:t>
      </w:r>
      <w:r w:rsidR="00663BC2" w:rsidRPr="00072D37">
        <w:rPr>
          <w:rFonts w:ascii="Arial" w:hAnsi="Arial" w:cs="Arial"/>
        </w:rPr>
        <w:t>ies</w:t>
      </w:r>
      <w:bookmarkEnd w:id="30"/>
    </w:p>
    <w:p w14:paraId="0118C6E4" w14:textId="44DBF5F7" w:rsidR="002B58F5" w:rsidRPr="00072D37" w:rsidRDefault="002279A0" w:rsidP="002279A0">
      <w:pPr>
        <w:pStyle w:val="Heading3"/>
        <w:rPr>
          <w:rFonts w:ascii="Arial" w:hAnsi="Arial" w:cs="Arial"/>
          <w:lang w:val="en-US"/>
        </w:rPr>
      </w:pPr>
      <w:r w:rsidRPr="00072D37">
        <w:rPr>
          <w:rFonts w:ascii="Arial" w:hAnsi="Arial" w:cs="Arial"/>
          <w:lang w:val="en-US"/>
        </w:rPr>
        <w:fldChar w:fldCharType="begin"/>
      </w:r>
      <w:r w:rsidRPr="00072D37">
        <w:rPr>
          <w:rFonts w:ascii="Arial" w:hAnsi="Arial" w:cs="Arial"/>
          <w:lang w:val="en-US"/>
        </w:rPr>
        <w:instrText xml:space="preserve"> AUTONUMLGL </w:instrText>
      </w:r>
      <w:bookmarkStart w:id="31" w:name="_Toc143336325"/>
      <w:r w:rsidRPr="00072D37">
        <w:rPr>
          <w:rFonts w:ascii="Arial" w:hAnsi="Arial" w:cs="Arial"/>
          <w:lang w:val="en-US"/>
        </w:rPr>
        <w:fldChar w:fldCharType="end"/>
      </w:r>
      <w:r w:rsidRPr="00072D37">
        <w:rPr>
          <w:rFonts w:ascii="Arial" w:hAnsi="Arial" w:cs="Arial"/>
          <w:lang w:val="en-US"/>
        </w:rPr>
        <w:t xml:space="preserve"> </w:t>
      </w:r>
      <w:r w:rsidR="002B58F5" w:rsidRPr="00072D37">
        <w:rPr>
          <w:rFonts w:ascii="Arial" w:hAnsi="Arial" w:cs="Arial"/>
          <w:lang w:val="en-US"/>
        </w:rPr>
        <w:t>Wet-to-Dry Ratio</w:t>
      </w:r>
      <w:bookmarkEnd w:id="29"/>
      <w:bookmarkEnd w:id="31"/>
      <w:r w:rsidR="002B58F5" w:rsidRPr="00072D37">
        <w:rPr>
          <w:rFonts w:ascii="Arial" w:hAnsi="Arial" w:cs="Arial"/>
          <w:lang w:val="en-US"/>
        </w:rPr>
        <w:t xml:space="preserve"> </w:t>
      </w:r>
    </w:p>
    <w:p w14:paraId="2E92D9F1" w14:textId="4745F6BA" w:rsidR="002B58F5" w:rsidRPr="00072D37" w:rsidRDefault="00D0556B" w:rsidP="00DA4897">
      <w:pPr>
        <w:rPr>
          <w:lang w:val="en-US"/>
        </w:rPr>
      </w:pPr>
      <w:r w:rsidRPr="00072D37">
        <w:rPr>
          <w:lang w:val="en-US"/>
        </w:rPr>
        <w:t>Biopsies were w</w:t>
      </w:r>
      <w:r w:rsidR="002B58F5" w:rsidRPr="00072D37">
        <w:rPr>
          <w:lang w:val="en-US"/>
        </w:rPr>
        <w:t>eight</w:t>
      </w:r>
      <w:r w:rsidR="00E5539F" w:rsidRPr="00072D37">
        <w:rPr>
          <w:lang w:val="en-US"/>
        </w:rPr>
        <w:t>ed</w:t>
      </w:r>
      <w:r w:rsidR="002B58F5" w:rsidRPr="00072D37">
        <w:rPr>
          <w:lang w:val="en-US"/>
        </w:rPr>
        <w:t xml:space="preserve"> </w:t>
      </w:r>
      <w:r w:rsidRPr="00072D37">
        <w:rPr>
          <w:lang w:val="en-US"/>
        </w:rPr>
        <w:t>on an analytical balance (</w:t>
      </w:r>
      <w:r w:rsidR="00CF1687" w:rsidRPr="00072D37">
        <w:rPr>
          <w:lang w:val="en-US"/>
        </w:rPr>
        <w:t>Sartorius AG, Göttingen, Germany</w:t>
      </w:r>
      <w:r w:rsidRPr="00072D37">
        <w:rPr>
          <w:lang w:val="en-US"/>
        </w:rPr>
        <w:t xml:space="preserve">) </w:t>
      </w:r>
      <w:r w:rsidR="002B58F5" w:rsidRPr="00072D37">
        <w:rPr>
          <w:lang w:val="en-US"/>
        </w:rPr>
        <w:t xml:space="preserve">before and after desiccation </w:t>
      </w:r>
      <w:r w:rsidRPr="00072D37">
        <w:rPr>
          <w:lang w:val="en-US"/>
        </w:rPr>
        <w:t xml:space="preserve">in an oven at 50 </w:t>
      </w:r>
      <w:r w:rsidRPr="00072D37">
        <w:rPr>
          <w:position w:val="8"/>
          <w:sz w:val="16"/>
          <w:szCs w:val="16"/>
          <w:lang w:val="en-US"/>
        </w:rPr>
        <w:t>◦</w:t>
      </w:r>
      <w:r w:rsidRPr="00072D37">
        <w:rPr>
          <w:lang w:val="en-US"/>
        </w:rPr>
        <w:t>C for 48 h</w:t>
      </w:r>
      <w:r w:rsidR="00E5539F" w:rsidRPr="00072D37">
        <w:rPr>
          <w:lang w:val="en-US"/>
        </w:rPr>
        <w:t>. Thereafter,</w:t>
      </w:r>
      <w:r w:rsidRPr="00072D37">
        <w:rPr>
          <w:lang w:val="en-US"/>
        </w:rPr>
        <w:t xml:space="preserve"> </w:t>
      </w:r>
      <w:r w:rsidR="00E5539F" w:rsidRPr="00072D37">
        <w:rPr>
          <w:lang w:val="en-US"/>
        </w:rPr>
        <w:t>wet/dry ratios (W/D) were</w:t>
      </w:r>
      <w:r w:rsidRPr="00072D37">
        <w:rPr>
          <w:lang w:val="en-US"/>
        </w:rPr>
        <w:t xml:space="preserve"> calculate</w:t>
      </w:r>
      <w:r w:rsidR="00E5539F" w:rsidRPr="00072D37">
        <w:rPr>
          <w:lang w:val="en-US"/>
        </w:rPr>
        <w:t>d</w:t>
      </w:r>
      <w:r w:rsidR="002B58F5" w:rsidRPr="00072D37">
        <w:rPr>
          <w:lang w:val="en-US"/>
        </w:rPr>
        <w:t xml:space="preserve"> as an index of edema. </w:t>
      </w:r>
    </w:p>
    <w:bookmarkStart w:id="32" w:name="_Toc94893045"/>
    <w:p w14:paraId="16AE3BD9" w14:textId="3B6B25D7" w:rsidR="0051253F" w:rsidRPr="00072D37" w:rsidRDefault="00752EEB" w:rsidP="002279A0">
      <w:pPr>
        <w:pStyle w:val="Heading3"/>
        <w:rPr>
          <w:rFonts w:ascii="Arial" w:hAnsi="Arial" w:cs="Arial"/>
          <w:lang w:val="en-US"/>
        </w:rPr>
      </w:pPr>
      <w:r w:rsidRPr="00072D37">
        <w:rPr>
          <w:rFonts w:ascii="Arial" w:hAnsi="Arial" w:cs="Arial"/>
          <w:lang w:val="en-US"/>
        </w:rPr>
        <w:fldChar w:fldCharType="begin"/>
      </w:r>
      <w:r w:rsidRPr="00072D37">
        <w:rPr>
          <w:rFonts w:ascii="Arial" w:hAnsi="Arial" w:cs="Arial"/>
          <w:lang w:val="en-US"/>
        </w:rPr>
        <w:instrText xml:space="preserve"> AUTONUMLGL </w:instrText>
      </w:r>
      <w:bookmarkStart w:id="33" w:name="_Toc143336326"/>
      <w:r w:rsidRPr="00072D37">
        <w:rPr>
          <w:rFonts w:ascii="Arial" w:hAnsi="Arial" w:cs="Arial"/>
          <w:lang w:val="en-US"/>
        </w:rPr>
        <w:fldChar w:fldCharType="end"/>
      </w:r>
      <w:r w:rsidR="002279A0" w:rsidRPr="00072D37">
        <w:rPr>
          <w:rFonts w:ascii="Arial" w:hAnsi="Arial" w:cs="Arial"/>
          <w:lang w:val="en-US"/>
        </w:rPr>
        <w:t xml:space="preserve"> </w:t>
      </w:r>
      <w:r w:rsidR="0051253F" w:rsidRPr="00072D37">
        <w:rPr>
          <w:rFonts w:ascii="Arial" w:hAnsi="Arial" w:cs="Arial"/>
          <w:lang w:val="en-US"/>
        </w:rPr>
        <w:t xml:space="preserve">ATP </w:t>
      </w:r>
      <w:r w:rsidR="007610A0" w:rsidRPr="00072D37">
        <w:rPr>
          <w:rFonts w:ascii="Arial" w:hAnsi="Arial" w:cs="Arial"/>
          <w:lang w:val="en-US"/>
        </w:rPr>
        <w:t>c</w:t>
      </w:r>
      <w:r w:rsidR="0051253F" w:rsidRPr="00072D37">
        <w:rPr>
          <w:rFonts w:ascii="Arial" w:hAnsi="Arial" w:cs="Arial"/>
          <w:lang w:val="en-US"/>
        </w:rPr>
        <w:t>ontent Assessment</w:t>
      </w:r>
      <w:bookmarkEnd w:id="32"/>
      <w:bookmarkEnd w:id="33"/>
      <w:r w:rsidR="0051253F" w:rsidRPr="00072D37">
        <w:rPr>
          <w:rFonts w:ascii="Arial" w:hAnsi="Arial" w:cs="Arial"/>
          <w:lang w:val="en-US"/>
        </w:rPr>
        <w:t xml:space="preserve"> </w:t>
      </w:r>
    </w:p>
    <w:p w14:paraId="353AA24A" w14:textId="11F2BABC" w:rsidR="0051253F" w:rsidRPr="00072D37" w:rsidRDefault="0051253F" w:rsidP="00DA4897">
      <w:pPr>
        <w:rPr>
          <w:lang w:val="en-US"/>
        </w:rPr>
      </w:pPr>
      <w:r w:rsidRPr="00072D37">
        <w:rPr>
          <w:lang w:val="en-US"/>
        </w:rPr>
        <w:t>Snap frozen liver samples were homogenized in trichloroacetic acid (</w:t>
      </w:r>
      <w:proofErr w:type="spellStart"/>
      <w:r w:rsidRPr="00072D37">
        <w:rPr>
          <w:lang w:val="en-US"/>
        </w:rPr>
        <w:t>MilliporeSigma</w:t>
      </w:r>
      <w:proofErr w:type="spellEnd"/>
      <w:r w:rsidRPr="00072D37">
        <w:rPr>
          <w:lang w:val="en-US"/>
        </w:rPr>
        <w:t>) at a concentration of 50 mg/</w:t>
      </w:r>
      <w:proofErr w:type="spellStart"/>
      <w:r w:rsidRPr="00072D37">
        <w:rPr>
          <w:lang w:val="en-US"/>
        </w:rPr>
        <w:t>mL</w:t>
      </w:r>
      <w:r w:rsidR="00D0556B" w:rsidRPr="00072D37">
        <w:rPr>
          <w:lang w:val="en-US"/>
        </w:rPr>
        <w:t>.</w:t>
      </w:r>
      <w:proofErr w:type="spellEnd"/>
      <w:r w:rsidR="00D0556B" w:rsidRPr="00072D37">
        <w:rPr>
          <w:lang w:val="en-US"/>
        </w:rPr>
        <w:t xml:space="preserve"> </w:t>
      </w:r>
      <w:r w:rsidRPr="00072D37">
        <w:rPr>
          <w:lang w:val="en-US"/>
        </w:rPr>
        <w:t>Supernatants were collected and then diluted 1:30 using 0.1 M Tris-acetate, pH 7.75 (Millipore Sigma). Next, 10 µL of each sample were dispensed in a blank 96-well plate and 90 µL of luciferase (</w:t>
      </w:r>
      <w:proofErr w:type="spellStart"/>
      <w:r w:rsidRPr="00072D37">
        <w:rPr>
          <w:lang w:val="en-US"/>
        </w:rPr>
        <w:t>Enliten</w:t>
      </w:r>
      <w:proofErr w:type="spellEnd"/>
      <w:r w:rsidRPr="00072D37">
        <w:rPr>
          <w:lang w:val="en-US"/>
        </w:rPr>
        <w:t xml:space="preserve"> ATP Assay System</w:t>
      </w:r>
      <w:r w:rsidR="00E5539F" w:rsidRPr="00072D37">
        <w:rPr>
          <w:lang w:val="en-US"/>
        </w:rPr>
        <w:t>,</w:t>
      </w:r>
      <w:r w:rsidRPr="00072D37">
        <w:rPr>
          <w:lang w:val="en-US"/>
        </w:rPr>
        <w:t xml:space="preserve"> Promega, Madison, WI, USA) were </w:t>
      </w:r>
      <w:r w:rsidR="00E5539F" w:rsidRPr="00072D37">
        <w:rPr>
          <w:lang w:val="en-US"/>
        </w:rPr>
        <w:t xml:space="preserve">automatically </w:t>
      </w:r>
      <w:r w:rsidRPr="00072D37">
        <w:rPr>
          <w:lang w:val="en-US"/>
        </w:rPr>
        <w:t xml:space="preserve">added </w:t>
      </w:r>
      <w:r w:rsidR="00E5539F" w:rsidRPr="00072D37">
        <w:rPr>
          <w:lang w:val="en-US"/>
        </w:rPr>
        <w:t>during the analysis in</w:t>
      </w:r>
      <w:r w:rsidRPr="00072D37">
        <w:rPr>
          <w:lang w:val="en-US"/>
        </w:rPr>
        <w:t xml:space="preserve"> the Luminometer (</w:t>
      </w:r>
      <w:proofErr w:type="spellStart"/>
      <w:r w:rsidRPr="00072D37">
        <w:rPr>
          <w:lang w:val="en-US"/>
        </w:rPr>
        <w:t>Glomax</w:t>
      </w:r>
      <w:proofErr w:type="spellEnd"/>
      <w:r w:rsidRPr="00072D37">
        <w:rPr>
          <w:lang w:val="en-US"/>
        </w:rPr>
        <w:t xml:space="preserve"> Luminometer; Promega). Bioluminescent signals were immediately detected. ATP concentration was calculated by means of a standard curve that ranged from 10</w:t>
      </w:r>
      <w:r w:rsidRPr="00072D37">
        <w:rPr>
          <w:vertAlign w:val="superscript"/>
          <w:lang w:val="en-US"/>
        </w:rPr>
        <w:t>-4</w:t>
      </w:r>
      <w:r w:rsidRPr="00072D37">
        <w:rPr>
          <w:lang w:val="en-US"/>
        </w:rPr>
        <w:t xml:space="preserve"> M to 10</w:t>
      </w:r>
      <w:r w:rsidRPr="00072D37">
        <w:rPr>
          <w:vertAlign w:val="superscript"/>
          <w:lang w:val="en-US"/>
        </w:rPr>
        <w:t>-10</w:t>
      </w:r>
      <w:r w:rsidRPr="00072D37">
        <w:rPr>
          <w:lang w:val="en-US"/>
        </w:rPr>
        <w:t xml:space="preserve"> M (</w:t>
      </w:r>
      <w:proofErr w:type="spellStart"/>
      <w:r w:rsidRPr="00072D37">
        <w:rPr>
          <w:lang w:val="en-US"/>
        </w:rPr>
        <w:t>rATP</w:t>
      </w:r>
      <w:proofErr w:type="spellEnd"/>
      <w:r w:rsidRPr="00072D37">
        <w:rPr>
          <w:lang w:val="en-US"/>
        </w:rPr>
        <w:t xml:space="preserve"> 10 </w:t>
      </w:r>
      <w:proofErr w:type="spellStart"/>
      <w:r w:rsidRPr="00072D37">
        <w:rPr>
          <w:lang w:val="en-US"/>
        </w:rPr>
        <w:t>mM</w:t>
      </w:r>
      <w:proofErr w:type="spellEnd"/>
      <w:r w:rsidRPr="00072D37">
        <w:rPr>
          <w:lang w:val="en-US"/>
        </w:rPr>
        <w:t xml:space="preserve">; Promega). </w:t>
      </w:r>
    </w:p>
    <w:p w14:paraId="5DD02F2A" w14:textId="1F51BCE3" w:rsidR="0051253F" w:rsidRPr="00072D37" w:rsidRDefault="00752EEB" w:rsidP="002279A0">
      <w:pPr>
        <w:pStyle w:val="Heading3"/>
        <w:rPr>
          <w:rFonts w:ascii="Arial" w:hAnsi="Arial" w:cs="Arial"/>
          <w:lang w:val="en-US"/>
        </w:rPr>
      </w:pPr>
      <w:r w:rsidRPr="00072D37">
        <w:rPr>
          <w:rFonts w:ascii="Arial" w:hAnsi="Arial" w:cs="Arial"/>
          <w:lang w:val="en-US"/>
        </w:rPr>
        <w:lastRenderedPageBreak/>
        <w:fldChar w:fldCharType="begin"/>
      </w:r>
      <w:r w:rsidRPr="00072D37">
        <w:rPr>
          <w:rFonts w:ascii="Arial" w:hAnsi="Arial" w:cs="Arial"/>
          <w:lang w:val="en-US"/>
        </w:rPr>
        <w:instrText xml:space="preserve"> AUTONUMLGL </w:instrText>
      </w:r>
      <w:bookmarkStart w:id="34" w:name="_Toc143336327"/>
      <w:r w:rsidRPr="00072D37">
        <w:rPr>
          <w:rFonts w:ascii="Arial" w:hAnsi="Arial" w:cs="Arial"/>
          <w:lang w:val="en-US"/>
        </w:rPr>
        <w:fldChar w:fldCharType="end"/>
      </w:r>
      <w:r w:rsidRPr="00072D37">
        <w:rPr>
          <w:rFonts w:ascii="Arial" w:hAnsi="Arial" w:cs="Arial"/>
          <w:lang w:val="en-US"/>
        </w:rPr>
        <w:t xml:space="preserve"> Tissue NAD+/NADH content measurement</w:t>
      </w:r>
      <w:bookmarkEnd w:id="34"/>
    </w:p>
    <w:p w14:paraId="6B07FBF7" w14:textId="0CA09DA5" w:rsidR="00D0556B" w:rsidRPr="00072D37" w:rsidRDefault="00D0556B" w:rsidP="00DA4897">
      <w:pPr>
        <w:rPr>
          <w:lang w:val="en-US"/>
        </w:rPr>
      </w:pPr>
      <w:r w:rsidRPr="00072D37">
        <w:rPr>
          <w:lang w:val="en-US"/>
        </w:rPr>
        <w:t>NAD+/NADH content was assessed using a Colorimetric Assay Kit (Sigma-Aldrich). Snap frozen liver samples were homogenized at a concentration of 50 mg/</w:t>
      </w:r>
      <w:proofErr w:type="spellStart"/>
      <w:r w:rsidRPr="00072D37">
        <w:rPr>
          <w:lang w:val="en-US"/>
        </w:rPr>
        <w:t>mL.</w:t>
      </w:r>
      <w:proofErr w:type="spellEnd"/>
      <w:r w:rsidRPr="00072D37">
        <w:rPr>
          <w:lang w:val="en-US"/>
        </w:rPr>
        <w:t xml:space="preserve"> Standards </w:t>
      </w:r>
      <w:proofErr w:type="spellStart"/>
      <w:r w:rsidRPr="00072D37">
        <w:rPr>
          <w:lang w:val="en-US"/>
        </w:rPr>
        <w:t>anged</w:t>
      </w:r>
      <w:proofErr w:type="spellEnd"/>
      <w:r w:rsidRPr="00072D37">
        <w:rPr>
          <w:lang w:val="en-US"/>
        </w:rPr>
        <w:t xml:space="preserve"> from 10 nmol/well to 2 nmol/well. Absorbance was read at 450 nm </w:t>
      </w:r>
      <w:r w:rsidR="00C439F8" w:rsidRPr="00072D37">
        <w:rPr>
          <w:lang w:val="en-US"/>
        </w:rPr>
        <w:t>(</w:t>
      </w:r>
      <w:r w:rsidRPr="00072D37">
        <w:rPr>
          <w:lang w:val="en-US"/>
        </w:rPr>
        <w:t xml:space="preserve">Synergy HTX). </w:t>
      </w:r>
    </w:p>
    <w:p w14:paraId="1DA210FD" w14:textId="77777777" w:rsidR="00D0556B" w:rsidRPr="00072D37" w:rsidRDefault="00D0556B" w:rsidP="00DA4897">
      <w:pPr>
        <w:rPr>
          <w:lang w:val="en-US" w:eastAsia="en-US"/>
        </w:rPr>
      </w:pPr>
    </w:p>
    <w:p w14:paraId="00D3E5C2" w14:textId="77777777" w:rsidR="00DC1E8F" w:rsidRPr="00072D37" w:rsidRDefault="00DC1E8F" w:rsidP="00704DB0">
      <w:pPr>
        <w:pStyle w:val="Heading1"/>
        <w:rPr>
          <w:rFonts w:ascii="Arial" w:hAnsi="Arial" w:cs="Arial"/>
        </w:rPr>
        <w:sectPr w:rsidR="00DC1E8F" w:rsidRPr="00072D37" w:rsidSect="00AE3A0D">
          <w:pgSz w:w="11900" w:h="16840"/>
          <w:pgMar w:top="1417" w:right="1134" w:bottom="1134" w:left="1134" w:header="708" w:footer="708" w:gutter="0"/>
          <w:lnNumType w:countBy="1" w:restart="continuous"/>
          <w:cols w:space="708"/>
          <w:docGrid w:linePitch="360"/>
        </w:sectPr>
      </w:pPr>
    </w:p>
    <w:p w14:paraId="6D9A0752" w14:textId="54EE01E2" w:rsidR="00923960" w:rsidRPr="00072D37" w:rsidRDefault="00704DB0" w:rsidP="0080649F">
      <w:pPr>
        <w:pStyle w:val="Heading1"/>
        <w:rPr>
          <w:rFonts w:ascii="Arial" w:hAnsi="Arial" w:cs="Arial"/>
        </w:rPr>
      </w:pPr>
      <w:r w:rsidRPr="00072D37">
        <w:rPr>
          <w:rFonts w:ascii="Arial" w:hAnsi="Arial" w:cs="Arial"/>
        </w:rPr>
        <w:lastRenderedPageBreak/>
        <w:fldChar w:fldCharType="begin"/>
      </w:r>
      <w:r w:rsidRPr="00072D37">
        <w:rPr>
          <w:rFonts w:ascii="Arial" w:hAnsi="Arial" w:cs="Arial"/>
        </w:rPr>
        <w:instrText xml:space="preserve"> AUTONUMLGL </w:instrText>
      </w:r>
      <w:bookmarkStart w:id="35" w:name="_Toc143336328"/>
      <w:r w:rsidRPr="00072D37">
        <w:rPr>
          <w:rFonts w:ascii="Arial" w:hAnsi="Arial" w:cs="Arial"/>
        </w:rPr>
        <w:fldChar w:fldCharType="end"/>
      </w:r>
      <w:r w:rsidRPr="00072D37">
        <w:rPr>
          <w:rFonts w:ascii="Arial" w:hAnsi="Arial" w:cs="Arial"/>
        </w:rPr>
        <w:t xml:space="preserve"> </w:t>
      </w:r>
      <w:r w:rsidR="00923960" w:rsidRPr="00072D37">
        <w:rPr>
          <w:rFonts w:ascii="Arial" w:hAnsi="Arial" w:cs="Arial"/>
        </w:rPr>
        <w:t>Supplementary results</w:t>
      </w:r>
      <w:bookmarkEnd w:id="35"/>
    </w:p>
    <w:p w14:paraId="49CB0B20" w14:textId="2E61CB64" w:rsidR="00923960" w:rsidRPr="00072D37" w:rsidRDefault="00923960" w:rsidP="00923960">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36" w:name="_Toc143336329"/>
      <w:r w:rsidRPr="00072D37">
        <w:rPr>
          <w:rFonts w:ascii="Arial" w:hAnsi="Arial" w:cs="Arial"/>
        </w:rPr>
        <w:fldChar w:fldCharType="end"/>
      </w:r>
      <w:r w:rsidRPr="00072D37">
        <w:rPr>
          <w:rFonts w:ascii="Arial" w:hAnsi="Arial" w:cs="Arial"/>
        </w:rPr>
        <w:t xml:space="preserve"> Preliminary characterization of </w:t>
      </w:r>
      <w:r w:rsidR="00FA2308" w:rsidRPr="00072D37">
        <w:rPr>
          <w:rFonts w:ascii="Arial" w:hAnsi="Arial" w:cs="Arial"/>
        </w:rPr>
        <w:t>MSCs</w:t>
      </w:r>
      <w:r w:rsidRPr="00072D37">
        <w:rPr>
          <w:rFonts w:ascii="Arial" w:hAnsi="Arial" w:cs="Arial"/>
        </w:rPr>
        <w:t xml:space="preserve"> isolated from </w:t>
      </w:r>
      <w:r w:rsidR="00FD0112" w:rsidRPr="00072D37">
        <w:rPr>
          <w:rFonts w:ascii="Arial" w:hAnsi="Arial" w:cs="Arial"/>
        </w:rPr>
        <w:t>adipose tissue</w:t>
      </w:r>
      <w:bookmarkEnd w:id="36"/>
    </w:p>
    <w:p w14:paraId="24D9FDC6" w14:textId="7C7D4D70" w:rsidR="00FD0112" w:rsidRPr="00072D37" w:rsidRDefault="00923960" w:rsidP="00DA4897">
      <w:pPr>
        <w:rPr>
          <w:lang w:val="en-US" w:eastAsia="en-US"/>
        </w:rPr>
      </w:pPr>
      <w:r w:rsidRPr="00072D37">
        <w:rPr>
          <w:lang w:val="en-US" w:eastAsia="en-US"/>
        </w:rPr>
        <w:t>Flow cytometry analysis</w:t>
      </w:r>
      <w:r w:rsidR="00FD0112" w:rsidRPr="00072D37">
        <w:rPr>
          <w:lang w:val="en-US" w:eastAsia="en-US"/>
        </w:rPr>
        <w:t xml:space="preserve"> were performed to characterize the immunophenotype of MSCs isolated from adipose tissue and then cultured in vitro (from P1 to P8).</w:t>
      </w:r>
    </w:p>
    <w:p w14:paraId="73E33E16" w14:textId="66CF97DB" w:rsidR="00923960" w:rsidRPr="00072D37" w:rsidRDefault="00FD0112" w:rsidP="00DA4897">
      <w:pPr>
        <w:rPr>
          <w:lang w:val="en-US" w:eastAsia="en-US"/>
        </w:rPr>
      </w:pPr>
      <w:r w:rsidRPr="00072D37">
        <w:rPr>
          <w:lang w:val="en-US" w:eastAsia="en-US"/>
        </w:rPr>
        <w:t xml:space="preserve">The analysis </w:t>
      </w:r>
      <w:r w:rsidR="00923960" w:rsidRPr="00072D37">
        <w:rPr>
          <w:lang w:val="en-US" w:eastAsia="en-US"/>
        </w:rPr>
        <w:t xml:space="preserve">revealed a consistent expression </w:t>
      </w:r>
      <w:proofErr w:type="gramStart"/>
      <w:r w:rsidR="00923960" w:rsidRPr="00072D37">
        <w:rPr>
          <w:lang w:val="en-US" w:eastAsia="en-US"/>
        </w:rPr>
        <w:t>of  MSC</w:t>
      </w:r>
      <w:proofErr w:type="gramEnd"/>
      <w:r w:rsidR="00923960" w:rsidRPr="00072D37">
        <w:rPr>
          <w:lang w:val="en-US" w:eastAsia="en-US"/>
        </w:rPr>
        <w:t>-specific markers as CD90, CD73, CD105 and CD29 on the membrane of the majority of MSC</w:t>
      </w:r>
      <w:r w:rsidR="00FA2308" w:rsidRPr="00072D37">
        <w:rPr>
          <w:lang w:val="en-US" w:eastAsia="en-US"/>
        </w:rPr>
        <w:t>s</w:t>
      </w:r>
      <w:r w:rsidR="00923960" w:rsidRPr="00072D37">
        <w:rPr>
          <w:lang w:val="en-US" w:eastAsia="en-US"/>
        </w:rPr>
        <w:t xml:space="preserve"> (91-99%) independently on the in vitro subculturing passage and on the cell cycle staging. On the contrary MSC</w:t>
      </w:r>
      <w:r w:rsidR="00FA2308" w:rsidRPr="00072D37">
        <w:rPr>
          <w:lang w:val="en-US" w:eastAsia="en-US"/>
        </w:rPr>
        <w:t>s</w:t>
      </w:r>
      <w:r w:rsidR="00923960" w:rsidRPr="00072D37">
        <w:rPr>
          <w:lang w:val="en-US" w:eastAsia="en-US"/>
        </w:rPr>
        <w:t xml:space="preserve"> were negative for hematological lineage-specific marker (CD45) and endothelial lineage-specific marker (CD31) and downregulated by in vitro culturing the expression of CD34 progressively starting from P2.  </w:t>
      </w:r>
    </w:p>
    <w:p w14:paraId="5977E22A" w14:textId="22EA4ECC" w:rsidR="00421D27" w:rsidRPr="00072D37" w:rsidRDefault="00421D27" w:rsidP="00421D27">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37" w:name="_Toc143336330"/>
      <w:r w:rsidRPr="00072D37">
        <w:rPr>
          <w:rFonts w:ascii="Arial" w:hAnsi="Arial" w:cs="Arial"/>
        </w:rPr>
        <w:fldChar w:fldCharType="end"/>
      </w:r>
      <w:r w:rsidRPr="00072D37">
        <w:rPr>
          <w:rFonts w:ascii="Arial" w:hAnsi="Arial" w:cs="Arial"/>
        </w:rPr>
        <w:t xml:space="preserve"> Transmembrane pressure during liverless NMP</w:t>
      </w:r>
      <w:bookmarkEnd w:id="37"/>
    </w:p>
    <w:p w14:paraId="5F479DA6" w14:textId="543CA9BB" w:rsidR="00421D27" w:rsidRPr="00072D37" w:rsidRDefault="00421D27" w:rsidP="00DA4897">
      <w:pPr>
        <w:rPr>
          <w:lang w:val="en-US" w:eastAsia="en-US"/>
        </w:rPr>
      </w:pPr>
      <w:r w:rsidRPr="00072D37">
        <w:rPr>
          <w:lang w:val="en-US" w:eastAsia="en-US"/>
        </w:rPr>
        <w:t>Filter pressure drop (ΔP filter) remained low during the perfusion and Transmembrane Pressure (TMP) was stable, suggesting no clotting or clogging issues over 4h (Supplementary Figure 1).</w:t>
      </w:r>
    </w:p>
    <w:p w14:paraId="770B1F2E" w14:textId="0D53AAD2" w:rsidR="002D0B2C" w:rsidRPr="00072D37" w:rsidRDefault="002D0B2C" w:rsidP="002D0B2C">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38" w:name="_Toc143336331"/>
      <w:r w:rsidRPr="00072D37">
        <w:rPr>
          <w:rFonts w:ascii="Arial" w:hAnsi="Arial" w:cs="Arial"/>
        </w:rPr>
        <w:fldChar w:fldCharType="end"/>
      </w:r>
      <w:r w:rsidRPr="00072D37">
        <w:rPr>
          <w:rFonts w:ascii="Arial" w:hAnsi="Arial" w:cs="Arial"/>
        </w:rPr>
        <w:t xml:space="preserve"> Gas analysis during liverless NMP</w:t>
      </w:r>
      <w:bookmarkEnd w:id="38"/>
      <w:r w:rsidRPr="00072D37">
        <w:rPr>
          <w:rFonts w:ascii="Arial" w:hAnsi="Arial" w:cs="Arial"/>
        </w:rPr>
        <w:t xml:space="preserve"> </w:t>
      </w:r>
    </w:p>
    <w:p w14:paraId="431E28AC" w14:textId="0B21B295" w:rsidR="002D0B2C" w:rsidRPr="002D1742" w:rsidRDefault="002D0B2C" w:rsidP="00923960">
      <w:pPr>
        <w:rPr>
          <w:lang w:val="en-US" w:eastAsia="en-US"/>
        </w:rPr>
      </w:pPr>
      <w:r w:rsidRPr="002D1742">
        <w:rPr>
          <w:lang w:val="en-US" w:eastAsia="en-US"/>
        </w:rPr>
        <w:t>Although pH values increased over the liverless procedure, they remained slightly under the physiological range (Supplementary Figure 2). A rise of K+ and Cl- concentration was likewise revealed. Finally, Na+ and Ca++ did not change during the liverless NMP.</w:t>
      </w:r>
    </w:p>
    <w:p w14:paraId="18746F26" w14:textId="62149ED5" w:rsidR="00677F22" w:rsidRPr="00072D37" w:rsidRDefault="00677F22" w:rsidP="002B05FA">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39" w:name="_Toc143336332"/>
      <w:r w:rsidRPr="00072D37">
        <w:rPr>
          <w:rFonts w:ascii="Arial" w:hAnsi="Arial" w:cs="Arial"/>
        </w:rPr>
        <w:fldChar w:fldCharType="end"/>
      </w:r>
      <w:r w:rsidRPr="00072D37">
        <w:rPr>
          <w:rFonts w:ascii="Arial" w:hAnsi="Arial" w:cs="Arial"/>
        </w:rPr>
        <w:t xml:space="preserve"> Hemodynamics parameters during liver NMP</w:t>
      </w:r>
      <w:bookmarkEnd w:id="39"/>
    </w:p>
    <w:p w14:paraId="00A88B36" w14:textId="5CF15974" w:rsidR="0018604E" w:rsidRPr="00072D37" w:rsidRDefault="0018604E" w:rsidP="00DA4897">
      <w:pPr>
        <w:rPr>
          <w:lang w:val="en-US" w:eastAsia="en-US"/>
        </w:rPr>
      </w:pPr>
      <w:r w:rsidRPr="00072D37">
        <w:rPr>
          <w:lang w:val="en-US" w:eastAsia="en-US"/>
        </w:rPr>
        <w:t xml:space="preserve">Hemodynamics monitoring indicated that portal pressures and vascular resistances increased over the NMP procedure (p&lt;0.001), but remained below 8 mmHg without adjustments of flow rate. </w:t>
      </w:r>
    </w:p>
    <w:p w14:paraId="6B2A1A52" w14:textId="252E6A16" w:rsidR="002B05FA" w:rsidRPr="00072D37" w:rsidRDefault="002B05FA" w:rsidP="00DA4897">
      <w:pPr>
        <w:rPr>
          <w:lang w:val="en-US" w:eastAsia="en-US"/>
        </w:rPr>
      </w:pPr>
      <w:r w:rsidRPr="00072D37">
        <w:rPr>
          <w:lang w:val="en-US" w:eastAsia="en-US"/>
        </w:rPr>
        <w:t>No differences in both portal pressures and vascular resistances were detected across experimental groups (p=0.713 and p=0.624, respectively; Supplementary Figure 3).</w:t>
      </w:r>
    </w:p>
    <w:p w14:paraId="6286A618" w14:textId="5F6B0E3A" w:rsidR="001A1EAE" w:rsidRPr="00072D37" w:rsidRDefault="001A1EAE" w:rsidP="00CE6F94">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40" w:name="_Toc143336333"/>
      <w:r w:rsidRPr="00072D37">
        <w:rPr>
          <w:rFonts w:ascii="Arial" w:hAnsi="Arial" w:cs="Arial"/>
        </w:rPr>
        <w:fldChar w:fldCharType="end"/>
      </w:r>
      <w:r w:rsidRPr="00072D37">
        <w:rPr>
          <w:rFonts w:ascii="Arial" w:hAnsi="Arial" w:cs="Arial"/>
        </w:rPr>
        <w:t xml:space="preserve"> Gas analysis of perfusate samples collected during liver NMP</w:t>
      </w:r>
      <w:bookmarkEnd w:id="40"/>
    </w:p>
    <w:p w14:paraId="755195A9" w14:textId="696DCE8F" w:rsidR="00584988" w:rsidRPr="00072D37" w:rsidRDefault="00584988" w:rsidP="00DA4897">
      <w:pPr>
        <w:rPr>
          <w:lang w:val="en-US" w:eastAsia="en-US"/>
        </w:rPr>
      </w:pPr>
      <w:r w:rsidRPr="00072D37">
        <w:rPr>
          <w:lang w:val="en-US" w:eastAsia="en-US"/>
        </w:rPr>
        <w:t xml:space="preserve">A trend towards perfusate pH stabilization was observed </w:t>
      </w:r>
      <w:r w:rsidR="00DA4897" w:rsidRPr="00072D37">
        <w:rPr>
          <w:lang w:val="en-US" w:eastAsia="en-US"/>
        </w:rPr>
        <w:t xml:space="preserve">in the bioreactor-based perfusion </w:t>
      </w:r>
      <w:r w:rsidRPr="00072D37">
        <w:rPr>
          <w:lang w:val="en-US" w:eastAsia="en-US"/>
        </w:rPr>
        <w:t>starting from 2 h post-reperfusion, while a progressive pH decrease was observed in the NMP group (</w:t>
      </w:r>
      <w:proofErr w:type="spellStart"/>
      <w:r w:rsidRPr="00072D37">
        <w:rPr>
          <w:lang w:val="en-US" w:eastAsia="en-US"/>
        </w:rPr>
        <w:t>NMP+bioreactor</w:t>
      </w:r>
      <w:proofErr w:type="spellEnd"/>
      <w:r w:rsidRPr="00072D37">
        <w:rPr>
          <w:lang w:val="en-US" w:eastAsia="en-US"/>
        </w:rPr>
        <w:t xml:space="preserve">: from 6.941±0.02 to 7.048±0.017; NMP: from 6.973±0.021 to 6.992±0.021, p=0.045 at 4 h). </w:t>
      </w:r>
    </w:p>
    <w:p w14:paraId="657CF222" w14:textId="4FC4CB86" w:rsidR="00584988" w:rsidRPr="00072D37" w:rsidRDefault="00EF183A" w:rsidP="00DA4897">
      <w:pPr>
        <w:rPr>
          <w:lang w:val="en-US" w:eastAsia="en-US"/>
        </w:rPr>
      </w:pPr>
      <w:r w:rsidRPr="00072D37">
        <w:rPr>
          <w:lang w:val="en-US" w:eastAsia="en-US"/>
        </w:rPr>
        <w:t>Lactate uptake was calculated with the following formula: (</w:t>
      </w:r>
      <w:proofErr w:type="spellStart"/>
      <w:r w:rsidRPr="00072D37">
        <w:rPr>
          <w:lang w:val="en-US" w:eastAsia="en-US"/>
        </w:rPr>
        <w:t>Cstart</w:t>
      </w:r>
      <w:proofErr w:type="spellEnd"/>
      <w:r w:rsidRPr="00072D37">
        <w:rPr>
          <w:lang w:val="en-US" w:eastAsia="en-US"/>
        </w:rPr>
        <w:t xml:space="preserve"> - </w:t>
      </w:r>
      <w:proofErr w:type="spellStart"/>
      <w:r w:rsidRPr="00072D37">
        <w:rPr>
          <w:lang w:val="en-US" w:eastAsia="en-US"/>
        </w:rPr>
        <w:t>Cend</w:t>
      </w:r>
      <w:proofErr w:type="spellEnd"/>
      <w:r w:rsidRPr="00072D37">
        <w:rPr>
          <w:lang w:val="en-US" w:eastAsia="en-US"/>
        </w:rPr>
        <w:t xml:space="preserve">) / </w:t>
      </w:r>
      <w:proofErr w:type="spellStart"/>
      <w:r w:rsidRPr="00072D37">
        <w:rPr>
          <w:lang w:val="en-US" w:eastAsia="en-US"/>
        </w:rPr>
        <w:t>Cend</w:t>
      </w:r>
      <w:proofErr w:type="spellEnd"/>
      <w:r w:rsidRPr="00072D37">
        <w:rPr>
          <w:lang w:val="en-US" w:eastAsia="en-US"/>
        </w:rPr>
        <w:t xml:space="preserve"> where C stands for concentration. </w:t>
      </w:r>
      <w:r w:rsidR="00584988" w:rsidRPr="00072D37">
        <w:rPr>
          <w:lang w:val="en-US" w:eastAsia="en-US"/>
        </w:rPr>
        <w:t>Total lactate uptake was similar between groups (</w:t>
      </w:r>
      <w:proofErr w:type="spellStart"/>
      <w:r w:rsidR="00584988" w:rsidRPr="00072D37">
        <w:rPr>
          <w:lang w:val="en-US" w:eastAsia="en-US"/>
        </w:rPr>
        <w:t>NMP+bioreactor</w:t>
      </w:r>
      <w:proofErr w:type="spellEnd"/>
      <w:r w:rsidR="00584988" w:rsidRPr="00072D37">
        <w:rPr>
          <w:lang w:val="en-US" w:eastAsia="en-US"/>
        </w:rPr>
        <w:t>: 1.36±0.25 vs 1.2±0.30, p=0.837).</w:t>
      </w:r>
    </w:p>
    <w:p w14:paraId="326D55EE" w14:textId="383CEC73" w:rsidR="001A1EAE" w:rsidRPr="00072D37" w:rsidRDefault="00CE6F94" w:rsidP="00DA4897">
      <w:pPr>
        <w:rPr>
          <w:lang w:val="en-US" w:eastAsia="en-US"/>
        </w:rPr>
      </w:pPr>
      <w:r w:rsidRPr="00072D37">
        <w:rPr>
          <w:lang w:val="en-US" w:eastAsia="en-US"/>
        </w:rPr>
        <w:lastRenderedPageBreak/>
        <w:t xml:space="preserve">The results of </w:t>
      </w:r>
      <w:r w:rsidR="00584988" w:rsidRPr="00072D37">
        <w:rPr>
          <w:lang w:val="en-US" w:eastAsia="en-US"/>
        </w:rPr>
        <w:t xml:space="preserve">electrolyte assessment </w:t>
      </w:r>
      <w:r w:rsidRPr="00072D37">
        <w:rPr>
          <w:lang w:val="en-US" w:eastAsia="en-US"/>
        </w:rPr>
        <w:t>are shown in</w:t>
      </w:r>
      <w:r w:rsidRPr="00072D37">
        <w:rPr>
          <w:lang w:val="en-US"/>
        </w:rPr>
        <w:t xml:space="preserve"> </w:t>
      </w:r>
      <w:r w:rsidRPr="00072D37">
        <w:rPr>
          <w:lang w:val="en-US" w:eastAsia="en-US"/>
        </w:rPr>
        <w:t xml:space="preserve">Supplementary Figure 4. </w:t>
      </w:r>
      <w:r w:rsidR="001A1EAE" w:rsidRPr="00072D37">
        <w:rPr>
          <w:lang w:val="en-US" w:eastAsia="en-US"/>
        </w:rPr>
        <w:t xml:space="preserve">A higher amount of K+ was </w:t>
      </w:r>
      <w:r w:rsidR="00D376A9" w:rsidRPr="00072D37">
        <w:rPr>
          <w:lang w:val="en-US" w:eastAsia="en-US"/>
        </w:rPr>
        <w:t>revealed</w:t>
      </w:r>
      <w:r w:rsidR="001A1EAE" w:rsidRPr="00072D37">
        <w:rPr>
          <w:lang w:val="en-US" w:eastAsia="en-US"/>
        </w:rPr>
        <w:t xml:space="preserve"> in the standard NMP procedure compared to </w:t>
      </w:r>
      <w:proofErr w:type="spellStart"/>
      <w:r w:rsidR="001A1EAE" w:rsidRPr="00072D37">
        <w:rPr>
          <w:lang w:val="en-US" w:eastAsia="en-US"/>
        </w:rPr>
        <w:t>NMP+bioreactor</w:t>
      </w:r>
      <w:proofErr w:type="spellEnd"/>
      <w:r w:rsidR="001A1EAE" w:rsidRPr="00072D37">
        <w:rPr>
          <w:lang w:val="en-US" w:eastAsia="en-US"/>
        </w:rPr>
        <w:t xml:space="preserve"> procedure. On the other hand, </w:t>
      </w:r>
      <w:r w:rsidR="00D376A9" w:rsidRPr="00072D37">
        <w:rPr>
          <w:lang w:val="en-US" w:eastAsia="en-US"/>
        </w:rPr>
        <w:t xml:space="preserve">the concentration of </w:t>
      </w:r>
      <w:r w:rsidR="001A1EAE" w:rsidRPr="00072D37">
        <w:rPr>
          <w:lang w:val="en-US" w:eastAsia="en-US"/>
        </w:rPr>
        <w:t>Ca++ and Cl-</w:t>
      </w:r>
      <w:r w:rsidR="00894436" w:rsidRPr="00072D37">
        <w:rPr>
          <w:lang w:val="en-US" w:eastAsia="en-US"/>
        </w:rPr>
        <w:t xml:space="preserve"> </w:t>
      </w:r>
      <w:r w:rsidR="00D376A9" w:rsidRPr="00072D37">
        <w:rPr>
          <w:lang w:val="en-US" w:eastAsia="en-US"/>
        </w:rPr>
        <w:t>was higher</w:t>
      </w:r>
      <w:r w:rsidR="001A1EAE" w:rsidRPr="00072D37">
        <w:rPr>
          <w:lang w:val="en-US" w:eastAsia="en-US"/>
        </w:rPr>
        <w:t xml:space="preserve"> in the </w:t>
      </w:r>
      <w:proofErr w:type="spellStart"/>
      <w:r w:rsidR="001A1EAE" w:rsidRPr="00072D37">
        <w:rPr>
          <w:lang w:val="en-US" w:eastAsia="en-US"/>
        </w:rPr>
        <w:t>NMP+bioreactor</w:t>
      </w:r>
      <w:proofErr w:type="spellEnd"/>
      <w:r w:rsidR="001A1EAE" w:rsidRPr="00072D37">
        <w:rPr>
          <w:lang w:val="en-US" w:eastAsia="en-US"/>
        </w:rPr>
        <w:t xml:space="preserve"> group, even if the concentration of both electrolytes slightly varies throughout reperfusion. Na+ concentration is not statistically different between groups.</w:t>
      </w:r>
    </w:p>
    <w:p w14:paraId="5871A883" w14:textId="7F7A527C" w:rsidR="00286730" w:rsidRPr="00072D37" w:rsidRDefault="00286730" w:rsidP="00286730">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41" w:name="_Toc143336334"/>
      <w:r w:rsidRPr="00072D37">
        <w:rPr>
          <w:rFonts w:ascii="Arial" w:hAnsi="Arial" w:cs="Arial"/>
        </w:rPr>
        <w:fldChar w:fldCharType="end"/>
      </w:r>
      <w:r w:rsidRPr="00072D37">
        <w:rPr>
          <w:rFonts w:ascii="Arial" w:hAnsi="Arial" w:cs="Arial"/>
        </w:rPr>
        <w:t xml:space="preserve"> Analysis of the bile produced during liver NMP</w:t>
      </w:r>
      <w:bookmarkEnd w:id="41"/>
    </w:p>
    <w:p w14:paraId="14B6513C" w14:textId="32C95FB6" w:rsidR="00286730" w:rsidRPr="00072D37" w:rsidRDefault="00286730" w:rsidP="00DA4897">
      <w:pPr>
        <w:rPr>
          <w:lang w:val="en-US" w:eastAsia="en-US"/>
        </w:rPr>
      </w:pPr>
      <w:r w:rsidRPr="00072D37">
        <w:rPr>
          <w:lang w:val="en-US" w:eastAsia="en-US"/>
        </w:rPr>
        <w:t xml:space="preserve">The following bile parameters were similar between the </w:t>
      </w:r>
      <w:proofErr w:type="spellStart"/>
      <w:r w:rsidRPr="00072D37">
        <w:rPr>
          <w:lang w:val="en-US" w:eastAsia="en-US"/>
        </w:rPr>
        <w:t>NMP+bioreactor</w:t>
      </w:r>
      <w:proofErr w:type="spellEnd"/>
      <w:r w:rsidRPr="00072D37">
        <w:rPr>
          <w:lang w:val="en-US" w:eastAsia="en-US"/>
        </w:rPr>
        <w:t xml:space="preserve"> and the NMP group: </w:t>
      </w:r>
      <w:r w:rsidRPr="00072D37">
        <w:rPr>
          <w:rFonts w:ascii="Cambria Math" w:hAnsi="Cambria Math" w:cs="Cambria Math"/>
          <w:lang w:val="en-US" w:eastAsia="en-US"/>
        </w:rPr>
        <w:t>△</w:t>
      </w:r>
      <w:r w:rsidRPr="00072D37">
        <w:rPr>
          <w:lang w:val="en-US" w:eastAsia="en-US"/>
        </w:rPr>
        <w:t>pH (NMP</w:t>
      </w:r>
      <w:proofErr w:type="gramStart"/>
      <w:r w:rsidRPr="00072D37">
        <w:rPr>
          <w:lang w:val="en-US" w:eastAsia="en-US"/>
        </w:rPr>
        <w:t>+  bioreactor</w:t>
      </w:r>
      <w:proofErr w:type="gramEnd"/>
      <w:r w:rsidRPr="00072D37">
        <w:rPr>
          <w:lang w:val="en-US" w:eastAsia="en-US"/>
        </w:rPr>
        <w:t xml:space="preserve"> vs NMP: 0.028±0.040 vs 0.082±0.020; p=0.340), </w:t>
      </w:r>
      <w:r w:rsidRPr="00072D37">
        <w:rPr>
          <w:rFonts w:ascii="Cambria Math" w:hAnsi="Cambria Math" w:cs="Cambria Math"/>
          <w:lang w:val="en-US" w:eastAsia="en-US"/>
        </w:rPr>
        <w:t>△</w:t>
      </w:r>
      <w:r w:rsidRPr="00072D37">
        <w:rPr>
          <w:lang w:val="en-US" w:eastAsia="en-US"/>
        </w:rPr>
        <w:t xml:space="preserve">HCO3- (3.30±1.71 mmol/L vs 4.0±0.64 mmol/L; p=0.730), and </w:t>
      </w:r>
      <w:r w:rsidRPr="00072D37">
        <w:rPr>
          <w:rFonts w:ascii="Cambria Math" w:hAnsi="Cambria Math" w:cs="Cambria Math"/>
          <w:lang w:val="en-US" w:eastAsia="en-US"/>
        </w:rPr>
        <w:t>△</w:t>
      </w:r>
      <w:r w:rsidRPr="00072D37">
        <w:rPr>
          <w:lang w:val="en-US" w:eastAsia="en-US"/>
        </w:rPr>
        <w:t>glucose (49.8±13.99 mg/dl vs 26.4±20.17 mg/dl; p=0.350).</w:t>
      </w:r>
    </w:p>
    <w:p w14:paraId="05315D57" w14:textId="6DAE7244" w:rsidR="00923960" w:rsidRPr="00072D37" w:rsidRDefault="00923960" w:rsidP="00923960">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42" w:name="_Toc143336335"/>
      <w:r w:rsidRPr="00072D37">
        <w:rPr>
          <w:rFonts w:ascii="Arial" w:hAnsi="Arial" w:cs="Arial"/>
        </w:rPr>
        <w:fldChar w:fldCharType="end"/>
      </w:r>
      <w:r w:rsidRPr="00072D37">
        <w:rPr>
          <w:rFonts w:ascii="Arial" w:hAnsi="Arial" w:cs="Arial"/>
        </w:rPr>
        <w:t xml:space="preserve"> NAD+/NADH </w:t>
      </w:r>
      <w:r w:rsidR="0060794A">
        <w:rPr>
          <w:rFonts w:ascii="Arial" w:hAnsi="Arial" w:cs="Arial"/>
        </w:rPr>
        <w:t>e</w:t>
      </w:r>
      <w:r w:rsidRPr="00072D37">
        <w:rPr>
          <w:rFonts w:ascii="Arial" w:hAnsi="Arial" w:cs="Arial"/>
        </w:rPr>
        <w:t>valuation</w:t>
      </w:r>
      <w:bookmarkEnd w:id="42"/>
    </w:p>
    <w:p w14:paraId="1AB12C5F" w14:textId="3654DCDC" w:rsidR="00923960" w:rsidRPr="00072D37" w:rsidRDefault="00923960" w:rsidP="00DA4897">
      <w:pPr>
        <w:rPr>
          <w:lang w:val="en-US" w:eastAsia="en-US"/>
        </w:rPr>
      </w:pPr>
      <w:r w:rsidRPr="00072D37">
        <w:rPr>
          <w:lang w:val="en-US" w:eastAsia="en-US"/>
        </w:rPr>
        <w:t xml:space="preserve">The </w:t>
      </w:r>
      <w:proofErr w:type="spellStart"/>
      <w:r w:rsidRPr="00072D37">
        <w:rPr>
          <w:lang w:val="en-US" w:eastAsia="en-US"/>
        </w:rPr>
        <w:t>NMP+bioreactor</w:t>
      </w:r>
      <w:proofErr w:type="spellEnd"/>
      <w:r w:rsidRPr="00072D37">
        <w:rPr>
          <w:lang w:val="en-US" w:eastAsia="en-US"/>
        </w:rPr>
        <w:t xml:space="preserve"> group registered a higher amount of both NAD total and NADH content in tissue homogenates with respect to Natives and </w:t>
      </w:r>
      <w:r w:rsidR="00F74CCC" w:rsidRPr="00072D37">
        <w:rPr>
          <w:lang w:val="en-US" w:eastAsia="en-US"/>
        </w:rPr>
        <w:t xml:space="preserve">the </w:t>
      </w:r>
      <w:r w:rsidRPr="00072D37">
        <w:rPr>
          <w:lang w:val="en-US" w:eastAsia="en-US"/>
        </w:rPr>
        <w:t>NMP group</w:t>
      </w:r>
      <w:r w:rsidR="00A755A6" w:rsidRPr="00072D37">
        <w:rPr>
          <w:lang w:val="en-US" w:eastAsia="en-US"/>
        </w:rPr>
        <w:t xml:space="preserve"> (Supplementary Figure 5).</w:t>
      </w:r>
      <w:r w:rsidRPr="00072D37">
        <w:rPr>
          <w:lang w:val="en-US" w:eastAsia="en-US"/>
        </w:rPr>
        <w:t xml:space="preserve"> In general, perfusion procedures lead to a higher concentration of NAD+/NADH (One way ANOVA, </w:t>
      </w:r>
      <w:r w:rsidRPr="00072D37">
        <w:rPr>
          <w:lang w:val="en-US"/>
        </w:rPr>
        <w:t>Tukey’s post hoc test. p value vs the Native group</w:t>
      </w:r>
      <w:r w:rsidR="001D3DB7" w:rsidRPr="00072D37">
        <w:rPr>
          <w:lang w:val="en-US" w:eastAsia="en-US"/>
        </w:rPr>
        <w:t>:</w:t>
      </w:r>
      <w:r w:rsidRPr="00072D37">
        <w:rPr>
          <w:lang w:val="en-US" w:eastAsia="en-US"/>
        </w:rPr>
        <w:t xml:space="preserve"> ***&lt;0.001; </w:t>
      </w:r>
      <w:r w:rsidRPr="00072D37">
        <w:rPr>
          <w:lang w:val="en-US"/>
        </w:rPr>
        <w:t xml:space="preserve">p value vs the NMP group: #&lt;0.05; </w:t>
      </w:r>
      <w:r w:rsidRPr="00072D37">
        <w:rPr>
          <w:lang w:val="en-US" w:eastAsia="en-US"/>
        </w:rPr>
        <w:t xml:space="preserve">###&lt;0.001). </w:t>
      </w:r>
    </w:p>
    <w:p w14:paraId="19FFE64C" w14:textId="642C6CE8" w:rsidR="00923960" w:rsidRPr="00072D37" w:rsidRDefault="00923960" w:rsidP="00DA4897">
      <w:pPr>
        <w:rPr>
          <w:color w:val="000000" w:themeColor="text1"/>
          <w:lang w:val="en-US"/>
        </w:rPr>
      </w:pPr>
      <w:r w:rsidRPr="00072D37">
        <w:rPr>
          <w:lang w:val="en-US"/>
        </w:rPr>
        <w:t xml:space="preserve">The NADH content released in perfusate by livers subjected </w:t>
      </w:r>
      <w:r w:rsidRPr="00072D37">
        <w:rPr>
          <w:color w:val="000000" w:themeColor="text1"/>
          <w:lang w:val="en-US"/>
        </w:rPr>
        <w:t>to the bioreactor-based perfusion was higher compared to that of the NMP group and remained stable throughout reperfusion (</w:t>
      </w:r>
      <w:r w:rsidRPr="00072D37">
        <w:rPr>
          <w:lang w:val="en-US"/>
        </w:rPr>
        <w:t>Two-way RM ANOVA, Tukey’s post hoc test. p value vs the NMP group: ***&lt;0.001)</w:t>
      </w:r>
      <w:r w:rsidRPr="00072D37">
        <w:rPr>
          <w:color w:val="000000" w:themeColor="text1"/>
          <w:lang w:val="en-US"/>
        </w:rPr>
        <w:t>.</w:t>
      </w:r>
    </w:p>
    <w:p w14:paraId="18C12BA3" w14:textId="2AC0CFA8" w:rsidR="00FD0112" w:rsidRPr="00072D37" w:rsidRDefault="00FD0112" w:rsidP="00FD0112">
      <w:pPr>
        <w:pStyle w:val="Heading2"/>
        <w:rPr>
          <w:rFonts w:ascii="Arial" w:hAnsi="Arial" w:cs="Arial"/>
        </w:rPr>
      </w:pPr>
      <w:r w:rsidRPr="00072D37">
        <w:rPr>
          <w:rFonts w:ascii="Arial" w:hAnsi="Arial" w:cs="Arial"/>
        </w:rPr>
        <w:fldChar w:fldCharType="begin"/>
      </w:r>
      <w:r w:rsidRPr="00072D37">
        <w:rPr>
          <w:rFonts w:ascii="Arial" w:hAnsi="Arial" w:cs="Arial"/>
        </w:rPr>
        <w:instrText xml:space="preserve"> AUTONUMLGL </w:instrText>
      </w:r>
      <w:bookmarkStart w:id="43" w:name="_Toc143336336"/>
      <w:r w:rsidRPr="00072D37">
        <w:rPr>
          <w:rFonts w:ascii="Arial" w:hAnsi="Arial" w:cs="Arial"/>
        </w:rPr>
        <w:fldChar w:fldCharType="end"/>
      </w:r>
      <w:r w:rsidRPr="00072D37">
        <w:rPr>
          <w:rFonts w:ascii="Arial" w:hAnsi="Arial" w:cs="Arial"/>
        </w:rPr>
        <w:t xml:space="preserve"> Characterization of the MSC</w:t>
      </w:r>
      <w:r w:rsidR="00001A81" w:rsidRPr="00072D37">
        <w:rPr>
          <w:rFonts w:ascii="Arial" w:hAnsi="Arial" w:cs="Arial"/>
        </w:rPr>
        <w:t>s</w:t>
      </w:r>
      <w:r w:rsidRPr="00072D37">
        <w:rPr>
          <w:rFonts w:ascii="Arial" w:hAnsi="Arial" w:cs="Arial"/>
        </w:rPr>
        <w:t xml:space="preserve"> harvested from the bioreactor</w:t>
      </w:r>
      <w:r w:rsidR="00CB4524" w:rsidRPr="00072D37">
        <w:rPr>
          <w:rFonts w:ascii="Arial" w:hAnsi="Arial" w:cs="Arial"/>
        </w:rPr>
        <w:t>s</w:t>
      </w:r>
      <w:r w:rsidRPr="00072D37">
        <w:rPr>
          <w:rFonts w:ascii="Arial" w:hAnsi="Arial" w:cs="Arial"/>
        </w:rPr>
        <w:t xml:space="preserve"> after liver NMP</w:t>
      </w:r>
      <w:bookmarkEnd w:id="43"/>
    </w:p>
    <w:p w14:paraId="1D5081BC" w14:textId="417AB56F" w:rsidR="001A1EAE" w:rsidRPr="00072D37" w:rsidRDefault="00FD0112" w:rsidP="00DA4897">
      <w:pPr>
        <w:rPr>
          <w:lang w:val="en-US"/>
        </w:rPr>
        <w:sectPr w:rsidR="001A1EAE" w:rsidRPr="00072D37" w:rsidSect="000764D6">
          <w:pgSz w:w="11900" w:h="16840"/>
          <w:pgMar w:top="1417" w:right="1134" w:bottom="1134" w:left="1134" w:header="708" w:footer="708" w:gutter="0"/>
          <w:cols w:space="708"/>
          <w:docGrid w:linePitch="360"/>
        </w:sectPr>
      </w:pPr>
      <w:r w:rsidRPr="00072D37">
        <w:rPr>
          <w:lang w:val="en-US"/>
        </w:rPr>
        <w:t>MSC</w:t>
      </w:r>
      <w:r w:rsidR="00001A81" w:rsidRPr="00072D37">
        <w:rPr>
          <w:lang w:val="en-US"/>
        </w:rPr>
        <w:t>s</w:t>
      </w:r>
      <w:r w:rsidRPr="00072D37">
        <w:rPr>
          <w:lang w:val="en-US"/>
        </w:rPr>
        <w:t xml:space="preserve"> recovered from the cell bioreactor at the end of the perfusion experiments displayed similar vitality and morphology compared with the original cells. The immunophenotype of MSC</w:t>
      </w:r>
      <w:r w:rsidR="00001A81" w:rsidRPr="00072D37">
        <w:rPr>
          <w:lang w:val="en-US"/>
        </w:rPr>
        <w:t>s</w:t>
      </w:r>
      <w:r w:rsidRPr="00072D37">
        <w:rPr>
          <w:lang w:val="en-US"/>
        </w:rPr>
        <w:t xml:space="preserve"> described by flow cytometry completely overlapped before and after NMP experiments and no differences were detected in the presence or in the absence of the liver organ in the perfusion syste</w:t>
      </w:r>
      <w:r w:rsidR="001E0437" w:rsidRPr="00072D37">
        <w:rPr>
          <w:lang w:val="en-US"/>
        </w:rPr>
        <w:t>m</w:t>
      </w:r>
    </w:p>
    <w:p w14:paraId="3A029E4D" w14:textId="77777777" w:rsidR="001E0437" w:rsidRPr="00072D37" w:rsidRDefault="001E0437" w:rsidP="001E0437">
      <w:pPr>
        <w:pStyle w:val="Heading1"/>
        <w:rPr>
          <w:rFonts w:ascii="Arial" w:hAnsi="Arial" w:cs="Arial"/>
        </w:rPr>
      </w:pPr>
      <w:r w:rsidRPr="00072D37">
        <w:rPr>
          <w:rFonts w:ascii="Arial" w:hAnsi="Arial" w:cs="Arial"/>
        </w:rPr>
        <w:lastRenderedPageBreak/>
        <w:fldChar w:fldCharType="begin"/>
      </w:r>
      <w:r w:rsidRPr="00072D37">
        <w:rPr>
          <w:rFonts w:ascii="Arial" w:hAnsi="Arial" w:cs="Arial"/>
        </w:rPr>
        <w:instrText xml:space="preserve"> AUTONUMLGL </w:instrText>
      </w:r>
      <w:bookmarkStart w:id="44" w:name="_Toc143336337"/>
      <w:r w:rsidRPr="00072D37">
        <w:rPr>
          <w:rFonts w:ascii="Arial" w:hAnsi="Arial" w:cs="Arial"/>
        </w:rPr>
        <w:fldChar w:fldCharType="end"/>
      </w:r>
      <w:r w:rsidRPr="00072D37">
        <w:rPr>
          <w:rFonts w:ascii="Arial" w:hAnsi="Arial" w:cs="Arial"/>
        </w:rPr>
        <w:t xml:space="preserve"> Supplementary Tables</w:t>
      </w:r>
      <w:bookmarkEnd w:id="44"/>
    </w:p>
    <w:p w14:paraId="52B0A649" w14:textId="77777777" w:rsidR="00B96A3B" w:rsidRDefault="001E0437" w:rsidP="001E0437">
      <w:pPr>
        <w:pStyle w:val="Heading2"/>
        <w:rPr>
          <w:rFonts w:ascii="Arial" w:hAnsi="Arial" w:cs="Arial"/>
        </w:rPr>
      </w:pPr>
      <w:r w:rsidRPr="00072D37">
        <w:rPr>
          <w:rFonts w:ascii="Arial" w:hAnsi="Arial" w:cs="Arial"/>
        </w:rPr>
        <w:t xml:space="preserve"> </w:t>
      </w:r>
    </w:p>
    <w:p w14:paraId="117FC6BE" w14:textId="5E147A9C" w:rsidR="001E0437" w:rsidRPr="00072D37" w:rsidRDefault="001E0437" w:rsidP="001E0437">
      <w:pPr>
        <w:pStyle w:val="Heading2"/>
        <w:rPr>
          <w:rFonts w:ascii="Arial" w:hAnsi="Arial" w:cs="Arial"/>
        </w:rPr>
      </w:pPr>
      <w:bookmarkStart w:id="45" w:name="_Toc143336338"/>
      <w:r w:rsidRPr="00072D37">
        <w:rPr>
          <w:rFonts w:ascii="Arial" w:hAnsi="Arial" w:cs="Arial"/>
        </w:rPr>
        <w:t>Supplementary Table 1. Gas analysis of bioreactor supernatants</w:t>
      </w:r>
      <w:bookmarkEnd w:id="45"/>
      <w:r w:rsidRPr="00072D37">
        <w:rPr>
          <w:rFonts w:ascii="Arial" w:hAnsi="Arial" w:cs="Arial"/>
        </w:rPr>
        <w:t xml:space="preserve"> </w:t>
      </w:r>
    </w:p>
    <w:p w14:paraId="6DF82789" w14:textId="2C1E6393" w:rsidR="001E0437" w:rsidRPr="00072D37" w:rsidRDefault="001E0437" w:rsidP="00DA4897">
      <w:pPr>
        <w:rPr>
          <w:lang w:val="en-US"/>
        </w:rPr>
      </w:pPr>
      <w:r w:rsidRPr="00072D37">
        <w:rPr>
          <w:lang w:val="en-US"/>
        </w:rPr>
        <w:t xml:space="preserve">Samples were collected immediately after bioreactor delivery at the Center for Preclinical Research, Fondazione IRCCS Ca' </w:t>
      </w:r>
      <w:proofErr w:type="spellStart"/>
      <w:r w:rsidRPr="00072D37">
        <w:rPr>
          <w:lang w:val="en-US"/>
        </w:rPr>
        <w:t>Granda</w:t>
      </w:r>
      <w:proofErr w:type="spellEnd"/>
      <w:r w:rsidRPr="00072D37">
        <w:rPr>
          <w:lang w:val="en-US"/>
        </w:rPr>
        <w:t xml:space="preserve"> </w:t>
      </w:r>
      <w:proofErr w:type="spellStart"/>
      <w:r w:rsidRPr="00072D37">
        <w:rPr>
          <w:lang w:val="en-US"/>
        </w:rPr>
        <w:t>Ospedale</w:t>
      </w:r>
      <w:proofErr w:type="spellEnd"/>
      <w:r w:rsidRPr="00072D37">
        <w:rPr>
          <w:lang w:val="en-US"/>
        </w:rPr>
        <w:t xml:space="preserve"> Maggiore </w:t>
      </w:r>
      <w:proofErr w:type="spellStart"/>
      <w:r w:rsidRPr="00072D37">
        <w:rPr>
          <w:lang w:val="en-US"/>
        </w:rPr>
        <w:t>Policlinico</w:t>
      </w:r>
      <w:proofErr w:type="spellEnd"/>
      <w:r w:rsidR="0058220D" w:rsidRPr="00072D37">
        <w:rPr>
          <w:lang w:val="en-US"/>
        </w:rPr>
        <w:t>, Milan, Italy</w:t>
      </w:r>
      <w:r w:rsidRPr="00072D37">
        <w:rPr>
          <w:lang w:val="en-US"/>
        </w:rPr>
        <w:t>.</w:t>
      </w:r>
    </w:p>
    <w:p w14:paraId="64119BAB" w14:textId="77777777" w:rsidR="001E0437" w:rsidRPr="00072D37" w:rsidRDefault="001E0437" w:rsidP="001E0437">
      <w:pPr>
        <w:rPr>
          <w:rFonts w:ascii="Arial" w:hAnsi="Arial" w:cs="Arial"/>
          <w:lang w:val="en-US"/>
        </w:rPr>
      </w:pPr>
    </w:p>
    <w:tbl>
      <w:tblPr>
        <w:tblW w:w="0" w:type="auto"/>
        <w:jc w:val="center"/>
        <w:tblLook w:val="04A0" w:firstRow="1" w:lastRow="0" w:firstColumn="1" w:lastColumn="0" w:noHBand="0" w:noVBand="1"/>
      </w:tblPr>
      <w:tblGrid>
        <w:gridCol w:w="1923"/>
        <w:gridCol w:w="2103"/>
        <w:gridCol w:w="3433"/>
      </w:tblGrid>
      <w:tr w:rsidR="001E0437" w:rsidRPr="0060794A" w14:paraId="1803F73A" w14:textId="77777777" w:rsidTr="001E0437">
        <w:trPr>
          <w:trHeight w:val="960"/>
          <w:jc w:val="center"/>
        </w:trPr>
        <w:tc>
          <w:tcPr>
            <w:tcW w:w="0" w:type="auto"/>
            <w:tcBorders>
              <w:top w:val="single" w:sz="4" w:space="0" w:color="auto"/>
              <w:left w:val="nil"/>
              <w:bottom w:val="single" w:sz="4" w:space="0" w:color="auto"/>
              <w:right w:val="nil"/>
            </w:tcBorders>
            <w:shd w:val="clear" w:color="auto" w:fill="auto"/>
            <w:noWrap/>
            <w:vAlign w:val="bottom"/>
            <w:hideMark/>
          </w:tcPr>
          <w:p w14:paraId="128DD45A" w14:textId="77777777" w:rsidR="001E0437" w:rsidRPr="0060794A" w:rsidRDefault="001E0437" w:rsidP="001E0437">
            <w:pPr>
              <w:spacing w:after="0" w:line="240" w:lineRule="auto"/>
              <w:jc w:val="left"/>
              <w:rPr>
                <w:b/>
                <w:color w:val="000000"/>
                <w:lang w:eastAsia="en-US"/>
              </w:rPr>
            </w:pPr>
            <w:proofErr w:type="spellStart"/>
            <w:r w:rsidRPr="0060794A">
              <w:rPr>
                <w:b/>
                <w:color w:val="000000"/>
                <w:lang w:eastAsia="en-US"/>
              </w:rPr>
              <w:t>Parameter</w:t>
            </w:r>
            <w:proofErr w:type="spellEnd"/>
          </w:p>
        </w:tc>
        <w:tc>
          <w:tcPr>
            <w:tcW w:w="0" w:type="auto"/>
            <w:tcBorders>
              <w:top w:val="single" w:sz="4" w:space="0" w:color="auto"/>
              <w:left w:val="nil"/>
              <w:bottom w:val="single" w:sz="4" w:space="0" w:color="auto"/>
              <w:right w:val="nil"/>
            </w:tcBorders>
            <w:shd w:val="clear" w:color="auto" w:fill="auto"/>
            <w:vAlign w:val="bottom"/>
            <w:hideMark/>
          </w:tcPr>
          <w:p w14:paraId="66184361" w14:textId="77777777" w:rsidR="001E0437" w:rsidRPr="0060794A" w:rsidRDefault="001E0437" w:rsidP="001E0437">
            <w:pPr>
              <w:spacing w:after="0" w:line="240" w:lineRule="auto"/>
              <w:jc w:val="center"/>
              <w:rPr>
                <w:b/>
                <w:color w:val="000000"/>
                <w:lang w:eastAsia="en-US"/>
              </w:rPr>
            </w:pPr>
            <w:r w:rsidRPr="0060794A">
              <w:rPr>
                <w:b/>
                <w:color w:val="000000"/>
                <w:lang w:eastAsia="en-US"/>
              </w:rPr>
              <w:t>Complete medium</w:t>
            </w:r>
          </w:p>
        </w:tc>
        <w:tc>
          <w:tcPr>
            <w:tcW w:w="0" w:type="auto"/>
            <w:tcBorders>
              <w:top w:val="single" w:sz="4" w:space="0" w:color="auto"/>
              <w:left w:val="nil"/>
              <w:bottom w:val="single" w:sz="4" w:space="0" w:color="auto"/>
              <w:right w:val="nil"/>
            </w:tcBorders>
            <w:shd w:val="clear" w:color="auto" w:fill="auto"/>
            <w:vAlign w:val="bottom"/>
            <w:hideMark/>
          </w:tcPr>
          <w:p w14:paraId="4BDDD367" w14:textId="77777777" w:rsidR="001E0437" w:rsidRPr="0060794A" w:rsidRDefault="001E0437" w:rsidP="001E0437">
            <w:pPr>
              <w:spacing w:after="0" w:line="240" w:lineRule="auto"/>
              <w:jc w:val="center"/>
              <w:rPr>
                <w:b/>
                <w:color w:val="000000"/>
                <w:lang w:eastAsia="en-US"/>
              </w:rPr>
            </w:pPr>
            <w:proofErr w:type="spellStart"/>
            <w:r w:rsidRPr="0060794A">
              <w:rPr>
                <w:b/>
                <w:color w:val="000000"/>
                <w:lang w:eastAsia="en-US"/>
              </w:rPr>
              <w:t>Bioreactor</w:t>
            </w:r>
            <w:proofErr w:type="spellEnd"/>
            <w:r w:rsidRPr="0060794A">
              <w:rPr>
                <w:b/>
                <w:color w:val="000000"/>
                <w:lang w:eastAsia="en-US"/>
              </w:rPr>
              <w:t xml:space="preserve"> </w:t>
            </w:r>
            <w:proofErr w:type="spellStart"/>
            <w:r w:rsidRPr="0060794A">
              <w:rPr>
                <w:b/>
                <w:color w:val="000000"/>
                <w:lang w:eastAsia="en-US"/>
              </w:rPr>
              <w:t>supernatants</w:t>
            </w:r>
            <w:proofErr w:type="spellEnd"/>
            <w:r w:rsidRPr="0060794A">
              <w:rPr>
                <w:b/>
                <w:color w:val="000000"/>
                <w:lang w:eastAsia="en-US"/>
              </w:rPr>
              <w:t xml:space="preserve"> (n=10)</w:t>
            </w:r>
          </w:p>
        </w:tc>
      </w:tr>
      <w:tr w:rsidR="001E0437" w:rsidRPr="0060794A" w14:paraId="12E9FFA4" w14:textId="77777777" w:rsidTr="001E0437">
        <w:trPr>
          <w:trHeight w:val="320"/>
          <w:jc w:val="center"/>
        </w:trPr>
        <w:tc>
          <w:tcPr>
            <w:tcW w:w="0" w:type="auto"/>
            <w:tcBorders>
              <w:top w:val="nil"/>
              <w:left w:val="nil"/>
              <w:bottom w:val="nil"/>
              <w:right w:val="nil"/>
            </w:tcBorders>
            <w:shd w:val="clear" w:color="auto" w:fill="auto"/>
            <w:noWrap/>
            <w:vAlign w:val="bottom"/>
            <w:hideMark/>
          </w:tcPr>
          <w:p w14:paraId="6B30399E" w14:textId="77777777" w:rsidR="001E0437" w:rsidRPr="0060794A" w:rsidRDefault="001E0437" w:rsidP="001E0437">
            <w:pPr>
              <w:spacing w:after="0" w:line="240" w:lineRule="auto"/>
              <w:jc w:val="left"/>
              <w:rPr>
                <w:b/>
                <w:color w:val="000000"/>
                <w:lang w:eastAsia="en-US"/>
              </w:rPr>
            </w:pPr>
            <w:r w:rsidRPr="0060794A">
              <w:rPr>
                <w:b/>
                <w:color w:val="000000"/>
                <w:lang w:eastAsia="en-US"/>
              </w:rPr>
              <w:t>pH</w:t>
            </w:r>
          </w:p>
        </w:tc>
        <w:tc>
          <w:tcPr>
            <w:tcW w:w="0" w:type="auto"/>
            <w:tcBorders>
              <w:top w:val="nil"/>
              <w:left w:val="nil"/>
              <w:bottom w:val="nil"/>
              <w:right w:val="nil"/>
            </w:tcBorders>
            <w:shd w:val="clear" w:color="auto" w:fill="auto"/>
            <w:noWrap/>
            <w:vAlign w:val="bottom"/>
            <w:hideMark/>
          </w:tcPr>
          <w:p w14:paraId="341F6287"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7,49</w:t>
            </w:r>
          </w:p>
        </w:tc>
        <w:tc>
          <w:tcPr>
            <w:tcW w:w="0" w:type="auto"/>
            <w:tcBorders>
              <w:top w:val="nil"/>
              <w:left w:val="nil"/>
              <w:bottom w:val="nil"/>
              <w:right w:val="nil"/>
            </w:tcBorders>
            <w:shd w:val="clear" w:color="auto" w:fill="auto"/>
            <w:noWrap/>
            <w:vAlign w:val="bottom"/>
            <w:hideMark/>
          </w:tcPr>
          <w:p w14:paraId="33139FE6"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7.03±0.09</w:t>
            </w:r>
          </w:p>
        </w:tc>
      </w:tr>
      <w:tr w:rsidR="001E0437" w:rsidRPr="0060794A" w14:paraId="4ABA8EF1" w14:textId="77777777" w:rsidTr="001E0437">
        <w:trPr>
          <w:trHeight w:val="320"/>
          <w:jc w:val="center"/>
        </w:trPr>
        <w:tc>
          <w:tcPr>
            <w:tcW w:w="0" w:type="auto"/>
            <w:tcBorders>
              <w:top w:val="nil"/>
              <w:left w:val="nil"/>
              <w:bottom w:val="nil"/>
              <w:right w:val="nil"/>
            </w:tcBorders>
            <w:shd w:val="clear" w:color="auto" w:fill="auto"/>
            <w:noWrap/>
            <w:vAlign w:val="bottom"/>
            <w:hideMark/>
          </w:tcPr>
          <w:p w14:paraId="3600FC30" w14:textId="77777777" w:rsidR="001E0437" w:rsidRPr="0060794A" w:rsidRDefault="001E0437" w:rsidP="001E0437">
            <w:pPr>
              <w:spacing w:after="0" w:line="240" w:lineRule="auto"/>
              <w:jc w:val="left"/>
              <w:rPr>
                <w:b/>
                <w:color w:val="000000"/>
                <w:lang w:eastAsia="en-US"/>
              </w:rPr>
            </w:pPr>
            <w:r w:rsidRPr="0060794A">
              <w:rPr>
                <w:b/>
                <w:color w:val="000000"/>
                <w:lang w:eastAsia="en-US"/>
              </w:rPr>
              <w:t xml:space="preserve">K+, </w:t>
            </w:r>
            <w:proofErr w:type="spellStart"/>
            <w:r w:rsidRPr="0060794A">
              <w:rPr>
                <w:b/>
                <w:color w:val="000000"/>
                <w:lang w:eastAsia="en-US"/>
              </w:rPr>
              <w:t>mmol</w:t>
            </w:r>
            <w:proofErr w:type="spellEnd"/>
            <w:r w:rsidRPr="0060794A">
              <w:rPr>
                <w:b/>
                <w:color w:val="000000"/>
                <w:lang w:eastAsia="en-US"/>
              </w:rPr>
              <w:t>/L</w:t>
            </w:r>
          </w:p>
        </w:tc>
        <w:tc>
          <w:tcPr>
            <w:tcW w:w="0" w:type="auto"/>
            <w:tcBorders>
              <w:top w:val="nil"/>
              <w:left w:val="nil"/>
              <w:bottom w:val="nil"/>
              <w:right w:val="nil"/>
            </w:tcBorders>
            <w:shd w:val="clear" w:color="auto" w:fill="auto"/>
            <w:noWrap/>
            <w:vAlign w:val="bottom"/>
            <w:hideMark/>
          </w:tcPr>
          <w:p w14:paraId="5ED78D76"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4,8</w:t>
            </w:r>
          </w:p>
        </w:tc>
        <w:tc>
          <w:tcPr>
            <w:tcW w:w="0" w:type="auto"/>
            <w:tcBorders>
              <w:top w:val="nil"/>
              <w:left w:val="nil"/>
              <w:bottom w:val="nil"/>
              <w:right w:val="nil"/>
            </w:tcBorders>
            <w:shd w:val="clear" w:color="auto" w:fill="auto"/>
            <w:noWrap/>
            <w:vAlign w:val="bottom"/>
            <w:hideMark/>
          </w:tcPr>
          <w:p w14:paraId="0E5AC169"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4.05±0.3</w:t>
            </w:r>
          </w:p>
        </w:tc>
      </w:tr>
      <w:tr w:rsidR="001E0437" w:rsidRPr="0060794A" w14:paraId="4A0F29F2" w14:textId="77777777" w:rsidTr="001E0437">
        <w:trPr>
          <w:trHeight w:val="320"/>
          <w:jc w:val="center"/>
        </w:trPr>
        <w:tc>
          <w:tcPr>
            <w:tcW w:w="0" w:type="auto"/>
            <w:tcBorders>
              <w:top w:val="nil"/>
              <w:left w:val="nil"/>
              <w:bottom w:val="nil"/>
              <w:right w:val="nil"/>
            </w:tcBorders>
            <w:shd w:val="clear" w:color="auto" w:fill="auto"/>
            <w:noWrap/>
            <w:vAlign w:val="bottom"/>
            <w:hideMark/>
          </w:tcPr>
          <w:p w14:paraId="720A9D6C" w14:textId="77777777" w:rsidR="001E0437" w:rsidRPr="0060794A" w:rsidRDefault="001E0437" w:rsidP="001E0437">
            <w:pPr>
              <w:spacing w:after="0" w:line="240" w:lineRule="auto"/>
              <w:jc w:val="left"/>
              <w:rPr>
                <w:b/>
                <w:color w:val="000000"/>
                <w:lang w:eastAsia="en-US"/>
              </w:rPr>
            </w:pPr>
            <w:r w:rsidRPr="0060794A">
              <w:rPr>
                <w:b/>
                <w:color w:val="000000"/>
                <w:lang w:eastAsia="en-US"/>
              </w:rPr>
              <w:t xml:space="preserve">Na+, </w:t>
            </w:r>
            <w:proofErr w:type="spellStart"/>
            <w:r w:rsidRPr="0060794A">
              <w:rPr>
                <w:b/>
                <w:color w:val="000000"/>
                <w:lang w:eastAsia="en-US"/>
              </w:rPr>
              <w:t>mmol</w:t>
            </w:r>
            <w:proofErr w:type="spellEnd"/>
            <w:r w:rsidRPr="0060794A">
              <w:rPr>
                <w:b/>
                <w:color w:val="000000"/>
                <w:lang w:eastAsia="en-US"/>
              </w:rPr>
              <w:t>/L</w:t>
            </w:r>
          </w:p>
        </w:tc>
        <w:tc>
          <w:tcPr>
            <w:tcW w:w="0" w:type="auto"/>
            <w:tcBorders>
              <w:top w:val="nil"/>
              <w:left w:val="nil"/>
              <w:bottom w:val="nil"/>
              <w:right w:val="nil"/>
            </w:tcBorders>
            <w:shd w:val="clear" w:color="auto" w:fill="auto"/>
            <w:noWrap/>
            <w:vAlign w:val="bottom"/>
            <w:hideMark/>
          </w:tcPr>
          <w:p w14:paraId="1C462B54"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135</w:t>
            </w:r>
          </w:p>
        </w:tc>
        <w:tc>
          <w:tcPr>
            <w:tcW w:w="0" w:type="auto"/>
            <w:tcBorders>
              <w:top w:val="nil"/>
              <w:left w:val="nil"/>
              <w:bottom w:val="nil"/>
              <w:right w:val="nil"/>
            </w:tcBorders>
            <w:shd w:val="clear" w:color="auto" w:fill="auto"/>
            <w:noWrap/>
            <w:vAlign w:val="bottom"/>
            <w:hideMark/>
          </w:tcPr>
          <w:p w14:paraId="4AF8E8FE"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137.54±10.51</w:t>
            </w:r>
          </w:p>
        </w:tc>
      </w:tr>
      <w:tr w:rsidR="001E0437" w:rsidRPr="0060794A" w14:paraId="6B8A3027" w14:textId="77777777" w:rsidTr="001E0437">
        <w:trPr>
          <w:trHeight w:val="320"/>
          <w:jc w:val="center"/>
        </w:trPr>
        <w:tc>
          <w:tcPr>
            <w:tcW w:w="0" w:type="auto"/>
            <w:tcBorders>
              <w:top w:val="nil"/>
              <w:left w:val="nil"/>
              <w:bottom w:val="nil"/>
              <w:right w:val="nil"/>
            </w:tcBorders>
            <w:shd w:val="clear" w:color="auto" w:fill="auto"/>
            <w:noWrap/>
            <w:vAlign w:val="bottom"/>
            <w:hideMark/>
          </w:tcPr>
          <w:p w14:paraId="42C9024E" w14:textId="77777777" w:rsidR="001E0437" w:rsidRPr="0060794A" w:rsidRDefault="001E0437" w:rsidP="001E0437">
            <w:pPr>
              <w:spacing w:after="0" w:line="240" w:lineRule="auto"/>
              <w:jc w:val="left"/>
              <w:rPr>
                <w:b/>
                <w:color w:val="000000"/>
                <w:lang w:eastAsia="en-US"/>
              </w:rPr>
            </w:pPr>
            <w:r w:rsidRPr="0060794A">
              <w:rPr>
                <w:b/>
                <w:color w:val="000000"/>
                <w:lang w:eastAsia="en-US"/>
              </w:rPr>
              <w:t xml:space="preserve">Ca++, </w:t>
            </w:r>
            <w:proofErr w:type="spellStart"/>
            <w:r w:rsidRPr="0060794A">
              <w:rPr>
                <w:b/>
                <w:color w:val="000000"/>
                <w:lang w:eastAsia="en-US"/>
              </w:rPr>
              <w:t>mmol</w:t>
            </w:r>
            <w:proofErr w:type="spellEnd"/>
            <w:r w:rsidRPr="0060794A">
              <w:rPr>
                <w:b/>
                <w:color w:val="000000"/>
                <w:lang w:eastAsia="en-US"/>
              </w:rPr>
              <w:t>/L</w:t>
            </w:r>
          </w:p>
        </w:tc>
        <w:tc>
          <w:tcPr>
            <w:tcW w:w="0" w:type="auto"/>
            <w:tcBorders>
              <w:top w:val="nil"/>
              <w:left w:val="nil"/>
              <w:bottom w:val="nil"/>
              <w:right w:val="nil"/>
            </w:tcBorders>
            <w:shd w:val="clear" w:color="auto" w:fill="auto"/>
            <w:noWrap/>
            <w:vAlign w:val="bottom"/>
            <w:hideMark/>
          </w:tcPr>
          <w:p w14:paraId="346A3890"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0,99</w:t>
            </w:r>
          </w:p>
        </w:tc>
        <w:tc>
          <w:tcPr>
            <w:tcW w:w="0" w:type="auto"/>
            <w:tcBorders>
              <w:top w:val="nil"/>
              <w:left w:val="nil"/>
              <w:bottom w:val="nil"/>
              <w:right w:val="nil"/>
            </w:tcBorders>
            <w:shd w:val="clear" w:color="auto" w:fill="auto"/>
            <w:noWrap/>
            <w:vAlign w:val="bottom"/>
            <w:hideMark/>
          </w:tcPr>
          <w:p w14:paraId="6A08B810"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0.93±0.01</w:t>
            </w:r>
          </w:p>
        </w:tc>
      </w:tr>
      <w:tr w:rsidR="001E0437" w:rsidRPr="0060794A" w14:paraId="51AF5297" w14:textId="77777777" w:rsidTr="001E0437">
        <w:trPr>
          <w:trHeight w:val="320"/>
          <w:jc w:val="center"/>
        </w:trPr>
        <w:tc>
          <w:tcPr>
            <w:tcW w:w="0" w:type="auto"/>
            <w:tcBorders>
              <w:top w:val="nil"/>
              <w:left w:val="nil"/>
              <w:bottom w:val="nil"/>
              <w:right w:val="nil"/>
            </w:tcBorders>
            <w:shd w:val="clear" w:color="auto" w:fill="auto"/>
            <w:noWrap/>
            <w:vAlign w:val="bottom"/>
            <w:hideMark/>
          </w:tcPr>
          <w:p w14:paraId="2F66290D" w14:textId="77777777" w:rsidR="001E0437" w:rsidRPr="0060794A" w:rsidRDefault="001E0437" w:rsidP="001E0437">
            <w:pPr>
              <w:spacing w:after="0" w:line="240" w:lineRule="auto"/>
              <w:jc w:val="left"/>
              <w:rPr>
                <w:b/>
                <w:color w:val="000000"/>
                <w:lang w:eastAsia="en-US"/>
              </w:rPr>
            </w:pPr>
            <w:r w:rsidRPr="0060794A">
              <w:rPr>
                <w:b/>
                <w:color w:val="000000"/>
                <w:lang w:eastAsia="en-US"/>
              </w:rPr>
              <w:t xml:space="preserve">Cl-, </w:t>
            </w:r>
            <w:proofErr w:type="spellStart"/>
            <w:r w:rsidRPr="0060794A">
              <w:rPr>
                <w:b/>
                <w:color w:val="000000"/>
                <w:lang w:eastAsia="en-US"/>
              </w:rPr>
              <w:t>mmol</w:t>
            </w:r>
            <w:proofErr w:type="spellEnd"/>
            <w:r w:rsidRPr="0060794A">
              <w:rPr>
                <w:b/>
                <w:color w:val="000000"/>
                <w:lang w:eastAsia="en-US"/>
              </w:rPr>
              <w:t>/L</w:t>
            </w:r>
          </w:p>
        </w:tc>
        <w:tc>
          <w:tcPr>
            <w:tcW w:w="0" w:type="auto"/>
            <w:tcBorders>
              <w:top w:val="nil"/>
              <w:left w:val="nil"/>
              <w:bottom w:val="nil"/>
              <w:right w:val="nil"/>
            </w:tcBorders>
            <w:shd w:val="clear" w:color="auto" w:fill="auto"/>
            <w:noWrap/>
            <w:vAlign w:val="bottom"/>
            <w:hideMark/>
          </w:tcPr>
          <w:p w14:paraId="7D41AC50"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121</w:t>
            </w:r>
          </w:p>
        </w:tc>
        <w:tc>
          <w:tcPr>
            <w:tcW w:w="0" w:type="auto"/>
            <w:tcBorders>
              <w:top w:val="nil"/>
              <w:left w:val="nil"/>
              <w:bottom w:val="nil"/>
              <w:right w:val="nil"/>
            </w:tcBorders>
            <w:shd w:val="clear" w:color="auto" w:fill="auto"/>
            <w:noWrap/>
            <w:vAlign w:val="bottom"/>
            <w:hideMark/>
          </w:tcPr>
          <w:p w14:paraId="5B7C7C09"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125.54±1.23</w:t>
            </w:r>
          </w:p>
        </w:tc>
      </w:tr>
      <w:tr w:rsidR="001E0437" w:rsidRPr="0060794A" w14:paraId="1FA5D480" w14:textId="77777777" w:rsidTr="001E0437">
        <w:trPr>
          <w:trHeight w:val="320"/>
          <w:jc w:val="center"/>
        </w:trPr>
        <w:tc>
          <w:tcPr>
            <w:tcW w:w="0" w:type="auto"/>
            <w:tcBorders>
              <w:top w:val="nil"/>
              <w:left w:val="nil"/>
              <w:right w:val="nil"/>
            </w:tcBorders>
            <w:shd w:val="clear" w:color="auto" w:fill="auto"/>
            <w:noWrap/>
            <w:vAlign w:val="bottom"/>
            <w:hideMark/>
          </w:tcPr>
          <w:p w14:paraId="4E004538" w14:textId="77777777" w:rsidR="001E0437" w:rsidRPr="0060794A" w:rsidRDefault="001E0437" w:rsidP="001E0437">
            <w:pPr>
              <w:spacing w:after="0" w:line="240" w:lineRule="auto"/>
              <w:jc w:val="left"/>
              <w:rPr>
                <w:b/>
                <w:color w:val="000000"/>
                <w:lang w:eastAsia="en-US"/>
              </w:rPr>
            </w:pPr>
            <w:proofErr w:type="spellStart"/>
            <w:r w:rsidRPr="0060794A">
              <w:rPr>
                <w:b/>
                <w:color w:val="000000"/>
                <w:lang w:eastAsia="en-US"/>
              </w:rPr>
              <w:t>Lactate</w:t>
            </w:r>
            <w:proofErr w:type="spellEnd"/>
            <w:r w:rsidRPr="0060794A">
              <w:rPr>
                <w:b/>
                <w:color w:val="000000"/>
                <w:lang w:eastAsia="en-US"/>
              </w:rPr>
              <w:t xml:space="preserve">, </w:t>
            </w:r>
            <w:proofErr w:type="spellStart"/>
            <w:r w:rsidRPr="0060794A">
              <w:rPr>
                <w:b/>
                <w:color w:val="000000"/>
                <w:lang w:eastAsia="en-US"/>
              </w:rPr>
              <w:t>mmol</w:t>
            </w:r>
            <w:proofErr w:type="spellEnd"/>
            <w:r w:rsidRPr="0060794A">
              <w:rPr>
                <w:b/>
                <w:color w:val="000000"/>
                <w:lang w:eastAsia="en-US"/>
              </w:rPr>
              <w:t>/L</w:t>
            </w:r>
          </w:p>
        </w:tc>
        <w:tc>
          <w:tcPr>
            <w:tcW w:w="0" w:type="auto"/>
            <w:tcBorders>
              <w:top w:val="nil"/>
              <w:left w:val="nil"/>
              <w:right w:val="nil"/>
            </w:tcBorders>
            <w:shd w:val="clear" w:color="auto" w:fill="auto"/>
            <w:noWrap/>
            <w:vAlign w:val="bottom"/>
            <w:hideMark/>
          </w:tcPr>
          <w:p w14:paraId="7B6C516D"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0,7</w:t>
            </w:r>
          </w:p>
        </w:tc>
        <w:tc>
          <w:tcPr>
            <w:tcW w:w="0" w:type="auto"/>
            <w:tcBorders>
              <w:top w:val="nil"/>
              <w:left w:val="nil"/>
              <w:right w:val="nil"/>
            </w:tcBorders>
            <w:shd w:val="clear" w:color="auto" w:fill="auto"/>
            <w:noWrap/>
            <w:vAlign w:val="bottom"/>
            <w:hideMark/>
          </w:tcPr>
          <w:p w14:paraId="057CCBDF"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6.65±0.36</w:t>
            </w:r>
          </w:p>
        </w:tc>
      </w:tr>
      <w:tr w:rsidR="001E0437" w:rsidRPr="0060794A" w14:paraId="3D967878" w14:textId="77777777" w:rsidTr="001E0437">
        <w:trPr>
          <w:trHeight w:val="320"/>
          <w:jc w:val="center"/>
        </w:trPr>
        <w:tc>
          <w:tcPr>
            <w:tcW w:w="0" w:type="auto"/>
            <w:tcBorders>
              <w:top w:val="nil"/>
              <w:left w:val="nil"/>
              <w:bottom w:val="single" w:sz="4" w:space="0" w:color="auto"/>
              <w:right w:val="nil"/>
            </w:tcBorders>
            <w:shd w:val="clear" w:color="auto" w:fill="auto"/>
            <w:noWrap/>
            <w:vAlign w:val="bottom"/>
            <w:hideMark/>
          </w:tcPr>
          <w:p w14:paraId="37D5E59A" w14:textId="77777777" w:rsidR="001E0437" w:rsidRPr="0060794A" w:rsidRDefault="001E0437" w:rsidP="001E0437">
            <w:pPr>
              <w:spacing w:after="0" w:line="240" w:lineRule="auto"/>
              <w:jc w:val="left"/>
              <w:rPr>
                <w:b/>
                <w:color w:val="000000"/>
                <w:lang w:eastAsia="en-US"/>
              </w:rPr>
            </w:pPr>
            <w:proofErr w:type="spellStart"/>
            <w:r w:rsidRPr="0060794A">
              <w:rPr>
                <w:b/>
                <w:color w:val="000000"/>
                <w:lang w:eastAsia="en-US"/>
              </w:rPr>
              <w:t>Glucose</w:t>
            </w:r>
            <w:proofErr w:type="spellEnd"/>
            <w:r w:rsidRPr="0060794A">
              <w:rPr>
                <w:b/>
                <w:color w:val="000000"/>
                <w:lang w:eastAsia="en-US"/>
              </w:rPr>
              <w:t>, mg/dl</w:t>
            </w:r>
          </w:p>
        </w:tc>
        <w:tc>
          <w:tcPr>
            <w:tcW w:w="0" w:type="auto"/>
            <w:tcBorders>
              <w:top w:val="nil"/>
              <w:left w:val="nil"/>
              <w:bottom w:val="single" w:sz="4" w:space="0" w:color="auto"/>
              <w:right w:val="nil"/>
            </w:tcBorders>
            <w:shd w:val="clear" w:color="auto" w:fill="auto"/>
            <w:noWrap/>
            <w:vAlign w:val="bottom"/>
            <w:hideMark/>
          </w:tcPr>
          <w:p w14:paraId="23D61A24"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101</w:t>
            </w:r>
          </w:p>
        </w:tc>
        <w:tc>
          <w:tcPr>
            <w:tcW w:w="0" w:type="auto"/>
            <w:tcBorders>
              <w:top w:val="nil"/>
              <w:left w:val="nil"/>
              <w:bottom w:val="single" w:sz="4" w:space="0" w:color="auto"/>
              <w:right w:val="nil"/>
            </w:tcBorders>
            <w:shd w:val="clear" w:color="auto" w:fill="auto"/>
            <w:noWrap/>
            <w:vAlign w:val="bottom"/>
            <w:hideMark/>
          </w:tcPr>
          <w:p w14:paraId="67B59EB5" w14:textId="77777777" w:rsidR="001E0437" w:rsidRPr="0060794A" w:rsidRDefault="001E0437" w:rsidP="001E0437">
            <w:pPr>
              <w:spacing w:after="0" w:line="240" w:lineRule="auto"/>
              <w:jc w:val="center"/>
              <w:rPr>
                <w:bCs w:val="0"/>
                <w:color w:val="000000"/>
                <w:lang w:eastAsia="en-US"/>
              </w:rPr>
            </w:pPr>
            <w:r w:rsidRPr="0060794A">
              <w:rPr>
                <w:bCs w:val="0"/>
                <w:color w:val="000000"/>
                <w:lang w:eastAsia="en-US"/>
              </w:rPr>
              <w:t>25.72±3.25</w:t>
            </w:r>
          </w:p>
        </w:tc>
      </w:tr>
    </w:tbl>
    <w:p w14:paraId="509870F4" w14:textId="77777777" w:rsidR="001E0437" w:rsidRPr="00072D37" w:rsidRDefault="001E0437" w:rsidP="001E0437">
      <w:pPr>
        <w:pStyle w:val="Heading2"/>
        <w:rPr>
          <w:rFonts w:ascii="Arial" w:hAnsi="Arial" w:cs="Arial"/>
        </w:rPr>
        <w:sectPr w:rsidR="001E0437" w:rsidRPr="00072D37" w:rsidSect="000764D6">
          <w:pgSz w:w="11900" w:h="16840"/>
          <w:pgMar w:top="1417" w:right="1134" w:bottom="1134" w:left="1134" w:header="708" w:footer="708" w:gutter="0"/>
          <w:cols w:space="708"/>
          <w:docGrid w:linePitch="360"/>
        </w:sectPr>
      </w:pPr>
    </w:p>
    <w:p w14:paraId="033226EC" w14:textId="6CF7ECEE" w:rsidR="001E0437" w:rsidRPr="00072D37" w:rsidRDefault="001E0437" w:rsidP="001E0437">
      <w:pPr>
        <w:pStyle w:val="Heading2"/>
        <w:rPr>
          <w:rFonts w:ascii="Arial" w:hAnsi="Arial" w:cs="Arial"/>
        </w:rPr>
      </w:pPr>
      <w:bookmarkStart w:id="46" w:name="_Toc143336339"/>
      <w:r w:rsidRPr="00072D37">
        <w:rPr>
          <w:rFonts w:ascii="Arial" w:hAnsi="Arial" w:cs="Arial"/>
        </w:rPr>
        <w:lastRenderedPageBreak/>
        <w:t>Supplementary Table 2. Experimental design</w:t>
      </w:r>
      <w:bookmarkEnd w:id="46"/>
    </w:p>
    <w:tbl>
      <w:tblPr>
        <w:tblW w:w="5000" w:type="pct"/>
        <w:tblCellMar>
          <w:left w:w="70" w:type="dxa"/>
          <w:right w:w="70" w:type="dxa"/>
        </w:tblCellMar>
        <w:tblLook w:val="04A0" w:firstRow="1" w:lastRow="0" w:firstColumn="1" w:lastColumn="0" w:noHBand="0" w:noVBand="1"/>
      </w:tblPr>
      <w:tblGrid>
        <w:gridCol w:w="2214"/>
        <w:gridCol w:w="1656"/>
        <w:gridCol w:w="2052"/>
        <w:gridCol w:w="1575"/>
        <w:gridCol w:w="940"/>
        <w:gridCol w:w="1195"/>
      </w:tblGrid>
      <w:tr w:rsidR="001E0437" w:rsidRPr="0060794A" w14:paraId="45B4F0AA" w14:textId="77777777" w:rsidTr="001E0437">
        <w:trPr>
          <w:trHeight w:val="324"/>
        </w:trPr>
        <w:tc>
          <w:tcPr>
            <w:tcW w:w="1149" w:type="pct"/>
            <w:tcBorders>
              <w:top w:val="single" w:sz="4" w:space="0" w:color="auto"/>
            </w:tcBorders>
            <w:shd w:val="clear" w:color="auto" w:fill="auto"/>
            <w:noWrap/>
            <w:vAlign w:val="bottom"/>
            <w:hideMark/>
          </w:tcPr>
          <w:p w14:paraId="360BDCE3" w14:textId="77777777" w:rsidR="001E0437" w:rsidRPr="0060794A" w:rsidRDefault="001E0437" w:rsidP="001E0437">
            <w:pPr>
              <w:spacing w:after="0" w:line="240" w:lineRule="auto"/>
              <w:jc w:val="left"/>
            </w:pPr>
          </w:p>
        </w:tc>
        <w:tc>
          <w:tcPr>
            <w:tcW w:w="3851" w:type="pct"/>
            <w:gridSpan w:val="5"/>
            <w:tcBorders>
              <w:top w:val="single" w:sz="4" w:space="0" w:color="auto"/>
              <w:bottom w:val="single" w:sz="4" w:space="0" w:color="auto"/>
            </w:tcBorders>
            <w:shd w:val="clear" w:color="000000" w:fill="FFFFFF"/>
            <w:noWrap/>
            <w:vAlign w:val="bottom"/>
            <w:hideMark/>
          </w:tcPr>
          <w:p w14:paraId="0025D04E" w14:textId="77777777" w:rsidR="001E0437" w:rsidRPr="0060794A" w:rsidRDefault="001E0437" w:rsidP="001E0437">
            <w:pPr>
              <w:spacing w:after="0" w:line="240" w:lineRule="auto"/>
              <w:jc w:val="center"/>
              <w:rPr>
                <w:b/>
                <w:color w:val="000000"/>
              </w:rPr>
            </w:pPr>
            <w:r w:rsidRPr="0060794A">
              <w:rPr>
                <w:b/>
                <w:color w:val="000000"/>
              </w:rPr>
              <w:t>Procedure</w:t>
            </w:r>
          </w:p>
        </w:tc>
      </w:tr>
      <w:tr w:rsidR="001E0437" w:rsidRPr="0060794A" w14:paraId="37DF0682" w14:textId="77777777" w:rsidTr="001E0437">
        <w:trPr>
          <w:trHeight w:val="1044"/>
        </w:trPr>
        <w:tc>
          <w:tcPr>
            <w:tcW w:w="1149" w:type="pct"/>
            <w:tcBorders>
              <w:bottom w:val="single" w:sz="4" w:space="0" w:color="auto"/>
            </w:tcBorders>
            <w:shd w:val="clear" w:color="000000" w:fill="FFFFFF"/>
            <w:noWrap/>
            <w:vAlign w:val="bottom"/>
            <w:hideMark/>
          </w:tcPr>
          <w:p w14:paraId="498189AB" w14:textId="77777777" w:rsidR="001E0437" w:rsidRPr="0060794A" w:rsidRDefault="001E0437" w:rsidP="001E0437">
            <w:pPr>
              <w:spacing w:after="0" w:line="240" w:lineRule="auto"/>
              <w:jc w:val="left"/>
              <w:rPr>
                <w:b/>
                <w:color w:val="000000"/>
              </w:rPr>
            </w:pPr>
            <w:proofErr w:type="spellStart"/>
            <w:r w:rsidRPr="0060794A">
              <w:rPr>
                <w:b/>
                <w:color w:val="000000"/>
              </w:rPr>
              <w:t>Experimental</w:t>
            </w:r>
            <w:proofErr w:type="spellEnd"/>
            <w:r w:rsidRPr="0060794A">
              <w:rPr>
                <w:b/>
                <w:color w:val="000000"/>
              </w:rPr>
              <w:t xml:space="preserve"> </w:t>
            </w:r>
            <w:proofErr w:type="spellStart"/>
            <w:r w:rsidRPr="0060794A">
              <w:rPr>
                <w:b/>
                <w:color w:val="000000"/>
              </w:rPr>
              <w:t>group</w:t>
            </w:r>
            <w:proofErr w:type="spellEnd"/>
            <w:r w:rsidRPr="0060794A">
              <w:rPr>
                <w:b/>
                <w:color w:val="000000"/>
              </w:rPr>
              <w:t xml:space="preserve"> </w:t>
            </w:r>
          </w:p>
          <w:p w14:paraId="098B3A2B" w14:textId="77777777" w:rsidR="001E0437" w:rsidRPr="0060794A" w:rsidRDefault="001E0437" w:rsidP="001E0437">
            <w:pPr>
              <w:spacing w:after="0" w:line="240" w:lineRule="auto"/>
              <w:jc w:val="left"/>
              <w:rPr>
                <w:b/>
                <w:color w:val="000000"/>
              </w:rPr>
            </w:pPr>
            <w:r w:rsidRPr="0060794A">
              <w:rPr>
                <w:b/>
                <w:color w:val="000000"/>
              </w:rPr>
              <w:t>(n=5)</w:t>
            </w:r>
          </w:p>
        </w:tc>
        <w:tc>
          <w:tcPr>
            <w:tcW w:w="864" w:type="pct"/>
            <w:tcBorders>
              <w:top w:val="single" w:sz="4" w:space="0" w:color="auto"/>
              <w:bottom w:val="single" w:sz="4" w:space="0" w:color="auto"/>
            </w:tcBorders>
            <w:shd w:val="clear" w:color="000000" w:fill="FFFFFF"/>
            <w:noWrap/>
            <w:vAlign w:val="bottom"/>
            <w:hideMark/>
          </w:tcPr>
          <w:p w14:paraId="3D433D51" w14:textId="77777777" w:rsidR="001E0437" w:rsidRPr="0060794A" w:rsidRDefault="001E0437" w:rsidP="001E0437">
            <w:pPr>
              <w:spacing w:after="0" w:line="240" w:lineRule="auto"/>
              <w:jc w:val="center"/>
              <w:rPr>
                <w:b/>
                <w:color w:val="000000"/>
              </w:rPr>
            </w:pPr>
            <w:proofErr w:type="spellStart"/>
            <w:r w:rsidRPr="0060794A">
              <w:rPr>
                <w:b/>
                <w:color w:val="000000"/>
              </w:rPr>
              <w:t>Anesthesia</w:t>
            </w:r>
            <w:proofErr w:type="spellEnd"/>
          </w:p>
        </w:tc>
        <w:tc>
          <w:tcPr>
            <w:tcW w:w="1069" w:type="pct"/>
            <w:tcBorders>
              <w:top w:val="single" w:sz="4" w:space="0" w:color="auto"/>
              <w:bottom w:val="single" w:sz="4" w:space="0" w:color="auto"/>
            </w:tcBorders>
            <w:shd w:val="clear" w:color="000000" w:fill="FFFFFF"/>
            <w:vAlign w:val="bottom"/>
            <w:hideMark/>
          </w:tcPr>
          <w:p w14:paraId="57942105" w14:textId="77777777" w:rsidR="001E0437" w:rsidRPr="0060794A" w:rsidRDefault="001E0437" w:rsidP="001E0437">
            <w:pPr>
              <w:spacing w:after="0" w:line="240" w:lineRule="auto"/>
              <w:jc w:val="center"/>
              <w:rPr>
                <w:b/>
                <w:color w:val="000000"/>
              </w:rPr>
            </w:pPr>
            <w:proofErr w:type="spellStart"/>
            <w:r w:rsidRPr="0060794A">
              <w:rPr>
                <w:b/>
                <w:color w:val="000000"/>
              </w:rPr>
              <w:t>Liver</w:t>
            </w:r>
            <w:proofErr w:type="spellEnd"/>
            <w:r w:rsidRPr="0060794A">
              <w:rPr>
                <w:b/>
                <w:color w:val="000000"/>
              </w:rPr>
              <w:t xml:space="preserve"> </w:t>
            </w:r>
            <w:proofErr w:type="spellStart"/>
            <w:r w:rsidRPr="0060794A">
              <w:rPr>
                <w:b/>
                <w:color w:val="000000"/>
              </w:rPr>
              <w:t>procurement</w:t>
            </w:r>
            <w:proofErr w:type="spellEnd"/>
          </w:p>
        </w:tc>
        <w:tc>
          <w:tcPr>
            <w:tcW w:w="821" w:type="pct"/>
            <w:tcBorders>
              <w:top w:val="single" w:sz="4" w:space="0" w:color="auto"/>
              <w:bottom w:val="single" w:sz="4" w:space="0" w:color="auto"/>
            </w:tcBorders>
            <w:shd w:val="clear" w:color="000000" w:fill="FFFFFF"/>
            <w:vAlign w:val="bottom"/>
            <w:hideMark/>
          </w:tcPr>
          <w:p w14:paraId="68C3996D" w14:textId="77777777" w:rsidR="001E0437" w:rsidRPr="0060794A" w:rsidRDefault="001E0437" w:rsidP="001E0437">
            <w:pPr>
              <w:spacing w:after="0" w:line="240" w:lineRule="auto"/>
              <w:jc w:val="center"/>
              <w:rPr>
                <w:b/>
                <w:color w:val="000000"/>
              </w:rPr>
            </w:pPr>
            <w:r w:rsidRPr="0060794A">
              <w:rPr>
                <w:b/>
                <w:color w:val="000000"/>
              </w:rPr>
              <w:t xml:space="preserve">In situ </w:t>
            </w:r>
            <w:proofErr w:type="spellStart"/>
            <w:r w:rsidRPr="0060794A">
              <w:rPr>
                <w:b/>
                <w:color w:val="000000"/>
              </w:rPr>
              <w:t>perfusion</w:t>
            </w:r>
            <w:proofErr w:type="spellEnd"/>
          </w:p>
        </w:tc>
        <w:tc>
          <w:tcPr>
            <w:tcW w:w="473" w:type="pct"/>
            <w:tcBorders>
              <w:top w:val="single" w:sz="4" w:space="0" w:color="auto"/>
              <w:bottom w:val="single" w:sz="4" w:space="0" w:color="auto"/>
            </w:tcBorders>
            <w:shd w:val="clear" w:color="000000" w:fill="FFFFFF"/>
            <w:vAlign w:val="bottom"/>
            <w:hideMark/>
          </w:tcPr>
          <w:p w14:paraId="32E1D7EB" w14:textId="77777777" w:rsidR="001E0437" w:rsidRPr="0060794A" w:rsidRDefault="001E0437" w:rsidP="001E0437">
            <w:pPr>
              <w:spacing w:after="0" w:line="240" w:lineRule="auto"/>
              <w:jc w:val="center"/>
              <w:rPr>
                <w:b/>
                <w:color w:val="000000"/>
              </w:rPr>
            </w:pPr>
            <w:r w:rsidRPr="0060794A">
              <w:rPr>
                <w:b/>
                <w:color w:val="000000"/>
              </w:rPr>
              <w:t xml:space="preserve">SCS                 </w:t>
            </w:r>
          </w:p>
          <w:p w14:paraId="1D252CBD" w14:textId="68FA6A3A" w:rsidR="001E0437" w:rsidRPr="0060794A" w:rsidRDefault="001E0437" w:rsidP="001E0437">
            <w:pPr>
              <w:spacing w:after="0" w:line="240" w:lineRule="auto"/>
              <w:jc w:val="center"/>
              <w:rPr>
                <w:b/>
                <w:color w:val="000000"/>
              </w:rPr>
            </w:pPr>
            <w:r w:rsidRPr="0060794A">
              <w:rPr>
                <w:b/>
                <w:color w:val="000000"/>
              </w:rPr>
              <w:t>(30min)</w:t>
            </w:r>
          </w:p>
        </w:tc>
        <w:tc>
          <w:tcPr>
            <w:tcW w:w="624" w:type="pct"/>
            <w:tcBorders>
              <w:top w:val="single" w:sz="4" w:space="0" w:color="auto"/>
              <w:bottom w:val="single" w:sz="4" w:space="0" w:color="auto"/>
            </w:tcBorders>
            <w:shd w:val="clear" w:color="000000" w:fill="FFFFFF"/>
            <w:vAlign w:val="bottom"/>
            <w:hideMark/>
          </w:tcPr>
          <w:p w14:paraId="36320462" w14:textId="69CA20C3" w:rsidR="001E0437" w:rsidRPr="0060794A" w:rsidRDefault="001E0437" w:rsidP="001E0437">
            <w:pPr>
              <w:spacing w:after="0" w:line="240" w:lineRule="auto"/>
              <w:jc w:val="center"/>
              <w:rPr>
                <w:b/>
                <w:color w:val="000000"/>
              </w:rPr>
            </w:pPr>
            <w:r w:rsidRPr="0060794A">
              <w:rPr>
                <w:b/>
                <w:color w:val="000000"/>
              </w:rPr>
              <w:t xml:space="preserve">NMP           </w:t>
            </w:r>
            <w:proofErr w:type="gramStart"/>
            <w:r w:rsidRPr="0060794A">
              <w:rPr>
                <w:b/>
                <w:color w:val="000000"/>
              </w:rPr>
              <w:t xml:space="preserve">   (</w:t>
            </w:r>
            <w:proofErr w:type="gramEnd"/>
            <w:r w:rsidRPr="0060794A">
              <w:rPr>
                <w:b/>
                <w:color w:val="000000"/>
              </w:rPr>
              <w:t>240min)</w:t>
            </w:r>
          </w:p>
        </w:tc>
      </w:tr>
      <w:tr w:rsidR="001E0437" w:rsidRPr="0060794A" w14:paraId="7FDDC09E" w14:textId="77777777" w:rsidTr="001E0437">
        <w:trPr>
          <w:trHeight w:val="324"/>
        </w:trPr>
        <w:tc>
          <w:tcPr>
            <w:tcW w:w="1149" w:type="pct"/>
            <w:tcBorders>
              <w:top w:val="single" w:sz="4" w:space="0" w:color="auto"/>
            </w:tcBorders>
            <w:shd w:val="clear" w:color="000000" w:fill="FFFFFF"/>
            <w:noWrap/>
            <w:vAlign w:val="center"/>
            <w:hideMark/>
          </w:tcPr>
          <w:p w14:paraId="02097A14" w14:textId="77777777" w:rsidR="001E0437" w:rsidRPr="0060794A" w:rsidRDefault="001E0437" w:rsidP="001E0437">
            <w:pPr>
              <w:spacing w:after="0" w:line="240" w:lineRule="auto"/>
              <w:jc w:val="left"/>
              <w:rPr>
                <w:b/>
                <w:color w:val="000000"/>
              </w:rPr>
            </w:pPr>
            <w:r w:rsidRPr="0060794A">
              <w:rPr>
                <w:b/>
                <w:color w:val="000000"/>
              </w:rPr>
              <w:t>Native</w:t>
            </w:r>
          </w:p>
        </w:tc>
        <w:tc>
          <w:tcPr>
            <w:tcW w:w="864" w:type="pct"/>
            <w:tcBorders>
              <w:top w:val="single" w:sz="4" w:space="0" w:color="auto"/>
            </w:tcBorders>
            <w:shd w:val="clear" w:color="000000" w:fill="FFFFFF"/>
            <w:noWrap/>
            <w:vAlign w:val="center"/>
            <w:hideMark/>
          </w:tcPr>
          <w:p w14:paraId="409D045E" w14:textId="77777777" w:rsidR="001E0437" w:rsidRPr="0060794A" w:rsidRDefault="001E0437" w:rsidP="001E0437">
            <w:pPr>
              <w:spacing w:after="0" w:line="240" w:lineRule="auto"/>
              <w:jc w:val="center"/>
              <w:rPr>
                <w:b/>
                <w:color w:val="000000"/>
              </w:rPr>
            </w:pPr>
            <w:r w:rsidRPr="0060794A">
              <w:rPr>
                <w:b/>
                <w:color w:val="000000"/>
              </w:rPr>
              <w:t>√</w:t>
            </w:r>
          </w:p>
        </w:tc>
        <w:tc>
          <w:tcPr>
            <w:tcW w:w="1069" w:type="pct"/>
            <w:tcBorders>
              <w:top w:val="single" w:sz="4" w:space="0" w:color="auto"/>
            </w:tcBorders>
            <w:shd w:val="clear" w:color="000000" w:fill="FFFFFF"/>
            <w:noWrap/>
            <w:vAlign w:val="center"/>
            <w:hideMark/>
          </w:tcPr>
          <w:p w14:paraId="62BD5F58" w14:textId="278D5A66" w:rsidR="001E0437" w:rsidRPr="0060794A" w:rsidRDefault="0058220D" w:rsidP="001E0437">
            <w:pPr>
              <w:spacing w:after="0" w:line="240" w:lineRule="auto"/>
              <w:jc w:val="center"/>
              <w:rPr>
                <w:b/>
                <w:color w:val="000000"/>
              </w:rPr>
            </w:pPr>
            <w:r w:rsidRPr="0060794A">
              <w:rPr>
                <w:b/>
                <w:color w:val="000000"/>
              </w:rPr>
              <w:t>√</w:t>
            </w:r>
            <w:r w:rsidR="001E0437" w:rsidRPr="0060794A">
              <w:rPr>
                <w:b/>
                <w:color w:val="000000"/>
              </w:rPr>
              <w:t> </w:t>
            </w:r>
          </w:p>
        </w:tc>
        <w:tc>
          <w:tcPr>
            <w:tcW w:w="821" w:type="pct"/>
            <w:tcBorders>
              <w:top w:val="single" w:sz="4" w:space="0" w:color="auto"/>
            </w:tcBorders>
            <w:shd w:val="clear" w:color="000000" w:fill="FFFFFF"/>
            <w:noWrap/>
            <w:vAlign w:val="center"/>
            <w:hideMark/>
          </w:tcPr>
          <w:p w14:paraId="15FF919B" w14:textId="77777777" w:rsidR="001E0437" w:rsidRPr="0060794A" w:rsidRDefault="001E0437" w:rsidP="001E0437">
            <w:pPr>
              <w:spacing w:after="0" w:line="240" w:lineRule="auto"/>
              <w:jc w:val="center"/>
              <w:rPr>
                <w:bCs w:val="0"/>
                <w:color w:val="000000"/>
              </w:rPr>
            </w:pPr>
            <w:r w:rsidRPr="0060794A">
              <w:rPr>
                <w:bCs w:val="0"/>
                <w:color w:val="000000"/>
              </w:rPr>
              <w:t> </w:t>
            </w:r>
          </w:p>
        </w:tc>
        <w:tc>
          <w:tcPr>
            <w:tcW w:w="473" w:type="pct"/>
            <w:tcBorders>
              <w:top w:val="single" w:sz="4" w:space="0" w:color="auto"/>
            </w:tcBorders>
            <w:shd w:val="clear" w:color="000000" w:fill="FFFFFF"/>
            <w:noWrap/>
            <w:vAlign w:val="center"/>
            <w:hideMark/>
          </w:tcPr>
          <w:p w14:paraId="0881AA99" w14:textId="77777777" w:rsidR="001E0437" w:rsidRPr="0060794A" w:rsidRDefault="001E0437" w:rsidP="001E0437">
            <w:pPr>
              <w:spacing w:after="0" w:line="240" w:lineRule="auto"/>
              <w:jc w:val="center"/>
              <w:rPr>
                <w:bCs w:val="0"/>
                <w:color w:val="000000"/>
              </w:rPr>
            </w:pPr>
            <w:r w:rsidRPr="0060794A">
              <w:rPr>
                <w:bCs w:val="0"/>
                <w:color w:val="000000"/>
              </w:rPr>
              <w:t> </w:t>
            </w:r>
          </w:p>
        </w:tc>
        <w:tc>
          <w:tcPr>
            <w:tcW w:w="624" w:type="pct"/>
            <w:tcBorders>
              <w:top w:val="single" w:sz="4" w:space="0" w:color="auto"/>
            </w:tcBorders>
            <w:shd w:val="clear" w:color="000000" w:fill="FFFFFF"/>
            <w:noWrap/>
            <w:vAlign w:val="center"/>
            <w:hideMark/>
          </w:tcPr>
          <w:p w14:paraId="717A6767" w14:textId="77777777" w:rsidR="001E0437" w:rsidRPr="0060794A" w:rsidRDefault="001E0437" w:rsidP="001E0437">
            <w:pPr>
              <w:spacing w:after="0" w:line="240" w:lineRule="auto"/>
              <w:jc w:val="center"/>
              <w:rPr>
                <w:bCs w:val="0"/>
                <w:color w:val="000000"/>
              </w:rPr>
            </w:pPr>
            <w:r w:rsidRPr="0060794A">
              <w:rPr>
                <w:bCs w:val="0"/>
                <w:color w:val="000000"/>
              </w:rPr>
              <w:t> </w:t>
            </w:r>
          </w:p>
        </w:tc>
      </w:tr>
      <w:tr w:rsidR="001E0437" w:rsidRPr="0060794A" w14:paraId="24E1E369" w14:textId="77777777" w:rsidTr="001E0437">
        <w:trPr>
          <w:trHeight w:val="312"/>
        </w:trPr>
        <w:tc>
          <w:tcPr>
            <w:tcW w:w="1149" w:type="pct"/>
            <w:shd w:val="clear" w:color="000000" w:fill="FFFFFF"/>
            <w:noWrap/>
            <w:vAlign w:val="center"/>
            <w:hideMark/>
          </w:tcPr>
          <w:p w14:paraId="7933644E" w14:textId="77777777" w:rsidR="001E0437" w:rsidRPr="0060794A" w:rsidRDefault="001E0437" w:rsidP="001E0437">
            <w:pPr>
              <w:spacing w:after="0" w:line="240" w:lineRule="auto"/>
              <w:jc w:val="left"/>
              <w:rPr>
                <w:b/>
                <w:color w:val="000000"/>
              </w:rPr>
            </w:pPr>
            <w:r w:rsidRPr="0060794A">
              <w:rPr>
                <w:b/>
                <w:color w:val="000000"/>
              </w:rPr>
              <w:t>SCS</w:t>
            </w:r>
          </w:p>
        </w:tc>
        <w:tc>
          <w:tcPr>
            <w:tcW w:w="864" w:type="pct"/>
            <w:shd w:val="clear" w:color="000000" w:fill="FFFFFF"/>
            <w:noWrap/>
            <w:vAlign w:val="center"/>
            <w:hideMark/>
          </w:tcPr>
          <w:p w14:paraId="439C0EBB" w14:textId="77777777" w:rsidR="001E0437" w:rsidRPr="0060794A" w:rsidRDefault="001E0437" w:rsidP="001E0437">
            <w:pPr>
              <w:spacing w:after="0" w:line="240" w:lineRule="auto"/>
              <w:jc w:val="center"/>
              <w:rPr>
                <w:b/>
                <w:color w:val="000000"/>
              </w:rPr>
            </w:pPr>
            <w:r w:rsidRPr="0060794A">
              <w:rPr>
                <w:b/>
                <w:color w:val="000000"/>
              </w:rPr>
              <w:t>√</w:t>
            </w:r>
          </w:p>
        </w:tc>
        <w:tc>
          <w:tcPr>
            <w:tcW w:w="1069" w:type="pct"/>
            <w:shd w:val="clear" w:color="000000" w:fill="FFFFFF"/>
            <w:noWrap/>
            <w:vAlign w:val="center"/>
            <w:hideMark/>
          </w:tcPr>
          <w:p w14:paraId="54EDE24A" w14:textId="77777777" w:rsidR="001E0437" w:rsidRPr="0060794A" w:rsidRDefault="001E0437" w:rsidP="001E0437">
            <w:pPr>
              <w:spacing w:after="0" w:line="240" w:lineRule="auto"/>
              <w:jc w:val="center"/>
              <w:rPr>
                <w:b/>
                <w:color w:val="000000"/>
              </w:rPr>
            </w:pPr>
            <w:r w:rsidRPr="0060794A">
              <w:rPr>
                <w:b/>
                <w:color w:val="000000"/>
              </w:rPr>
              <w:t>√</w:t>
            </w:r>
          </w:p>
        </w:tc>
        <w:tc>
          <w:tcPr>
            <w:tcW w:w="821" w:type="pct"/>
            <w:shd w:val="clear" w:color="000000" w:fill="FFFFFF"/>
            <w:noWrap/>
            <w:vAlign w:val="center"/>
            <w:hideMark/>
          </w:tcPr>
          <w:p w14:paraId="450F203A" w14:textId="77777777" w:rsidR="001E0437" w:rsidRPr="0060794A" w:rsidRDefault="001E0437" w:rsidP="001E0437">
            <w:pPr>
              <w:spacing w:after="0" w:line="240" w:lineRule="auto"/>
              <w:jc w:val="center"/>
              <w:rPr>
                <w:b/>
                <w:color w:val="000000"/>
              </w:rPr>
            </w:pPr>
            <w:r w:rsidRPr="0060794A">
              <w:rPr>
                <w:b/>
                <w:color w:val="000000"/>
              </w:rPr>
              <w:t>√</w:t>
            </w:r>
          </w:p>
        </w:tc>
        <w:tc>
          <w:tcPr>
            <w:tcW w:w="473" w:type="pct"/>
            <w:shd w:val="clear" w:color="000000" w:fill="FFFFFF"/>
            <w:noWrap/>
            <w:vAlign w:val="center"/>
            <w:hideMark/>
          </w:tcPr>
          <w:p w14:paraId="705427C2" w14:textId="77777777" w:rsidR="001E0437" w:rsidRPr="0060794A" w:rsidRDefault="001E0437" w:rsidP="001E0437">
            <w:pPr>
              <w:spacing w:after="0" w:line="240" w:lineRule="auto"/>
              <w:jc w:val="center"/>
              <w:rPr>
                <w:b/>
                <w:color w:val="000000"/>
              </w:rPr>
            </w:pPr>
            <w:r w:rsidRPr="0060794A">
              <w:rPr>
                <w:b/>
                <w:color w:val="000000"/>
              </w:rPr>
              <w:t>√</w:t>
            </w:r>
          </w:p>
        </w:tc>
        <w:tc>
          <w:tcPr>
            <w:tcW w:w="624" w:type="pct"/>
            <w:shd w:val="clear" w:color="000000" w:fill="FFFFFF"/>
            <w:noWrap/>
            <w:vAlign w:val="center"/>
            <w:hideMark/>
          </w:tcPr>
          <w:p w14:paraId="678643BF" w14:textId="77777777" w:rsidR="001E0437" w:rsidRPr="0060794A" w:rsidRDefault="001E0437" w:rsidP="001E0437">
            <w:pPr>
              <w:spacing w:after="0" w:line="240" w:lineRule="auto"/>
              <w:jc w:val="center"/>
              <w:rPr>
                <w:b/>
                <w:color w:val="000000"/>
              </w:rPr>
            </w:pPr>
            <w:r w:rsidRPr="0060794A">
              <w:rPr>
                <w:b/>
                <w:color w:val="000000"/>
              </w:rPr>
              <w:t> </w:t>
            </w:r>
          </w:p>
        </w:tc>
      </w:tr>
      <w:tr w:rsidR="001E0437" w:rsidRPr="0060794A" w14:paraId="0665148F" w14:textId="77777777" w:rsidTr="001E0437">
        <w:trPr>
          <w:trHeight w:val="312"/>
        </w:trPr>
        <w:tc>
          <w:tcPr>
            <w:tcW w:w="1149" w:type="pct"/>
            <w:shd w:val="clear" w:color="000000" w:fill="FFFFFF"/>
            <w:noWrap/>
            <w:vAlign w:val="center"/>
            <w:hideMark/>
          </w:tcPr>
          <w:p w14:paraId="08DDF1A3" w14:textId="77777777" w:rsidR="001E0437" w:rsidRPr="0060794A" w:rsidRDefault="001E0437" w:rsidP="001E0437">
            <w:pPr>
              <w:spacing w:after="0" w:line="240" w:lineRule="auto"/>
              <w:jc w:val="left"/>
              <w:rPr>
                <w:b/>
                <w:color w:val="000000"/>
              </w:rPr>
            </w:pPr>
            <w:r w:rsidRPr="0060794A">
              <w:rPr>
                <w:b/>
                <w:color w:val="000000"/>
              </w:rPr>
              <w:t>NMP</w:t>
            </w:r>
          </w:p>
        </w:tc>
        <w:tc>
          <w:tcPr>
            <w:tcW w:w="864" w:type="pct"/>
            <w:shd w:val="clear" w:color="000000" w:fill="FFFFFF"/>
            <w:noWrap/>
            <w:vAlign w:val="center"/>
            <w:hideMark/>
          </w:tcPr>
          <w:p w14:paraId="458BC06C" w14:textId="77777777" w:rsidR="001E0437" w:rsidRPr="0060794A" w:rsidRDefault="001E0437" w:rsidP="001E0437">
            <w:pPr>
              <w:spacing w:after="0" w:line="240" w:lineRule="auto"/>
              <w:jc w:val="center"/>
              <w:rPr>
                <w:b/>
                <w:color w:val="000000"/>
              </w:rPr>
            </w:pPr>
            <w:r w:rsidRPr="0060794A">
              <w:rPr>
                <w:b/>
                <w:color w:val="000000"/>
              </w:rPr>
              <w:t>√</w:t>
            </w:r>
          </w:p>
        </w:tc>
        <w:tc>
          <w:tcPr>
            <w:tcW w:w="1069" w:type="pct"/>
            <w:shd w:val="clear" w:color="000000" w:fill="FFFFFF"/>
            <w:noWrap/>
            <w:vAlign w:val="center"/>
            <w:hideMark/>
          </w:tcPr>
          <w:p w14:paraId="1D61D0A5" w14:textId="77777777" w:rsidR="001E0437" w:rsidRPr="0060794A" w:rsidRDefault="001E0437" w:rsidP="001E0437">
            <w:pPr>
              <w:spacing w:after="0" w:line="240" w:lineRule="auto"/>
              <w:jc w:val="center"/>
              <w:rPr>
                <w:b/>
                <w:color w:val="000000"/>
              </w:rPr>
            </w:pPr>
            <w:r w:rsidRPr="0060794A">
              <w:rPr>
                <w:b/>
                <w:color w:val="000000"/>
              </w:rPr>
              <w:t>√</w:t>
            </w:r>
          </w:p>
        </w:tc>
        <w:tc>
          <w:tcPr>
            <w:tcW w:w="821" w:type="pct"/>
            <w:shd w:val="clear" w:color="000000" w:fill="FFFFFF"/>
            <w:noWrap/>
            <w:vAlign w:val="center"/>
            <w:hideMark/>
          </w:tcPr>
          <w:p w14:paraId="4C8E0283" w14:textId="77777777" w:rsidR="001E0437" w:rsidRPr="0060794A" w:rsidRDefault="001E0437" w:rsidP="001E0437">
            <w:pPr>
              <w:spacing w:after="0" w:line="240" w:lineRule="auto"/>
              <w:jc w:val="center"/>
              <w:rPr>
                <w:b/>
                <w:color w:val="000000"/>
              </w:rPr>
            </w:pPr>
            <w:r w:rsidRPr="0060794A">
              <w:rPr>
                <w:b/>
                <w:color w:val="000000"/>
              </w:rPr>
              <w:t>√</w:t>
            </w:r>
          </w:p>
        </w:tc>
        <w:tc>
          <w:tcPr>
            <w:tcW w:w="473" w:type="pct"/>
            <w:shd w:val="clear" w:color="000000" w:fill="FFFFFF"/>
            <w:noWrap/>
            <w:vAlign w:val="center"/>
            <w:hideMark/>
          </w:tcPr>
          <w:p w14:paraId="7F033ABF" w14:textId="77777777" w:rsidR="001E0437" w:rsidRPr="0060794A" w:rsidRDefault="001E0437" w:rsidP="001E0437">
            <w:pPr>
              <w:spacing w:after="0" w:line="240" w:lineRule="auto"/>
              <w:jc w:val="center"/>
              <w:rPr>
                <w:b/>
                <w:color w:val="000000"/>
              </w:rPr>
            </w:pPr>
            <w:r w:rsidRPr="0060794A">
              <w:rPr>
                <w:b/>
                <w:color w:val="000000"/>
              </w:rPr>
              <w:t>√</w:t>
            </w:r>
          </w:p>
        </w:tc>
        <w:tc>
          <w:tcPr>
            <w:tcW w:w="624" w:type="pct"/>
            <w:shd w:val="clear" w:color="000000" w:fill="FFFFFF"/>
            <w:noWrap/>
            <w:vAlign w:val="center"/>
            <w:hideMark/>
          </w:tcPr>
          <w:p w14:paraId="39F1A574" w14:textId="77777777" w:rsidR="001E0437" w:rsidRPr="0060794A" w:rsidRDefault="001E0437" w:rsidP="001E0437">
            <w:pPr>
              <w:spacing w:after="0" w:line="240" w:lineRule="auto"/>
              <w:jc w:val="center"/>
              <w:rPr>
                <w:b/>
                <w:color w:val="000000"/>
              </w:rPr>
            </w:pPr>
            <w:r w:rsidRPr="0060794A">
              <w:rPr>
                <w:b/>
                <w:color w:val="000000"/>
              </w:rPr>
              <w:t>√</w:t>
            </w:r>
          </w:p>
        </w:tc>
      </w:tr>
      <w:tr w:rsidR="001E0437" w:rsidRPr="0060794A" w14:paraId="3A48F56F" w14:textId="77777777" w:rsidTr="001E0437">
        <w:trPr>
          <w:trHeight w:val="636"/>
        </w:trPr>
        <w:tc>
          <w:tcPr>
            <w:tcW w:w="1149" w:type="pct"/>
            <w:tcBorders>
              <w:bottom w:val="single" w:sz="4" w:space="0" w:color="auto"/>
            </w:tcBorders>
            <w:shd w:val="clear" w:color="000000" w:fill="FFFFFF"/>
            <w:vAlign w:val="center"/>
            <w:hideMark/>
          </w:tcPr>
          <w:p w14:paraId="6ED25503" w14:textId="77777777" w:rsidR="001E0437" w:rsidRPr="0060794A" w:rsidRDefault="001E0437" w:rsidP="001E0437">
            <w:pPr>
              <w:spacing w:after="0" w:line="240" w:lineRule="auto"/>
              <w:jc w:val="left"/>
              <w:rPr>
                <w:b/>
                <w:color w:val="000000"/>
              </w:rPr>
            </w:pPr>
            <w:proofErr w:type="spellStart"/>
            <w:r w:rsidRPr="0060794A">
              <w:rPr>
                <w:b/>
                <w:color w:val="000000"/>
              </w:rPr>
              <w:t>NMP+bioreactor</w:t>
            </w:r>
            <w:proofErr w:type="spellEnd"/>
          </w:p>
        </w:tc>
        <w:tc>
          <w:tcPr>
            <w:tcW w:w="864" w:type="pct"/>
            <w:tcBorders>
              <w:bottom w:val="single" w:sz="4" w:space="0" w:color="auto"/>
            </w:tcBorders>
            <w:shd w:val="clear" w:color="000000" w:fill="FFFFFF"/>
            <w:noWrap/>
            <w:vAlign w:val="center"/>
            <w:hideMark/>
          </w:tcPr>
          <w:p w14:paraId="16145498" w14:textId="77777777" w:rsidR="001E0437" w:rsidRPr="0060794A" w:rsidRDefault="001E0437" w:rsidP="001E0437">
            <w:pPr>
              <w:spacing w:after="0" w:line="240" w:lineRule="auto"/>
              <w:jc w:val="center"/>
              <w:rPr>
                <w:b/>
                <w:color w:val="000000"/>
              </w:rPr>
            </w:pPr>
            <w:r w:rsidRPr="0060794A">
              <w:rPr>
                <w:b/>
                <w:color w:val="000000"/>
              </w:rPr>
              <w:t>√</w:t>
            </w:r>
          </w:p>
        </w:tc>
        <w:tc>
          <w:tcPr>
            <w:tcW w:w="1069" w:type="pct"/>
            <w:tcBorders>
              <w:bottom w:val="single" w:sz="4" w:space="0" w:color="auto"/>
            </w:tcBorders>
            <w:shd w:val="clear" w:color="000000" w:fill="FFFFFF"/>
            <w:noWrap/>
            <w:vAlign w:val="center"/>
            <w:hideMark/>
          </w:tcPr>
          <w:p w14:paraId="24FE127A" w14:textId="77777777" w:rsidR="001E0437" w:rsidRPr="0060794A" w:rsidRDefault="001E0437" w:rsidP="001E0437">
            <w:pPr>
              <w:spacing w:after="0" w:line="240" w:lineRule="auto"/>
              <w:jc w:val="center"/>
              <w:rPr>
                <w:b/>
                <w:color w:val="000000"/>
              </w:rPr>
            </w:pPr>
            <w:r w:rsidRPr="0060794A">
              <w:rPr>
                <w:b/>
                <w:color w:val="000000"/>
              </w:rPr>
              <w:t>√</w:t>
            </w:r>
          </w:p>
        </w:tc>
        <w:tc>
          <w:tcPr>
            <w:tcW w:w="821" w:type="pct"/>
            <w:tcBorders>
              <w:bottom w:val="single" w:sz="4" w:space="0" w:color="auto"/>
            </w:tcBorders>
            <w:shd w:val="clear" w:color="000000" w:fill="FFFFFF"/>
            <w:noWrap/>
            <w:vAlign w:val="center"/>
            <w:hideMark/>
          </w:tcPr>
          <w:p w14:paraId="4217A232" w14:textId="77777777" w:rsidR="001E0437" w:rsidRPr="0060794A" w:rsidRDefault="001E0437" w:rsidP="001E0437">
            <w:pPr>
              <w:spacing w:after="0" w:line="240" w:lineRule="auto"/>
              <w:jc w:val="center"/>
              <w:rPr>
                <w:b/>
                <w:color w:val="000000"/>
              </w:rPr>
            </w:pPr>
            <w:r w:rsidRPr="0060794A">
              <w:rPr>
                <w:b/>
                <w:color w:val="000000"/>
              </w:rPr>
              <w:t>√</w:t>
            </w:r>
          </w:p>
        </w:tc>
        <w:tc>
          <w:tcPr>
            <w:tcW w:w="473" w:type="pct"/>
            <w:tcBorders>
              <w:bottom w:val="single" w:sz="4" w:space="0" w:color="auto"/>
            </w:tcBorders>
            <w:shd w:val="clear" w:color="000000" w:fill="FFFFFF"/>
            <w:noWrap/>
            <w:vAlign w:val="center"/>
            <w:hideMark/>
          </w:tcPr>
          <w:p w14:paraId="1FB623C5" w14:textId="77777777" w:rsidR="001E0437" w:rsidRPr="0060794A" w:rsidRDefault="001E0437" w:rsidP="001E0437">
            <w:pPr>
              <w:spacing w:after="0" w:line="240" w:lineRule="auto"/>
              <w:jc w:val="center"/>
              <w:rPr>
                <w:b/>
                <w:color w:val="000000"/>
              </w:rPr>
            </w:pPr>
            <w:r w:rsidRPr="0060794A">
              <w:rPr>
                <w:b/>
                <w:color w:val="000000"/>
              </w:rPr>
              <w:t>√</w:t>
            </w:r>
          </w:p>
        </w:tc>
        <w:tc>
          <w:tcPr>
            <w:tcW w:w="624" w:type="pct"/>
            <w:tcBorders>
              <w:bottom w:val="single" w:sz="4" w:space="0" w:color="auto"/>
            </w:tcBorders>
            <w:shd w:val="clear" w:color="000000" w:fill="FFFFFF"/>
            <w:noWrap/>
            <w:vAlign w:val="center"/>
            <w:hideMark/>
          </w:tcPr>
          <w:p w14:paraId="2986FA9C" w14:textId="77777777" w:rsidR="001E0437" w:rsidRPr="0060794A" w:rsidRDefault="001E0437" w:rsidP="001E0437">
            <w:pPr>
              <w:spacing w:after="0" w:line="240" w:lineRule="auto"/>
              <w:jc w:val="center"/>
              <w:rPr>
                <w:b/>
                <w:color w:val="000000"/>
              </w:rPr>
            </w:pPr>
            <w:r w:rsidRPr="0060794A">
              <w:rPr>
                <w:b/>
                <w:color w:val="000000"/>
              </w:rPr>
              <w:t>√</w:t>
            </w:r>
          </w:p>
        </w:tc>
      </w:tr>
    </w:tbl>
    <w:p w14:paraId="1BFC7719" w14:textId="77777777" w:rsidR="001E0437" w:rsidRPr="00072D37" w:rsidRDefault="001E0437" w:rsidP="001E0437">
      <w:pPr>
        <w:rPr>
          <w:rFonts w:ascii="Arial" w:hAnsi="Arial" w:cs="Arial"/>
          <w:lang w:val="en-US" w:eastAsia="en-US"/>
        </w:rPr>
      </w:pPr>
    </w:p>
    <w:p w14:paraId="3F71B068" w14:textId="77777777" w:rsidR="001E0437" w:rsidRPr="00072D37" w:rsidRDefault="001E0437" w:rsidP="001E0437">
      <w:pPr>
        <w:pStyle w:val="Heading2"/>
        <w:rPr>
          <w:rFonts w:ascii="Arial" w:hAnsi="Arial" w:cs="Arial"/>
        </w:rPr>
        <w:sectPr w:rsidR="001E0437" w:rsidRPr="00072D37" w:rsidSect="000764D6">
          <w:pgSz w:w="11900" w:h="16840"/>
          <w:pgMar w:top="1417" w:right="1134" w:bottom="1134" w:left="1134" w:header="708" w:footer="708" w:gutter="0"/>
          <w:cols w:space="708"/>
          <w:docGrid w:linePitch="360"/>
        </w:sectPr>
      </w:pPr>
    </w:p>
    <w:p w14:paraId="078953B6" w14:textId="41BE7035" w:rsidR="001E0437" w:rsidRPr="00072D37" w:rsidRDefault="001E0437" w:rsidP="001E0437">
      <w:pPr>
        <w:pStyle w:val="Heading2"/>
        <w:rPr>
          <w:rFonts w:ascii="Arial" w:hAnsi="Arial" w:cs="Arial"/>
        </w:rPr>
      </w:pPr>
      <w:bookmarkStart w:id="47" w:name="_Toc143336340"/>
      <w:r w:rsidRPr="00072D37">
        <w:rPr>
          <w:rFonts w:ascii="Arial" w:hAnsi="Arial" w:cs="Arial"/>
        </w:rPr>
        <w:lastRenderedPageBreak/>
        <w:t>Supplementary Table 3. Timings of sample collection during liver NMP</w:t>
      </w:r>
      <w:bookmarkEnd w:id="47"/>
    </w:p>
    <w:tbl>
      <w:tblPr>
        <w:tblW w:w="5000" w:type="pct"/>
        <w:tblCellMar>
          <w:left w:w="70" w:type="dxa"/>
          <w:right w:w="70" w:type="dxa"/>
        </w:tblCellMar>
        <w:tblLook w:val="04A0" w:firstRow="1" w:lastRow="0" w:firstColumn="1" w:lastColumn="0" w:noHBand="0" w:noVBand="1"/>
      </w:tblPr>
      <w:tblGrid>
        <w:gridCol w:w="707"/>
        <w:gridCol w:w="1739"/>
        <w:gridCol w:w="1739"/>
        <w:gridCol w:w="1141"/>
        <w:gridCol w:w="1340"/>
        <w:gridCol w:w="742"/>
        <w:gridCol w:w="742"/>
        <w:gridCol w:w="742"/>
        <w:gridCol w:w="740"/>
      </w:tblGrid>
      <w:tr w:rsidR="001E0437" w:rsidRPr="0060794A" w14:paraId="047AAFAE" w14:textId="77777777" w:rsidTr="001E0437">
        <w:trPr>
          <w:trHeight w:val="708"/>
        </w:trPr>
        <w:tc>
          <w:tcPr>
            <w:tcW w:w="369" w:type="pct"/>
            <w:tcBorders>
              <w:top w:val="single" w:sz="4" w:space="0" w:color="auto"/>
              <w:left w:val="nil"/>
              <w:bottom w:val="nil"/>
              <w:right w:val="nil"/>
            </w:tcBorders>
            <w:shd w:val="clear" w:color="auto" w:fill="auto"/>
            <w:noWrap/>
            <w:vAlign w:val="bottom"/>
            <w:hideMark/>
          </w:tcPr>
          <w:p w14:paraId="3A5D1CFF" w14:textId="77777777" w:rsidR="001E0437" w:rsidRPr="0060794A" w:rsidRDefault="001E0437" w:rsidP="001E0437">
            <w:pPr>
              <w:spacing w:after="0" w:line="240" w:lineRule="auto"/>
              <w:jc w:val="left"/>
              <w:rPr>
                <w:bCs w:val="0"/>
                <w:color w:val="000000"/>
                <w:lang w:val="en-US"/>
              </w:rPr>
            </w:pPr>
            <w:r w:rsidRPr="0060794A">
              <w:rPr>
                <w:bCs w:val="0"/>
                <w:color w:val="000000"/>
                <w:lang w:val="en-US"/>
              </w:rPr>
              <w:t> </w:t>
            </w:r>
          </w:p>
        </w:tc>
        <w:tc>
          <w:tcPr>
            <w:tcW w:w="905" w:type="pct"/>
            <w:tcBorders>
              <w:top w:val="single" w:sz="4" w:space="0" w:color="auto"/>
              <w:left w:val="nil"/>
              <w:bottom w:val="nil"/>
              <w:right w:val="nil"/>
            </w:tcBorders>
            <w:shd w:val="clear" w:color="auto" w:fill="auto"/>
            <w:noWrap/>
            <w:vAlign w:val="bottom"/>
            <w:hideMark/>
          </w:tcPr>
          <w:p w14:paraId="212E3F1A" w14:textId="77777777" w:rsidR="001E0437" w:rsidRPr="0060794A" w:rsidRDefault="001E0437" w:rsidP="001E0437">
            <w:pPr>
              <w:spacing w:after="0" w:line="240" w:lineRule="auto"/>
              <w:jc w:val="left"/>
              <w:rPr>
                <w:bCs w:val="0"/>
                <w:color w:val="000000"/>
                <w:lang w:val="en-US"/>
              </w:rPr>
            </w:pPr>
            <w:r w:rsidRPr="0060794A">
              <w:rPr>
                <w:bCs w:val="0"/>
                <w:color w:val="000000"/>
                <w:lang w:val="en-US"/>
              </w:rPr>
              <w:t> </w:t>
            </w:r>
          </w:p>
        </w:tc>
        <w:tc>
          <w:tcPr>
            <w:tcW w:w="905" w:type="pct"/>
            <w:tcBorders>
              <w:top w:val="single" w:sz="4" w:space="0" w:color="auto"/>
              <w:left w:val="nil"/>
              <w:bottom w:val="nil"/>
              <w:right w:val="nil"/>
            </w:tcBorders>
            <w:shd w:val="clear" w:color="auto" w:fill="auto"/>
            <w:noWrap/>
            <w:vAlign w:val="bottom"/>
            <w:hideMark/>
          </w:tcPr>
          <w:p w14:paraId="06378178" w14:textId="77777777" w:rsidR="001E0437" w:rsidRPr="0060794A" w:rsidRDefault="001E0437" w:rsidP="001E0437">
            <w:pPr>
              <w:spacing w:after="0" w:line="240" w:lineRule="auto"/>
              <w:jc w:val="left"/>
              <w:rPr>
                <w:bCs w:val="0"/>
                <w:color w:val="000000"/>
                <w:lang w:val="en-US"/>
              </w:rPr>
            </w:pPr>
            <w:r w:rsidRPr="0060794A">
              <w:rPr>
                <w:bCs w:val="0"/>
                <w:color w:val="000000"/>
                <w:lang w:val="en-US"/>
              </w:rPr>
              <w:t> </w:t>
            </w:r>
          </w:p>
        </w:tc>
        <w:tc>
          <w:tcPr>
            <w:tcW w:w="580" w:type="pct"/>
            <w:tcBorders>
              <w:top w:val="single" w:sz="4" w:space="0" w:color="auto"/>
              <w:left w:val="nil"/>
              <w:bottom w:val="single" w:sz="4" w:space="0" w:color="auto"/>
              <w:right w:val="nil"/>
            </w:tcBorders>
            <w:shd w:val="clear" w:color="auto" w:fill="auto"/>
            <w:noWrap/>
            <w:vAlign w:val="center"/>
            <w:hideMark/>
          </w:tcPr>
          <w:p w14:paraId="1A6E94D7" w14:textId="77777777" w:rsidR="001E0437" w:rsidRPr="0060794A" w:rsidRDefault="001E0437" w:rsidP="001E0437">
            <w:pPr>
              <w:spacing w:after="0" w:line="240" w:lineRule="auto"/>
              <w:jc w:val="center"/>
              <w:rPr>
                <w:b/>
                <w:color w:val="000000"/>
              </w:rPr>
            </w:pPr>
            <w:r w:rsidRPr="0060794A">
              <w:rPr>
                <w:b/>
                <w:color w:val="000000"/>
              </w:rPr>
              <w:t>Wash-out</w:t>
            </w:r>
          </w:p>
        </w:tc>
        <w:tc>
          <w:tcPr>
            <w:tcW w:w="694" w:type="pct"/>
            <w:tcBorders>
              <w:top w:val="single" w:sz="4" w:space="0" w:color="auto"/>
              <w:left w:val="nil"/>
              <w:bottom w:val="single" w:sz="4" w:space="0" w:color="auto"/>
              <w:right w:val="nil"/>
            </w:tcBorders>
            <w:shd w:val="clear" w:color="auto" w:fill="auto"/>
            <w:vAlign w:val="center"/>
            <w:hideMark/>
          </w:tcPr>
          <w:p w14:paraId="1F50B115" w14:textId="77777777" w:rsidR="001E0437" w:rsidRPr="0060794A" w:rsidRDefault="001E0437" w:rsidP="001E0437">
            <w:pPr>
              <w:spacing w:after="0" w:line="240" w:lineRule="auto"/>
              <w:jc w:val="center"/>
              <w:rPr>
                <w:b/>
                <w:color w:val="000000"/>
              </w:rPr>
            </w:pPr>
            <w:proofErr w:type="spellStart"/>
            <w:r w:rsidRPr="0060794A">
              <w:rPr>
                <w:b/>
                <w:color w:val="000000"/>
              </w:rPr>
              <w:t>Rewarming</w:t>
            </w:r>
            <w:proofErr w:type="spellEnd"/>
            <w:r w:rsidRPr="0060794A">
              <w:rPr>
                <w:b/>
                <w:color w:val="000000"/>
              </w:rPr>
              <w:t xml:space="preserve"> </w:t>
            </w:r>
            <w:proofErr w:type="spellStart"/>
            <w:r w:rsidRPr="0060794A">
              <w:rPr>
                <w:b/>
                <w:color w:val="000000"/>
              </w:rPr>
              <w:t>phase</w:t>
            </w:r>
            <w:proofErr w:type="spellEnd"/>
          </w:p>
        </w:tc>
        <w:tc>
          <w:tcPr>
            <w:tcW w:w="1547" w:type="pct"/>
            <w:gridSpan w:val="4"/>
            <w:tcBorders>
              <w:top w:val="single" w:sz="4" w:space="0" w:color="auto"/>
              <w:left w:val="nil"/>
              <w:bottom w:val="single" w:sz="4" w:space="0" w:color="auto"/>
              <w:right w:val="nil"/>
            </w:tcBorders>
            <w:shd w:val="clear" w:color="auto" w:fill="auto"/>
            <w:noWrap/>
            <w:vAlign w:val="center"/>
            <w:hideMark/>
          </w:tcPr>
          <w:p w14:paraId="75A63636" w14:textId="77777777" w:rsidR="001E0437" w:rsidRPr="0060794A" w:rsidRDefault="001E0437" w:rsidP="001E0437">
            <w:pPr>
              <w:spacing w:after="0" w:line="240" w:lineRule="auto"/>
              <w:jc w:val="center"/>
              <w:rPr>
                <w:b/>
                <w:color w:val="000000"/>
              </w:rPr>
            </w:pPr>
            <w:proofErr w:type="spellStart"/>
            <w:r w:rsidRPr="0060794A">
              <w:rPr>
                <w:b/>
                <w:color w:val="000000"/>
              </w:rPr>
              <w:t>Normothermic</w:t>
            </w:r>
            <w:proofErr w:type="spellEnd"/>
            <w:r w:rsidRPr="0060794A">
              <w:rPr>
                <w:b/>
                <w:color w:val="000000"/>
              </w:rPr>
              <w:t xml:space="preserve"> </w:t>
            </w:r>
            <w:proofErr w:type="spellStart"/>
            <w:r w:rsidRPr="0060794A">
              <w:rPr>
                <w:b/>
                <w:color w:val="000000"/>
              </w:rPr>
              <w:t>phase</w:t>
            </w:r>
            <w:proofErr w:type="spellEnd"/>
          </w:p>
        </w:tc>
      </w:tr>
      <w:tr w:rsidR="001E0437" w:rsidRPr="0060794A" w14:paraId="457C12E6" w14:textId="77777777" w:rsidTr="001E0437">
        <w:trPr>
          <w:trHeight w:val="560"/>
        </w:trPr>
        <w:tc>
          <w:tcPr>
            <w:tcW w:w="1274" w:type="pct"/>
            <w:gridSpan w:val="2"/>
            <w:tcBorders>
              <w:top w:val="nil"/>
              <w:left w:val="nil"/>
              <w:bottom w:val="single" w:sz="4" w:space="0" w:color="auto"/>
              <w:right w:val="nil"/>
            </w:tcBorders>
            <w:shd w:val="clear" w:color="auto" w:fill="auto"/>
            <w:vAlign w:val="center"/>
            <w:hideMark/>
          </w:tcPr>
          <w:p w14:paraId="71B255A3" w14:textId="77777777" w:rsidR="001E0437" w:rsidRPr="0060794A" w:rsidRDefault="001E0437" w:rsidP="001E0437">
            <w:pPr>
              <w:spacing w:after="0" w:line="240" w:lineRule="auto"/>
              <w:jc w:val="left"/>
              <w:rPr>
                <w:b/>
                <w:color w:val="000000"/>
              </w:rPr>
            </w:pPr>
            <w:r w:rsidRPr="0060794A">
              <w:rPr>
                <w:b/>
                <w:color w:val="000000"/>
              </w:rPr>
              <w:t>Sample</w:t>
            </w:r>
          </w:p>
        </w:tc>
        <w:tc>
          <w:tcPr>
            <w:tcW w:w="905" w:type="pct"/>
            <w:tcBorders>
              <w:top w:val="nil"/>
              <w:left w:val="nil"/>
              <w:bottom w:val="single" w:sz="4" w:space="0" w:color="auto"/>
              <w:right w:val="nil"/>
            </w:tcBorders>
            <w:shd w:val="clear" w:color="auto" w:fill="auto"/>
            <w:vAlign w:val="center"/>
            <w:hideMark/>
          </w:tcPr>
          <w:p w14:paraId="618C4D97" w14:textId="77777777" w:rsidR="001E0437" w:rsidRPr="0060794A" w:rsidRDefault="001E0437" w:rsidP="001E0437">
            <w:pPr>
              <w:spacing w:after="0" w:line="240" w:lineRule="auto"/>
              <w:jc w:val="left"/>
              <w:rPr>
                <w:b/>
                <w:color w:val="000000"/>
              </w:rPr>
            </w:pPr>
            <w:r w:rsidRPr="0060794A">
              <w:rPr>
                <w:b/>
                <w:color w:val="000000"/>
              </w:rPr>
              <w:t>Evaluation</w:t>
            </w:r>
          </w:p>
        </w:tc>
        <w:tc>
          <w:tcPr>
            <w:tcW w:w="580" w:type="pct"/>
            <w:tcBorders>
              <w:top w:val="nil"/>
              <w:left w:val="nil"/>
              <w:bottom w:val="single" w:sz="4" w:space="0" w:color="auto"/>
              <w:right w:val="nil"/>
            </w:tcBorders>
            <w:shd w:val="clear" w:color="auto" w:fill="auto"/>
            <w:noWrap/>
            <w:vAlign w:val="center"/>
            <w:hideMark/>
          </w:tcPr>
          <w:p w14:paraId="5E8991F7" w14:textId="77777777" w:rsidR="001E0437" w:rsidRPr="0060794A" w:rsidRDefault="001E0437" w:rsidP="001E0437">
            <w:pPr>
              <w:spacing w:after="0" w:line="240" w:lineRule="auto"/>
              <w:jc w:val="center"/>
              <w:rPr>
                <w:b/>
                <w:color w:val="000000"/>
              </w:rPr>
            </w:pPr>
            <w:r w:rsidRPr="0060794A">
              <w:rPr>
                <w:b/>
                <w:color w:val="000000"/>
              </w:rPr>
              <w:t>5 min</w:t>
            </w:r>
          </w:p>
        </w:tc>
        <w:tc>
          <w:tcPr>
            <w:tcW w:w="694" w:type="pct"/>
            <w:tcBorders>
              <w:top w:val="nil"/>
              <w:left w:val="nil"/>
              <w:bottom w:val="single" w:sz="4" w:space="0" w:color="auto"/>
              <w:right w:val="nil"/>
            </w:tcBorders>
            <w:shd w:val="clear" w:color="auto" w:fill="auto"/>
            <w:noWrap/>
            <w:vAlign w:val="center"/>
            <w:hideMark/>
          </w:tcPr>
          <w:p w14:paraId="5EB19116" w14:textId="77777777" w:rsidR="001E0437" w:rsidRPr="0060794A" w:rsidRDefault="001E0437" w:rsidP="001E0437">
            <w:pPr>
              <w:spacing w:after="0" w:line="240" w:lineRule="auto"/>
              <w:jc w:val="center"/>
              <w:rPr>
                <w:b/>
                <w:color w:val="000000"/>
              </w:rPr>
            </w:pPr>
            <w:r w:rsidRPr="0060794A">
              <w:rPr>
                <w:b/>
                <w:color w:val="000000"/>
              </w:rPr>
              <w:t>40 min</w:t>
            </w:r>
          </w:p>
        </w:tc>
        <w:tc>
          <w:tcPr>
            <w:tcW w:w="387" w:type="pct"/>
            <w:tcBorders>
              <w:top w:val="nil"/>
              <w:left w:val="nil"/>
              <w:bottom w:val="single" w:sz="4" w:space="0" w:color="auto"/>
              <w:right w:val="nil"/>
            </w:tcBorders>
            <w:shd w:val="clear" w:color="auto" w:fill="auto"/>
            <w:noWrap/>
            <w:vAlign w:val="center"/>
            <w:hideMark/>
          </w:tcPr>
          <w:p w14:paraId="5D17E975" w14:textId="77777777" w:rsidR="001E0437" w:rsidRPr="0060794A" w:rsidRDefault="001E0437" w:rsidP="001E0437">
            <w:pPr>
              <w:spacing w:after="0" w:line="240" w:lineRule="auto"/>
              <w:jc w:val="center"/>
              <w:rPr>
                <w:b/>
                <w:color w:val="000000"/>
              </w:rPr>
            </w:pPr>
            <w:r w:rsidRPr="0060794A">
              <w:rPr>
                <w:b/>
                <w:color w:val="000000"/>
              </w:rPr>
              <w:t>1 h</w:t>
            </w:r>
          </w:p>
        </w:tc>
        <w:tc>
          <w:tcPr>
            <w:tcW w:w="387" w:type="pct"/>
            <w:tcBorders>
              <w:top w:val="nil"/>
              <w:left w:val="nil"/>
              <w:bottom w:val="single" w:sz="4" w:space="0" w:color="auto"/>
              <w:right w:val="nil"/>
            </w:tcBorders>
            <w:shd w:val="clear" w:color="auto" w:fill="auto"/>
            <w:noWrap/>
            <w:vAlign w:val="center"/>
            <w:hideMark/>
          </w:tcPr>
          <w:p w14:paraId="79641FFE" w14:textId="77777777" w:rsidR="001E0437" w:rsidRPr="0060794A" w:rsidRDefault="001E0437" w:rsidP="001E0437">
            <w:pPr>
              <w:spacing w:after="0" w:line="240" w:lineRule="auto"/>
              <w:jc w:val="center"/>
              <w:rPr>
                <w:b/>
                <w:color w:val="000000"/>
              </w:rPr>
            </w:pPr>
            <w:r w:rsidRPr="0060794A">
              <w:rPr>
                <w:b/>
                <w:color w:val="000000"/>
              </w:rPr>
              <w:t>2 h</w:t>
            </w:r>
          </w:p>
        </w:tc>
        <w:tc>
          <w:tcPr>
            <w:tcW w:w="387" w:type="pct"/>
            <w:tcBorders>
              <w:top w:val="nil"/>
              <w:left w:val="nil"/>
              <w:bottom w:val="single" w:sz="4" w:space="0" w:color="auto"/>
              <w:right w:val="nil"/>
            </w:tcBorders>
            <w:shd w:val="clear" w:color="auto" w:fill="auto"/>
            <w:noWrap/>
            <w:vAlign w:val="center"/>
            <w:hideMark/>
          </w:tcPr>
          <w:p w14:paraId="112C4218" w14:textId="77777777" w:rsidR="001E0437" w:rsidRPr="0060794A" w:rsidRDefault="001E0437" w:rsidP="001E0437">
            <w:pPr>
              <w:spacing w:after="0" w:line="240" w:lineRule="auto"/>
              <w:jc w:val="center"/>
              <w:rPr>
                <w:b/>
                <w:color w:val="000000"/>
              </w:rPr>
            </w:pPr>
            <w:r w:rsidRPr="0060794A">
              <w:rPr>
                <w:b/>
                <w:color w:val="000000"/>
              </w:rPr>
              <w:t>3 h</w:t>
            </w:r>
          </w:p>
        </w:tc>
        <w:tc>
          <w:tcPr>
            <w:tcW w:w="387" w:type="pct"/>
            <w:tcBorders>
              <w:top w:val="nil"/>
              <w:left w:val="nil"/>
              <w:bottom w:val="single" w:sz="4" w:space="0" w:color="auto"/>
              <w:right w:val="nil"/>
            </w:tcBorders>
            <w:shd w:val="clear" w:color="auto" w:fill="auto"/>
            <w:noWrap/>
            <w:vAlign w:val="center"/>
            <w:hideMark/>
          </w:tcPr>
          <w:p w14:paraId="69F05F12" w14:textId="77777777" w:rsidR="001E0437" w:rsidRPr="0060794A" w:rsidRDefault="001E0437" w:rsidP="001E0437">
            <w:pPr>
              <w:spacing w:after="0" w:line="240" w:lineRule="auto"/>
              <w:jc w:val="center"/>
              <w:rPr>
                <w:b/>
                <w:color w:val="000000"/>
              </w:rPr>
            </w:pPr>
            <w:r w:rsidRPr="0060794A">
              <w:rPr>
                <w:b/>
                <w:color w:val="000000"/>
              </w:rPr>
              <w:t>4 h</w:t>
            </w:r>
          </w:p>
        </w:tc>
      </w:tr>
      <w:tr w:rsidR="001E0437" w:rsidRPr="0060794A" w14:paraId="325AA81F" w14:textId="77777777" w:rsidTr="001E0437">
        <w:trPr>
          <w:trHeight w:val="312"/>
        </w:trPr>
        <w:tc>
          <w:tcPr>
            <w:tcW w:w="1274" w:type="pct"/>
            <w:gridSpan w:val="2"/>
            <w:tcBorders>
              <w:top w:val="nil"/>
              <w:left w:val="nil"/>
              <w:bottom w:val="nil"/>
              <w:right w:val="nil"/>
            </w:tcBorders>
            <w:shd w:val="clear" w:color="auto" w:fill="auto"/>
            <w:noWrap/>
            <w:vAlign w:val="center"/>
            <w:hideMark/>
          </w:tcPr>
          <w:p w14:paraId="43EDE7D5" w14:textId="77777777" w:rsidR="001E0437" w:rsidRPr="0060794A" w:rsidRDefault="001E0437" w:rsidP="001E0437">
            <w:pPr>
              <w:spacing w:after="0" w:line="240" w:lineRule="auto"/>
              <w:jc w:val="left"/>
              <w:rPr>
                <w:b/>
                <w:color w:val="000000"/>
              </w:rPr>
            </w:pPr>
            <w:proofErr w:type="spellStart"/>
            <w:r w:rsidRPr="0060794A">
              <w:rPr>
                <w:b/>
                <w:color w:val="000000"/>
              </w:rPr>
              <w:t>Perfusate</w:t>
            </w:r>
            <w:proofErr w:type="spellEnd"/>
          </w:p>
        </w:tc>
        <w:tc>
          <w:tcPr>
            <w:tcW w:w="905" w:type="pct"/>
            <w:tcBorders>
              <w:top w:val="nil"/>
              <w:left w:val="nil"/>
              <w:bottom w:val="nil"/>
              <w:right w:val="nil"/>
            </w:tcBorders>
            <w:shd w:val="clear" w:color="auto" w:fill="auto"/>
            <w:noWrap/>
            <w:vAlign w:val="bottom"/>
            <w:hideMark/>
          </w:tcPr>
          <w:p w14:paraId="18E3ADE6" w14:textId="77777777" w:rsidR="001E0437" w:rsidRPr="0060794A" w:rsidRDefault="001E0437" w:rsidP="001E0437">
            <w:pPr>
              <w:spacing w:after="0" w:line="240" w:lineRule="auto"/>
              <w:jc w:val="left"/>
              <w:rPr>
                <w:b/>
                <w:color w:val="000000"/>
              </w:rPr>
            </w:pPr>
          </w:p>
        </w:tc>
        <w:tc>
          <w:tcPr>
            <w:tcW w:w="580" w:type="pct"/>
            <w:tcBorders>
              <w:top w:val="nil"/>
              <w:left w:val="nil"/>
              <w:bottom w:val="nil"/>
              <w:right w:val="nil"/>
            </w:tcBorders>
            <w:shd w:val="clear" w:color="auto" w:fill="auto"/>
            <w:noWrap/>
            <w:vAlign w:val="bottom"/>
            <w:hideMark/>
          </w:tcPr>
          <w:p w14:paraId="71930A06" w14:textId="77777777" w:rsidR="001E0437" w:rsidRPr="0060794A" w:rsidRDefault="001E0437" w:rsidP="001E0437">
            <w:pPr>
              <w:spacing w:after="0" w:line="240" w:lineRule="auto"/>
              <w:jc w:val="left"/>
              <w:rPr>
                <w:bCs w:val="0"/>
              </w:rPr>
            </w:pPr>
          </w:p>
        </w:tc>
        <w:tc>
          <w:tcPr>
            <w:tcW w:w="694" w:type="pct"/>
            <w:tcBorders>
              <w:top w:val="nil"/>
              <w:left w:val="nil"/>
              <w:bottom w:val="nil"/>
              <w:right w:val="nil"/>
            </w:tcBorders>
            <w:shd w:val="clear" w:color="auto" w:fill="auto"/>
            <w:noWrap/>
            <w:vAlign w:val="bottom"/>
            <w:hideMark/>
          </w:tcPr>
          <w:p w14:paraId="30F46E3C" w14:textId="77777777" w:rsidR="001E0437" w:rsidRPr="0060794A" w:rsidRDefault="001E0437" w:rsidP="001E0437">
            <w:pPr>
              <w:spacing w:after="0" w:line="240" w:lineRule="auto"/>
              <w:jc w:val="left"/>
              <w:rPr>
                <w:bCs w:val="0"/>
              </w:rPr>
            </w:pPr>
          </w:p>
        </w:tc>
        <w:tc>
          <w:tcPr>
            <w:tcW w:w="387" w:type="pct"/>
            <w:tcBorders>
              <w:top w:val="nil"/>
              <w:left w:val="nil"/>
              <w:bottom w:val="nil"/>
              <w:right w:val="nil"/>
            </w:tcBorders>
            <w:shd w:val="clear" w:color="auto" w:fill="auto"/>
            <w:noWrap/>
            <w:vAlign w:val="bottom"/>
            <w:hideMark/>
          </w:tcPr>
          <w:p w14:paraId="2C35B68F" w14:textId="77777777" w:rsidR="001E0437" w:rsidRPr="0060794A" w:rsidRDefault="001E0437" w:rsidP="001E0437">
            <w:pPr>
              <w:spacing w:after="0" w:line="240" w:lineRule="auto"/>
              <w:jc w:val="left"/>
              <w:rPr>
                <w:bCs w:val="0"/>
              </w:rPr>
            </w:pPr>
          </w:p>
        </w:tc>
        <w:tc>
          <w:tcPr>
            <w:tcW w:w="387" w:type="pct"/>
            <w:tcBorders>
              <w:top w:val="nil"/>
              <w:left w:val="nil"/>
              <w:bottom w:val="nil"/>
              <w:right w:val="nil"/>
            </w:tcBorders>
            <w:shd w:val="clear" w:color="auto" w:fill="auto"/>
            <w:noWrap/>
            <w:vAlign w:val="bottom"/>
            <w:hideMark/>
          </w:tcPr>
          <w:p w14:paraId="23A95FB9" w14:textId="77777777" w:rsidR="001E0437" w:rsidRPr="0060794A" w:rsidRDefault="001E0437" w:rsidP="001E0437">
            <w:pPr>
              <w:spacing w:after="0" w:line="240" w:lineRule="auto"/>
              <w:jc w:val="left"/>
              <w:rPr>
                <w:bCs w:val="0"/>
              </w:rPr>
            </w:pPr>
          </w:p>
        </w:tc>
        <w:tc>
          <w:tcPr>
            <w:tcW w:w="387" w:type="pct"/>
            <w:tcBorders>
              <w:top w:val="nil"/>
              <w:left w:val="nil"/>
              <w:bottom w:val="nil"/>
              <w:right w:val="nil"/>
            </w:tcBorders>
            <w:shd w:val="clear" w:color="auto" w:fill="auto"/>
            <w:noWrap/>
            <w:vAlign w:val="bottom"/>
            <w:hideMark/>
          </w:tcPr>
          <w:p w14:paraId="33C9F288" w14:textId="77777777" w:rsidR="001E0437" w:rsidRPr="0060794A" w:rsidRDefault="001E0437" w:rsidP="001E0437">
            <w:pPr>
              <w:spacing w:after="0" w:line="240" w:lineRule="auto"/>
              <w:jc w:val="left"/>
              <w:rPr>
                <w:bCs w:val="0"/>
              </w:rPr>
            </w:pPr>
          </w:p>
        </w:tc>
        <w:tc>
          <w:tcPr>
            <w:tcW w:w="387" w:type="pct"/>
            <w:tcBorders>
              <w:top w:val="nil"/>
              <w:left w:val="nil"/>
              <w:bottom w:val="nil"/>
              <w:right w:val="nil"/>
            </w:tcBorders>
            <w:shd w:val="clear" w:color="auto" w:fill="auto"/>
            <w:noWrap/>
            <w:vAlign w:val="bottom"/>
            <w:hideMark/>
          </w:tcPr>
          <w:p w14:paraId="656A1954" w14:textId="77777777" w:rsidR="001E0437" w:rsidRPr="0060794A" w:rsidRDefault="001E0437" w:rsidP="001E0437">
            <w:pPr>
              <w:spacing w:after="0" w:line="240" w:lineRule="auto"/>
              <w:jc w:val="left"/>
              <w:rPr>
                <w:bCs w:val="0"/>
              </w:rPr>
            </w:pPr>
          </w:p>
        </w:tc>
      </w:tr>
      <w:tr w:rsidR="001E0437" w:rsidRPr="0060794A" w14:paraId="3BBF0137" w14:textId="77777777" w:rsidTr="001E0437">
        <w:trPr>
          <w:trHeight w:val="312"/>
        </w:trPr>
        <w:tc>
          <w:tcPr>
            <w:tcW w:w="369" w:type="pct"/>
            <w:tcBorders>
              <w:top w:val="nil"/>
              <w:left w:val="nil"/>
              <w:bottom w:val="nil"/>
              <w:right w:val="nil"/>
            </w:tcBorders>
            <w:shd w:val="clear" w:color="auto" w:fill="auto"/>
            <w:noWrap/>
            <w:vAlign w:val="bottom"/>
            <w:hideMark/>
          </w:tcPr>
          <w:p w14:paraId="5AF089B9" w14:textId="77777777" w:rsidR="001E0437" w:rsidRPr="0060794A" w:rsidRDefault="001E0437" w:rsidP="001E0437">
            <w:pPr>
              <w:spacing w:after="0" w:line="240" w:lineRule="auto"/>
              <w:jc w:val="left"/>
              <w:rPr>
                <w:bCs w:val="0"/>
              </w:rPr>
            </w:pPr>
          </w:p>
        </w:tc>
        <w:tc>
          <w:tcPr>
            <w:tcW w:w="905" w:type="pct"/>
            <w:tcBorders>
              <w:top w:val="nil"/>
              <w:left w:val="nil"/>
              <w:bottom w:val="nil"/>
              <w:right w:val="nil"/>
            </w:tcBorders>
            <w:shd w:val="clear" w:color="auto" w:fill="auto"/>
            <w:vAlign w:val="center"/>
            <w:hideMark/>
          </w:tcPr>
          <w:p w14:paraId="58E05D97" w14:textId="77777777" w:rsidR="001E0437" w:rsidRPr="0060794A" w:rsidRDefault="001E0437" w:rsidP="001E0437">
            <w:pPr>
              <w:spacing w:after="0" w:line="240" w:lineRule="auto"/>
              <w:jc w:val="left"/>
              <w:rPr>
                <w:bCs w:val="0"/>
                <w:color w:val="000000"/>
              </w:rPr>
            </w:pPr>
            <w:r w:rsidRPr="0060794A">
              <w:rPr>
                <w:bCs w:val="0"/>
                <w:color w:val="000000"/>
              </w:rPr>
              <w:t xml:space="preserve">0.5 ml </w:t>
            </w:r>
            <w:proofErr w:type="spellStart"/>
            <w:r w:rsidRPr="0060794A">
              <w:rPr>
                <w:bCs w:val="0"/>
                <w:color w:val="000000"/>
              </w:rPr>
              <w:t>pre-liver</w:t>
            </w:r>
            <w:proofErr w:type="spellEnd"/>
          </w:p>
        </w:tc>
        <w:tc>
          <w:tcPr>
            <w:tcW w:w="905" w:type="pct"/>
            <w:tcBorders>
              <w:top w:val="nil"/>
              <w:left w:val="nil"/>
              <w:bottom w:val="nil"/>
              <w:right w:val="nil"/>
            </w:tcBorders>
            <w:shd w:val="clear" w:color="auto" w:fill="auto"/>
            <w:vAlign w:val="center"/>
            <w:hideMark/>
          </w:tcPr>
          <w:p w14:paraId="32734C76" w14:textId="77777777" w:rsidR="001E0437" w:rsidRPr="0060794A" w:rsidRDefault="001E0437" w:rsidP="001E0437">
            <w:pPr>
              <w:spacing w:after="0" w:line="240" w:lineRule="auto"/>
              <w:jc w:val="left"/>
              <w:rPr>
                <w:bCs w:val="0"/>
                <w:color w:val="000000"/>
              </w:rPr>
            </w:pPr>
            <w:r w:rsidRPr="0060794A">
              <w:rPr>
                <w:bCs w:val="0"/>
                <w:color w:val="000000"/>
              </w:rPr>
              <w:t xml:space="preserve">Gas </w:t>
            </w:r>
            <w:proofErr w:type="spellStart"/>
            <w:r w:rsidRPr="0060794A">
              <w:rPr>
                <w:bCs w:val="0"/>
                <w:color w:val="000000"/>
              </w:rPr>
              <w:t>analysis</w:t>
            </w:r>
            <w:proofErr w:type="spellEnd"/>
          </w:p>
        </w:tc>
        <w:tc>
          <w:tcPr>
            <w:tcW w:w="580" w:type="pct"/>
            <w:tcBorders>
              <w:top w:val="nil"/>
              <w:left w:val="nil"/>
              <w:bottom w:val="nil"/>
              <w:right w:val="nil"/>
            </w:tcBorders>
            <w:shd w:val="clear" w:color="auto" w:fill="auto"/>
            <w:noWrap/>
            <w:vAlign w:val="center"/>
            <w:hideMark/>
          </w:tcPr>
          <w:p w14:paraId="0C492635" w14:textId="77777777" w:rsidR="001E0437" w:rsidRPr="0060794A" w:rsidRDefault="001E0437" w:rsidP="001E0437">
            <w:pPr>
              <w:spacing w:after="0" w:line="240" w:lineRule="auto"/>
              <w:jc w:val="left"/>
              <w:rPr>
                <w:bCs w:val="0"/>
                <w:color w:val="000000"/>
              </w:rPr>
            </w:pPr>
          </w:p>
        </w:tc>
        <w:tc>
          <w:tcPr>
            <w:tcW w:w="694" w:type="pct"/>
            <w:tcBorders>
              <w:top w:val="nil"/>
              <w:left w:val="nil"/>
              <w:bottom w:val="nil"/>
              <w:right w:val="nil"/>
            </w:tcBorders>
            <w:shd w:val="clear" w:color="000000" w:fill="FFFFFF"/>
            <w:noWrap/>
            <w:vAlign w:val="bottom"/>
            <w:hideMark/>
          </w:tcPr>
          <w:p w14:paraId="6D4B82D6"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04E745CE"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376D9F44"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0383CCB9"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72518096" w14:textId="77777777" w:rsidR="001E0437" w:rsidRPr="0060794A" w:rsidRDefault="001E0437" w:rsidP="001E0437">
            <w:pPr>
              <w:spacing w:after="0" w:line="240" w:lineRule="auto"/>
              <w:jc w:val="center"/>
              <w:rPr>
                <w:b/>
                <w:color w:val="000000"/>
              </w:rPr>
            </w:pPr>
            <w:r w:rsidRPr="0060794A">
              <w:rPr>
                <w:b/>
                <w:color w:val="000000"/>
              </w:rPr>
              <w:t>√</w:t>
            </w:r>
          </w:p>
        </w:tc>
      </w:tr>
      <w:tr w:rsidR="001E0437" w:rsidRPr="0060794A" w14:paraId="57C9EC54" w14:textId="77777777" w:rsidTr="001E0437">
        <w:trPr>
          <w:trHeight w:val="312"/>
        </w:trPr>
        <w:tc>
          <w:tcPr>
            <w:tcW w:w="369" w:type="pct"/>
            <w:tcBorders>
              <w:top w:val="nil"/>
              <w:left w:val="nil"/>
              <w:bottom w:val="nil"/>
              <w:right w:val="nil"/>
            </w:tcBorders>
            <w:shd w:val="clear" w:color="auto" w:fill="auto"/>
            <w:noWrap/>
            <w:vAlign w:val="bottom"/>
            <w:hideMark/>
          </w:tcPr>
          <w:p w14:paraId="299E653C" w14:textId="77777777" w:rsidR="001E0437" w:rsidRPr="0060794A" w:rsidRDefault="001E0437" w:rsidP="001E0437">
            <w:pPr>
              <w:spacing w:after="0" w:line="240" w:lineRule="auto"/>
              <w:jc w:val="center"/>
              <w:rPr>
                <w:b/>
                <w:color w:val="000000"/>
              </w:rPr>
            </w:pPr>
          </w:p>
        </w:tc>
        <w:tc>
          <w:tcPr>
            <w:tcW w:w="905" w:type="pct"/>
            <w:tcBorders>
              <w:top w:val="nil"/>
              <w:left w:val="nil"/>
              <w:bottom w:val="nil"/>
              <w:right w:val="nil"/>
            </w:tcBorders>
            <w:shd w:val="clear" w:color="auto" w:fill="auto"/>
            <w:vAlign w:val="center"/>
            <w:hideMark/>
          </w:tcPr>
          <w:p w14:paraId="3C9E88DC" w14:textId="77777777" w:rsidR="001E0437" w:rsidRPr="0060794A" w:rsidRDefault="001E0437" w:rsidP="001E0437">
            <w:pPr>
              <w:spacing w:after="0" w:line="240" w:lineRule="auto"/>
              <w:jc w:val="left"/>
              <w:rPr>
                <w:bCs w:val="0"/>
                <w:color w:val="000000"/>
              </w:rPr>
            </w:pPr>
            <w:r w:rsidRPr="0060794A">
              <w:rPr>
                <w:bCs w:val="0"/>
                <w:color w:val="000000"/>
              </w:rPr>
              <w:t>0.5 ml post-</w:t>
            </w:r>
            <w:proofErr w:type="spellStart"/>
            <w:r w:rsidRPr="0060794A">
              <w:rPr>
                <w:bCs w:val="0"/>
                <w:color w:val="000000"/>
              </w:rPr>
              <w:t>liver</w:t>
            </w:r>
            <w:proofErr w:type="spellEnd"/>
            <w:r w:rsidRPr="0060794A">
              <w:rPr>
                <w:bCs w:val="0"/>
                <w:color w:val="000000"/>
              </w:rPr>
              <w:t xml:space="preserve"> </w:t>
            </w:r>
          </w:p>
        </w:tc>
        <w:tc>
          <w:tcPr>
            <w:tcW w:w="905" w:type="pct"/>
            <w:tcBorders>
              <w:top w:val="nil"/>
              <w:left w:val="nil"/>
              <w:bottom w:val="nil"/>
              <w:right w:val="nil"/>
            </w:tcBorders>
            <w:shd w:val="clear" w:color="auto" w:fill="auto"/>
            <w:vAlign w:val="center"/>
            <w:hideMark/>
          </w:tcPr>
          <w:p w14:paraId="28F54680" w14:textId="77777777" w:rsidR="001E0437" w:rsidRPr="0060794A" w:rsidRDefault="001E0437" w:rsidP="001E0437">
            <w:pPr>
              <w:spacing w:after="0" w:line="240" w:lineRule="auto"/>
              <w:jc w:val="left"/>
              <w:rPr>
                <w:bCs w:val="0"/>
                <w:color w:val="000000"/>
              </w:rPr>
            </w:pPr>
            <w:r w:rsidRPr="0060794A">
              <w:rPr>
                <w:bCs w:val="0"/>
                <w:color w:val="000000"/>
              </w:rPr>
              <w:t xml:space="preserve">Gas </w:t>
            </w:r>
            <w:proofErr w:type="spellStart"/>
            <w:r w:rsidRPr="0060794A">
              <w:rPr>
                <w:bCs w:val="0"/>
                <w:color w:val="000000"/>
              </w:rPr>
              <w:t>analysis</w:t>
            </w:r>
            <w:proofErr w:type="spellEnd"/>
          </w:p>
        </w:tc>
        <w:tc>
          <w:tcPr>
            <w:tcW w:w="580" w:type="pct"/>
            <w:tcBorders>
              <w:top w:val="nil"/>
              <w:left w:val="nil"/>
              <w:bottom w:val="nil"/>
              <w:right w:val="nil"/>
            </w:tcBorders>
            <w:shd w:val="clear" w:color="000000" w:fill="FFFFFF"/>
            <w:noWrap/>
            <w:vAlign w:val="bottom"/>
            <w:hideMark/>
          </w:tcPr>
          <w:p w14:paraId="649E6986" w14:textId="77777777" w:rsidR="001E0437" w:rsidRPr="0060794A" w:rsidRDefault="001E0437" w:rsidP="001E0437">
            <w:pPr>
              <w:spacing w:after="0" w:line="240" w:lineRule="auto"/>
              <w:jc w:val="center"/>
              <w:rPr>
                <w:b/>
                <w:color w:val="000000"/>
              </w:rPr>
            </w:pPr>
            <w:r w:rsidRPr="0060794A">
              <w:rPr>
                <w:b/>
                <w:color w:val="000000"/>
              </w:rPr>
              <w:t>√</w:t>
            </w:r>
          </w:p>
        </w:tc>
        <w:tc>
          <w:tcPr>
            <w:tcW w:w="694" w:type="pct"/>
            <w:tcBorders>
              <w:top w:val="nil"/>
              <w:left w:val="nil"/>
              <w:bottom w:val="nil"/>
              <w:right w:val="nil"/>
            </w:tcBorders>
            <w:shd w:val="clear" w:color="000000" w:fill="FFFFFF"/>
            <w:noWrap/>
            <w:vAlign w:val="bottom"/>
            <w:hideMark/>
          </w:tcPr>
          <w:p w14:paraId="2C432F65"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287DF6E1"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0374F0A1"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384010A1"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0CCAB68D" w14:textId="77777777" w:rsidR="001E0437" w:rsidRPr="0060794A" w:rsidRDefault="001E0437" w:rsidP="001E0437">
            <w:pPr>
              <w:spacing w:after="0" w:line="240" w:lineRule="auto"/>
              <w:jc w:val="center"/>
              <w:rPr>
                <w:b/>
                <w:color w:val="000000"/>
              </w:rPr>
            </w:pPr>
            <w:r w:rsidRPr="0060794A">
              <w:rPr>
                <w:b/>
                <w:color w:val="000000"/>
              </w:rPr>
              <w:t>√</w:t>
            </w:r>
          </w:p>
        </w:tc>
      </w:tr>
      <w:tr w:rsidR="001E0437" w:rsidRPr="0060794A" w14:paraId="1B18F18D" w14:textId="77777777" w:rsidTr="001E0437">
        <w:trPr>
          <w:trHeight w:val="636"/>
        </w:trPr>
        <w:tc>
          <w:tcPr>
            <w:tcW w:w="369" w:type="pct"/>
            <w:tcBorders>
              <w:top w:val="nil"/>
              <w:left w:val="nil"/>
              <w:bottom w:val="nil"/>
              <w:right w:val="nil"/>
            </w:tcBorders>
            <w:shd w:val="clear" w:color="auto" w:fill="auto"/>
            <w:noWrap/>
            <w:vAlign w:val="bottom"/>
            <w:hideMark/>
          </w:tcPr>
          <w:p w14:paraId="787C39B0" w14:textId="77777777" w:rsidR="001E0437" w:rsidRPr="0060794A" w:rsidRDefault="001E0437" w:rsidP="001E0437">
            <w:pPr>
              <w:spacing w:after="0" w:line="240" w:lineRule="auto"/>
              <w:jc w:val="center"/>
              <w:rPr>
                <w:b/>
                <w:color w:val="000000"/>
              </w:rPr>
            </w:pPr>
          </w:p>
        </w:tc>
        <w:tc>
          <w:tcPr>
            <w:tcW w:w="905" w:type="pct"/>
            <w:tcBorders>
              <w:top w:val="nil"/>
              <w:left w:val="nil"/>
              <w:bottom w:val="nil"/>
              <w:right w:val="nil"/>
            </w:tcBorders>
            <w:shd w:val="clear" w:color="auto" w:fill="auto"/>
            <w:vAlign w:val="center"/>
            <w:hideMark/>
          </w:tcPr>
          <w:p w14:paraId="50BE19B6" w14:textId="77777777" w:rsidR="001E0437" w:rsidRPr="0060794A" w:rsidRDefault="001E0437" w:rsidP="001E0437">
            <w:pPr>
              <w:spacing w:after="0" w:line="240" w:lineRule="auto"/>
              <w:jc w:val="left"/>
              <w:rPr>
                <w:bCs w:val="0"/>
                <w:color w:val="000000"/>
              </w:rPr>
            </w:pPr>
            <w:r w:rsidRPr="0060794A">
              <w:rPr>
                <w:bCs w:val="0"/>
                <w:color w:val="000000"/>
              </w:rPr>
              <w:t xml:space="preserve">4 ml </w:t>
            </w:r>
            <w:proofErr w:type="spellStart"/>
            <w:r w:rsidRPr="0060794A">
              <w:rPr>
                <w:bCs w:val="0"/>
                <w:color w:val="000000"/>
              </w:rPr>
              <w:t>pre-liver</w:t>
            </w:r>
            <w:proofErr w:type="spellEnd"/>
          </w:p>
        </w:tc>
        <w:tc>
          <w:tcPr>
            <w:tcW w:w="905" w:type="pct"/>
            <w:tcBorders>
              <w:top w:val="nil"/>
              <w:left w:val="nil"/>
              <w:bottom w:val="nil"/>
              <w:right w:val="nil"/>
            </w:tcBorders>
            <w:shd w:val="clear" w:color="auto" w:fill="auto"/>
            <w:vAlign w:val="center"/>
            <w:hideMark/>
          </w:tcPr>
          <w:p w14:paraId="27ED2FDD" w14:textId="77777777" w:rsidR="001E0437" w:rsidRPr="0060794A" w:rsidRDefault="001E0437" w:rsidP="001E0437">
            <w:pPr>
              <w:spacing w:after="0" w:line="240" w:lineRule="auto"/>
              <w:jc w:val="left"/>
              <w:rPr>
                <w:bCs w:val="0"/>
                <w:color w:val="000000"/>
              </w:rPr>
            </w:pPr>
            <w:proofErr w:type="spellStart"/>
            <w:r w:rsidRPr="0060794A">
              <w:rPr>
                <w:bCs w:val="0"/>
                <w:color w:val="000000"/>
              </w:rPr>
              <w:t>Bio-molecular</w:t>
            </w:r>
            <w:proofErr w:type="spellEnd"/>
            <w:r w:rsidRPr="0060794A">
              <w:rPr>
                <w:bCs w:val="0"/>
                <w:color w:val="000000"/>
              </w:rPr>
              <w:t xml:space="preserve"> </w:t>
            </w:r>
            <w:proofErr w:type="spellStart"/>
            <w:r w:rsidRPr="0060794A">
              <w:rPr>
                <w:bCs w:val="0"/>
                <w:color w:val="000000"/>
              </w:rPr>
              <w:t>analysis</w:t>
            </w:r>
            <w:proofErr w:type="spellEnd"/>
          </w:p>
        </w:tc>
        <w:tc>
          <w:tcPr>
            <w:tcW w:w="580" w:type="pct"/>
            <w:tcBorders>
              <w:top w:val="nil"/>
              <w:left w:val="nil"/>
              <w:bottom w:val="nil"/>
              <w:right w:val="nil"/>
            </w:tcBorders>
            <w:shd w:val="clear" w:color="000000" w:fill="FFFFFF"/>
            <w:noWrap/>
            <w:vAlign w:val="bottom"/>
            <w:hideMark/>
          </w:tcPr>
          <w:p w14:paraId="5151F578" w14:textId="77777777" w:rsidR="001E0437" w:rsidRPr="0060794A" w:rsidRDefault="001E0437" w:rsidP="001E0437">
            <w:pPr>
              <w:spacing w:after="0" w:line="240" w:lineRule="auto"/>
              <w:jc w:val="center"/>
              <w:rPr>
                <w:b/>
                <w:color w:val="000000"/>
              </w:rPr>
            </w:pPr>
            <w:r w:rsidRPr="0060794A">
              <w:rPr>
                <w:b/>
                <w:color w:val="000000"/>
              </w:rPr>
              <w:t>√</w:t>
            </w:r>
          </w:p>
        </w:tc>
        <w:tc>
          <w:tcPr>
            <w:tcW w:w="694" w:type="pct"/>
            <w:tcBorders>
              <w:top w:val="nil"/>
              <w:left w:val="nil"/>
              <w:bottom w:val="nil"/>
              <w:right w:val="nil"/>
            </w:tcBorders>
            <w:shd w:val="clear" w:color="000000" w:fill="FFFFFF"/>
            <w:noWrap/>
            <w:vAlign w:val="bottom"/>
            <w:hideMark/>
          </w:tcPr>
          <w:p w14:paraId="5042E1AC"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30D85E99"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77B1E89F"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7F36222E"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5ACA39D1" w14:textId="77777777" w:rsidR="001E0437" w:rsidRPr="0060794A" w:rsidRDefault="001E0437" w:rsidP="001E0437">
            <w:pPr>
              <w:spacing w:after="0" w:line="240" w:lineRule="auto"/>
              <w:jc w:val="center"/>
              <w:rPr>
                <w:b/>
                <w:color w:val="000000"/>
              </w:rPr>
            </w:pPr>
            <w:r w:rsidRPr="0060794A">
              <w:rPr>
                <w:b/>
                <w:color w:val="000000"/>
              </w:rPr>
              <w:t>√</w:t>
            </w:r>
          </w:p>
        </w:tc>
      </w:tr>
      <w:tr w:rsidR="001E0437" w:rsidRPr="0060794A" w14:paraId="747F689A" w14:textId="77777777" w:rsidTr="001E0437">
        <w:trPr>
          <w:trHeight w:val="624"/>
        </w:trPr>
        <w:tc>
          <w:tcPr>
            <w:tcW w:w="369" w:type="pct"/>
            <w:tcBorders>
              <w:top w:val="nil"/>
              <w:left w:val="nil"/>
              <w:bottom w:val="nil"/>
              <w:right w:val="nil"/>
            </w:tcBorders>
            <w:shd w:val="clear" w:color="auto" w:fill="auto"/>
            <w:noWrap/>
            <w:vAlign w:val="bottom"/>
            <w:hideMark/>
          </w:tcPr>
          <w:p w14:paraId="26F773E8" w14:textId="77777777" w:rsidR="001E0437" w:rsidRPr="0060794A" w:rsidRDefault="001E0437" w:rsidP="001E0437">
            <w:pPr>
              <w:spacing w:after="0" w:line="240" w:lineRule="auto"/>
              <w:jc w:val="center"/>
              <w:rPr>
                <w:b/>
                <w:color w:val="000000"/>
              </w:rPr>
            </w:pPr>
          </w:p>
        </w:tc>
        <w:tc>
          <w:tcPr>
            <w:tcW w:w="905" w:type="pct"/>
            <w:tcBorders>
              <w:top w:val="nil"/>
              <w:left w:val="nil"/>
              <w:bottom w:val="nil"/>
              <w:right w:val="nil"/>
            </w:tcBorders>
            <w:shd w:val="clear" w:color="auto" w:fill="auto"/>
            <w:vAlign w:val="center"/>
            <w:hideMark/>
          </w:tcPr>
          <w:p w14:paraId="7E266245" w14:textId="77777777" w:rsidR="001E0437" w:rsidRPr="0060794A" w:rsidRDefault="001E0437" w:rsidP="001E0437">
            <w:pPr>
              <w:spacing w:after="0" w:line="240" w:lineRule="auto"/>
              <w:jc w:val="left"/>
              <w:rPr>
                <w:bCs w:val="0"/>
                <w:color w:val="000000"/>
              </w:rPr>
            </w:pPr>
            <w:r w:rsidRPr="0060794A">
              <w:rPr>
                <w:bCs w:val="0"/>
                <w:color w:val="000000"/>
              </w:rPr>
              <w:t>4 ml post-</w:t>
            </w:r>
            <w:proofErr w:type="spellStart"/>
            <w:r w:rsidRPr="0060794A">
              <w:rPr>
                <w:bCs w:val="0"/>
                <w:color w:val="000000"/>
              </w:rPr>
              <w:t>liver</w:t>
            </w:r>
            <w:proofErr w:type="spellEnd"/>
          </w:p>
        </w:tc>
        <w:tc>
          <w:tcPr>
            <w:tcW w:w="905" w:type="pct"/>
            <w:tcBorders>
              <w:top w:val="nil"/>
              <w:left w:val="nil"/>
              <w:bottom w:val="nil"/>
              <w:right w:val="nil"/>
            </w:tcBorders>
            <w:shd w:val="clear" w:color="auto" w:fill="auto"/>
            <w:vAlign w:val="center"/>
            <w:hideMark/>
          </w:tcPr>
          <w:p w14:paraId="2194ECDA" w14:textId="77777777" w:rsidR="001E0437" w:rsidRPr="0060794A" w:rsidRDefault="001E0437" w:rsidP="001E0437">
            <w:pPr>
              <w:spacing w:after="0" w:line="240" w:lineRule="auto"/>
              <w:jc w:val="left"/>
              <w:rPr>
                <w:bCs w:val="0"/>
                <w:color w:val="000000"/>
              </w:rPr>
            </w:pPr>
            <w:proofErr w:type="spellStart"/>
            <w:r w:rsidRPr="0060794A">
              <w:rPr>
                <w:bCs w:val="0"/>
                <w:color w:val="000000"/>
              </w:rPr>
              <w:t>Bio-molecular</w:t>
            </w:r>
            <w:proofErr w:type="spellEnd"/>
            <w:r w:rsidRPr="0060794A">
              <w:rPr>
                <w:bCs w:val="0"/>
                <w:color w:val="000000"/>
              </w:rPr>
              <w:t xml:space="preserve"> </w:t>
            </w:r>
            <w:proofErr w:type="spellStart"/>
            <w:r w:rsidRPr="0060794A">
              <w:rPr>
                <w:bCs w:val="0"/>
                <w:color w:val="000000"/>
              </w:rPr>
              <w:t>analysis</w:t>
            </w:r>
            <w:proofErr w:type="spellEnd"/>
          </w:p>
        </w:tc>
        <w:tc>
          <w:tcPr>
            <w:tcW w:w="580" w:type="pct"/>
            <w:tcBorders>
              <w:top w:val="nil"/>
              <w:left w:val="nil"/>
              <w:bottom w:val="nil"/>
              <w:right w:val="nil"/>
            </w:tcBorders>
            <w:shd w:val="clear" w:color="000000" w:fill="FFFFFF"/>
            <w:noWrap/>
            <w:vAlign w:val="bottom"/>
            <w:hideMark/>
          </w:tcPr>
          <w:p w14:paraId="694F1D5E" w14:textId="77777777" w:rsidR="001E0437" w:rsidRPr="0060794A" w:rsidRDefault="001E0437" w:rsidP="001E0437">
            <w:pPr>
              <w:spacing w:after="0" w:line="240" w:lineRule="auto"/>
              <w:jc w:val="center"/>
              <w:rPr>
                <w:b/>
                <w:color w:val="000000"/>
              </w:rPr>
            </w:pPr>
            <w:r w:rsidRPr="0060794A">
              <w:rPr>
                <w:b/>
                <w:color w:val="000000"/>
              </w:rPr>
              <w:t>√</w:t>
            </w:r>
          </w:p>
        </w:tc>
        <w:tc>
          <w:tcPr>
            <w:tcW w:w="694" w:type="pct"/>
            <w:tcBorders>
              <w:top w:val="nil"/>
              <w:left w:val="nil"/>
              <w:bottom w:val="nil"/>
              <w:right w:val="nil"/>
            </w:tcBorders>
            <w:shd w:val="clear" w:color="000000" w:fill="FFFFFF"/>
            <w:noWrap/>
            <w:vAlign w:val="bottom"/>
            <w:hideMark/>
          </w:tcPr>
          <w:p w14:paraId="1B268581"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2FDC5DFC"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340E6843"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27C29268"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6E775EDE" w14:textId="77777777" w:rsidR="001E0437" w:rsidRPr="0060794A" w:rsidRDefault="001E0437" w:rsidP="001E0437">
            <w:pPr>
              <w:spacing w:after="0" w:line="240" w:lineRule="auto"/>
              <w:jc w:val="center"/>
              <w:rPr>
                <w:b/>
                <w:color w:val="000000"/>
              </w:rPr>
            </w:pPr>
            <w:r w:rsidRPr="0060794A">
              <w:rPr>
                <w:b/>
                <w:color w:val="000000"/>
              </w:rPr>
              <w:t>√</w:t>
            </w:r>
          </w:p>
        </w:tc>
      </w:tr>
      <w:tr w:rsidR="001E0437" w:rsidRPr="0060794A" w14:paraId="4B5D933F" w14:textId="77777777" w:rsidTr="001E0437">
        <w:trPr>
          <w:trHeight w:val="312"/>
        </w:trPr>
        <w:tc>
          <w:tcPr>
            <w:tcW w:w="369" w:type="pct"/>
            <w:tcBorders>
              <w:top w:val="nil"/>
              <w:left w:val="nil"/>
              <w:bottom w:val="nil"/>
              <w:right w:val="nil"/>
            </w:tcBorders>
            <w:shd w:val="clear" w:color="auto" w:fill="auto"/>
            <w:noWrap/>
            <w:vAlign w:val="bottom"/>
            <w:hideMark/>
          </w:tcPr>
          <w:p w14:paraId="56DCC2D2" w14:textId="77777777" w:rsidR="001E0437" w:rsidRPr="0060794A" w:rsidRDefault="001E0437" w:rsidP="001E0437">
            <w:pPr>
              <w:spacing w:after="0" w:line="240" w:lineRule="auto"/>
              <w:jc w:val="center"/>
              <w:rPr>
                <w:b/>
                <w:color w:val="000000"/>
              </w:rPr>
            </w:pPr>
          </w:p>
        </w:tc>
        <w:tc>
          <w:tcPr>
            <w:tcW w:w="905" w:type="pct"/>
            <w:tcBorders>
              <w:top w:val="nil"/>
              <w:left w:val="nil"/>
              <w:bottom w:val="nil"/>
              <w:right w:val="nil"/>
            </w:tcBorders>
            <w:shd w:val="clear" w:color="auto" w:fill="auto"/>
            <w:vAlign w:val="center"/>
            <w:hideMark/>
          </w:tcPr>
          <w:p w14:paraId="6E2ADB43" w14:textId="77777777" w:rsidR="001E0437" w:rsidRPr="0060794A" w:rsidRDefault="001E0437" w:rsidP="001E0437">
            <w:pPr>
              <w:spacing w:after="0" w:line="240" w:lineRule="auto"/>
              <w:jc w:val="left"/>
              <w:rPr>
                <w:bCs w:val="0"/>
                <w:color w:val="000000"/>
              </w:rPr>
            </w:pPr>
            <w:r w:rsidRPr="0060794A">
              <w:rPr>
                <w:bCs w:val="0"/>
                <w:color w:val="000000"/>
              </w:rPr>
              <w:t>3 ml post-</w:t>
            </w:r>
            <w:proofErr w:type="spellStart"/>
            <w:r w:rsidRPr="0060794A">
              <w:rPr>
                <w:bCs w:val="0"/>
                <w:color w:val="000000"/>
              </w:rPr>
              <w:t>liver</w:t>
            </w:r>
            <w:proofErr w:type="spellEnd"/>
          </w:p>
        </w:tc>
        <w:tc>
          <w:tcPr>
            <w:tcW w:w="905" w:type="pct"/>
            <w:tcBorders>
              <w:top w:val="nil"/>
              <w:left w:val="nil"/>
              <w:bottom w:val="nil"/>
              <w:right w:val="nil"/>
            </w:tcBorders>
            <w:shd w:val="clear" w:color="auto" w:fill="auto"/>
            <w:vAlign w:val="center"/>
            <w:hideMark/>
          </w:tcPr>
          <w:p w14:paraId="7D2A8588" w14:textId="77777777" w:rsidR="001E0437" w:rsidRPr="0060794A" w:rsidRDefault="001E0437" w:rsidP="001E0437">
            <w:pPr>
              <w:spacing w:after="0" w:line="240" w:lineRule="auto"/>
              <w:jc w:val="left"/>
              <w:rPr>
                <w:bCs w:val="0"/>
                <w:color w:val="000000"/>
              </w:rPr>
            </w:pPr>
            <w:proofErr w:type="spellStart"/>
            <w:r w:rsidRPr="0060794A">
              <w:rPr>
                <w:bCs w:val="0"/>
                <w:color w:val="000000"/>
              </w:rPr>
              <w:t>Biochemical</w:t>
            </w:r>
            <w:proofErr w:type="spellEnd"/>
            <w:r w:rsidRPr="0060794A">
              <w:rPr>
                <w:bCs w:val="0"/>
                <w:color w:val="000000"/>
              </w:rPr>
              <w:t xml:space="preserve"> </w:t>
            </w:r>
            <w:proofErr w:type="spellStart"/>
            <w:r w:rsidRPr="0060794A">
              <w:rPr>
                <w:bCs w:val="0"/>
                <w:color w:val="000000"/>
              </w:rPr>
              <w:t>tests</w:t>
            </w:r>
            <w:proofErr w:type="spellEnd"/>
          </w:p>
        </w:tc>
        <w:tc>
          <w:tcPr>
            <w:tcW w:w="580" w:type="pct"/>
            <w:tcBorders>
              <w:top w:val="nil"/>
              <w:left w:val="nil"/>
              <w:bottom w:val="nil"/>
              <w:right w:val="nil"/>
            </w:tcBorders>
            <w:shd w:val="clear" w:color="000000" w:fill="FFFFFF"/>
            <w:noWrap/>
            <w:vAlign w:val="bottom"/>
            <w:hideMark/>
          </w:tcPr>
          <w:p w14:paraId="6351BDB2" w14:textId="77777777" w:rsidR="001E0437" w:rsidRPr="0060794A" w:rsidRDefault="001E0437" w:rsidP="001E0437">
            <w:pPr>
              <w:spacing w:after="0" w:line="240" w:lineRule="auto"/>
              <w:jc w:val="center"/>
              <w:rPr>
                <w:b/>
                <w:color w:val="000000"/>
              </w:rPr>
            </w:pPr>
            <w:r w:rsidRPr="0060794A">
              <w:rPr>
                <w:b/>
                <w:color w:val="000000"/>
              </w:rPr>
              <w:t>√</w:t>
            </w:r>
          </w:p>
        </w:tc>
        <w:tc>
          <w:tcPr>
            <w:tcW w:w="694" w:type="pct"/>
            <w:tcBorders>
              <w:top w:val="nil"/>
              <w:left w:val="nil"/>
              <w:bottom w:val="nil"/>
              <w:right w:val="nil"/>
            </w:tcBorders>
            <w:shd w:val="clear" w:color="000000" w:fill="FFFFFF"/>
            <w:noWrap/>
            <w:vAlign w:val="bottom"/>
            <w:hideMark/>
          </w:tcPr>
          <w:p w14:paraId="51E74947"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30F30D0C"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auto" w:fill="auto"/>
            <w:noWrap/>
            <w:vAlign w:val="center"/>
            <w:hideMark/>
          </w:tcPr>
          <w:p w14:paraId="7748608B" w14:textId="77777777" w:rsidR="001E0437" w:rsidRPr="0060794A" w:rsidRDefault="001E0437" w:rsidP="001E0437">
            <w:pPr>
              <w:spacing w:after="0" w:line="240" w:lineRule="auto"/>
              <w:jc w:val="center"/>
              <w:rPr>
                <w:b/>
                <w:color w:val="000000"/>
              </w:rPr>
            </w:pPr>
          </w:p>
        </w:tc>
        <w:tc>
          <w:tcPr>
            <w:tcW w:w="387" w:type="pct"/>
            <w:tcBorders>
              <w:top w:val="nil"/>
              <w:left w:val="nil"/>
              <w:bottom w:val="nil"/>
              <w:right w:val="nil"/>
            </w:tcBorders>
            <w:shd w:val="clear" w:color="auto" w:fill="auto"/>
            <w:noWrap/>
            <w:vAlign w:val="center"/>
            <w:hideMark/>
          </w:tcPr>
          <w:p w14:paraId="2EACB6DF" w14:textId="77777777" w:rsidR="001E0437" w:rsidRPr="0060794A" w:rsidRDefault="001E0437" w:rsidP="001E0437">
            <w:pPr>
              <w:spacing w:after="0" w:line="240" w:lineRule="auto"/>
              <w:jc w:val="center"/>
              <w:rPr>
                <w:bCs w:val="0"/>
              </w:rPr>
            </w:pPr>
          </w:p>
        </w:tc>
        <w:tc>
          <w:tcPr>
            <w:tcW w:w="387" w:type="pct"/>
            <w:tcBorders>
              <w:top w:val="nil"/>
              <w:left w:val="nil"/>
              <w:bottom w:val="nil"/>
              <w:right w:val="nil"/>
            </w:tcBorders>
            <w:shd w:val="clear" w:color="000000" w:fill="FFFFFF"/>
            <w:noWrap/>
            <w:vAlign w:val="bottom"/>
            <w:hideMark/>
          </w:tcPr>
          <w:p w14:paraId="32F064F3" w14:textId="77777777" w:rsidR="001E0437" w:rsidRPr="0060794A" w:rsidRDefault="001E0437" w:rsidP="001E0437">
            <w:pPr>
              <w:spacing w:after="0" w:line="240" w:lineRule="auto"/>
              <w:jc w:val="center"/>
              <w:rPr>
                <w:b/>
                <w:color w:val="000000"/>
              </w:rPr>
            </w:pPr>
            <w:r w:rsidRPr="0060794A">
              <w:rPr>
                <w:b/>
                <w:color w:val="000000"/>
              </w:rPr>
              <w:t>√</w:t>
            </w:r>
          </w:p>
        </w:tc>
      </w:tr>
      <w:tr w:rsidR="001E0437" w:rsidRPr="0060794A" w14:paraId="401E806C" w14:textId="77777777" w:rsidTr="001E0437">
        <w:trPr>
          <w:trHeight w:val="312"/>
        </w:trPr>
        <w:tc>
          <w:tcPr>
            <w:tcW w:w="1274" w:type="pct"/>
            <w:gridSpan w:val="2"/>
            <w:tcBorders>
              <w:top w:val="nil"/>
              <w:left w:val="nil"/>
              <w:bottom w:val="nil"/>
              <w:right w:val="nil"/>
            </w:tcBorders>
            <w:shd w:val="clear" w:color="auto" w:fill="auto"/>
            <w:noWrap/>
            <w:vAlign w:val="center"/>
            <w:hideMark/>
          </w:tcPr>
          <w:p w14:paraId="5FE6B0FA" w14:textId="77777777" w:rsidR="001E0437" w:rsidRPr="0060794A" w:rsidRDefault="001E0437" w:rsidP="001E0437">
            <w:pPr>
              <w:spacing w:after="0" w:line="240" w:lineRule="auto"/>
              <w:jc w:val="left"/>
              <w:rPr>
                <w:b/>
                <w:color w:val="000000"/>
              </w:rPr>
            </w:pPr>
            <w:r w:rsidRPr="0060794A">
              <w:rPr>
                <w:b/>
                <w:color w:val="000000"/>
              </w:rPr>
              <w:t>Bile</w:t>
            </w:r>
          </w:p>
        </w:tc>
        <w:tc>
          <w:tcPr>
            <w:tcW w:w="905" w:type="pct"/>
            <w:tcBorders>
              <w:top w:val="nil"/>
              <w:left w:val="nil"/>
              <w:bottom w:val="nil"/>
              <w:right w:val="nil"/>
            </w:tcBorders>
            <w:shd w:val="clear" w:color="auto" w:fill="auto"/>
            <w:vAlign w:val="center"/>
            <w:hideMark/>
          </w:tcPr>
          <w:p w14:paraId="30203F89" w14:textId="77777777" w:rsidR="001E0437" w:rsidRPr="0060794A" w:rsidRDefault="001E0437" w:rsidP="001E0437">
            <w:pPr>
              <w:spacing w:after="0" w:line="240" w:lineRule="auto"/>
              <w:jc w:val="left"/>
              <w:rPr>
                <w:bCs w:val="0"/>
                <w:color w:val="000000"/>
              </w:rPr>
            </w:pPr>
            <w:r w:rsidRPr="0060794A">
              <w:rPr>
                <w:bCs w:val="0"/>
                <w:color w:val="000000"/>
              </w:rPr>
              <w:t xml:space="preserve">Gas </w:t>
            </w:r>
            <w:proofErr w:type="spellStart"/>
            <w:r w:rsidRPr="0060794A">
              <w:rPr>
                <w:bCs w:val="0"/>
                <w:color w:val="000000"/>
              </w:rPr>
              <w:t>analysis</w:t>
            </w:r>
            <w:proofErr w:type="spellEnd"/>
          </w:p>
        </w:tc>
        <w:tc>
          <w:tcPr>
            <w:tcW w:w="580" w:type="pct"/>
            <w:tcBorders>
              <w:top w:val="nil"/>
              <w:left w:val="nil"/>
              <w:bottom w:val="nil"/>
              <w:right w:val="nil"/>
            </w:tcBorders>
            <w:shd w:val="clear" w:color="auto" w:fill="auto"/>
            <w:noWrap/>
            <w:vAlign w:val="center"/>
            <w:hideMark/>
          </w:tcPr>
          <w:p w14:paraId="60324701" w14:textId="77777777" w:rsidR="001E0437" w:rsidRPr="0060794A" w:rsidRDefault="001E0437" w:rsidP="001E0437">
            <w:pPr>
              <w:spacing w:after="0" w:line="240" w:lineRule="auto"/>
              <w:jc w:val="left"/>
              <w:rPr>
                <w:bCs w:val="0"/>
                <w:color w:val="000000"/>
              </w:rPr>
            </w:pPr>
          </w:p>
        </w:tc>
        <w:tc>
          <w:tcPr>
            <w:tcW w:w="694" w:type="pct"/>
            <w:tcBorders>
              <w:top w:val="nil"/>
              <w:left w:val="nil"/>
              <w:bottom w:val="nil"/>
              <w:right w:val="nil"/>
            </w:tcBorders>
            <w:shd w:val="clear" w:color="000000" w:fill="FFFFFF"/>
            <w:noWrap/>
            <w:vAlign w:val="bottom"/>
            <w:hideMark/>
          </w:tcPr>
          <w:p w14:paraId="03DAE236"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7F24D3DB"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42E07923"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389401DE" w14:textId="77777777" w:rsidR="001E0437" w:rsidRPr="0060794A" w:rsidRDefault="001E0437" w:rsidP="001E0437">
            <w:pPr>
              <w:spacing w:after="0" w:line="240" w:lineRule="auto"/>
              <w:jc w:val="center"/>
              <w:rPr>
                <w:b/>
                <w:color w:val="000000"/>
              </w:rPr>
            </w:pPr>
            <w:r w:rsidRPr="0060794A">
              <w:rPr>
                <w:b/>
                <w:color w:val="000000"/>
              </w:rPr>
              <w:t>√</w:t>
            </w:r>
          </w:p>
        </w:tc>
        <w:tc>
          <w:tcPr>
            <w:tcW w:w="387" w:type="pct"/>
            <w:tcBorders>
              <w:top w:val="nil"/>
              <w:left w:val="nil"/>
              <w:bottom w:val="nil"/>
              <w:right w:val="nil"/>
            </w:tcBorders>
            <w:shd w:val="clear" w:color="000000" w:fill="FFFFFF"/>
            <w:noWrap/>
            <w:vAlign w:val="bottom"/>
            <w:hideMark/>
          </w:tcPr>
          <w:p w14:paraId="2118666F" w14:textId="77777777" w:rsidR="001E0437" w:rsidRPr="0060794A" w:rsidRDefault="001E0437" w:rsidP="001E0437">
            <w:pPr>
              <w:spacing w:after="0" w:line="240" w:lineRule="auto"/>
              <w:jc w:val="center"/>
              <w:rPr>
                <w:b/>
                <w:color w:val="000000"/>
              </w:rPr>
            </w:pPr>
            <w:r w:rsidRPr="0060794A">
              <w:rPr>
                <w:b/>
                <w:color w:val="000000"/>
              </w:rPr>
              <w:t>√</w:t>
            </w:r>
          </w:p>
        </w:tc>
      </w:tr>
      <w:tr w:rsidR="001E0437" w:rsidRPr="0060794A" w14:paraId="4DD5B100" w14:textId="77777777" w:rsidTr="001E0437">
        <w:trPr>
          <w:trHeight w:val="624"/>
        </w:trPr>
        <w:tc>
          <w:tcPr>
            <w:tcW w:w="1274" w:type="pct"/>
            <w:gridSpan w:val="2"/>
            <w:tcBorders>
              <w:top w:val="nil"/>
              <w:left w:val="nil"/>
              <w:bottom w:val="single" w:sz="4" w:space="0" w:color="auto"/>
              <w:right w:val="nil"/>
            </w:tcBorders>
            <w:shd w:val="clear" w:color="auto" w:fill="auto"/>
            <w:noWrap/>
            <w:vAlign w:val="center"/>
            <w:hideMark/>
          </w:tcPr>
          <w:p w14:paraId="6D318FBD" w14:textId="77777777" w:rsidR="001E0437" w:rsidRPr="0060794A" w:rsidRDefault="001E0437" w:rsidP="001E0437">
            <w:pPr>
              <w:spacing w:after="0" w:line="240" w:lineRule="auto"/>
              <w:jc w:val="left"/>
              <w:rPr>
                <w:b/>
                <w:color w:val="000000"/>
              </w:rPr>
            </w:pPr>
            <w:proofErr w:type="spellStart"/>
            <w:r w:rsidRPr="0060794A">
              <w:rPr>
                <w:b/>
                <w:color w:val="000000"/>
              </w:rPr>
              <w:t>Tissue</w:t>
            </w:r>
            <w:proofErr w:type="spellEnd"/>
            <w:r w:rsidRPr="0060794A">
              <w:rPr>
                <w:b/>
                <w:color w:val="000000"/>
              </w:rPr>
              <w:t xml:space="preserve"> </w:t>
            </w:r>
            <w:proofErr w:type="spellStart"/>
            <w:r w:rsidRPr="0060794A">
              <w:rPr>
                <w:b/>
                <w:color w:val="000000"/>
              </w:rPr>
              <w:t>biopsy</w:t>
            </w:r>
            <w:proofErr w:type="spellEnd"/>
          </w:p>
        </w:tc>
        <w:tc>
          <w:tcPr>
            <w:tcW w:w="905" w:type="pct"/>
            <w:tcBorders>
              <w:top w:val="nil"/>
              <w:left w:val="nil"/>
              <w:bottom w:val="single" w:sz="4" w:space="0" w:color="auto"/>
              <w:right w:val="nil"/>
            </w:tcBorders>
            <w:shd w:val="clear" w:color="auto" w:fill="auto"/>
            <w:vAlign w:val="center"/>
            <w:hideMark/>
          </w:tcPr>
          <w:p w14:paraId="21644411" w14:textId="77777777" w:rsidR="001E0437" w:rsidRPr="0060794A" w:rsidRDefault="001E0437" w:rsidP="001E0437">
            <w:pPr>
              <w:spacing w:after="0" w:line="240" w:lineRule="auto"/>
              <w:jc w:val="left"/>
              <w:rPr>
                <w:bCs w:val="0"/>
                <w:color w:val="000000"/>
              </w:rPr>
            </w:pPr>
            <w:proofErr w:type="spellStart"/>
            <w:r w:rsidRPr="0060794A">
              <w:rPr>
                <w:bCs w:val="0"/>
                <w:color w:val="000000"/>
              </w:rPr>
              <w:t>Bio-molecular</w:t>
            </w:r>
            <w:proofErr w:type="spellEnd"/>
            <w:r w:rsidRPr="0060794A">
              <w:rPr>
                <w:bCs w:val="0"/>
                <w:color w:val="000000"/>
              </w:rPr>
              <w:t xml:space="preserve"> </w:t>
            </w:r>
            <w:proofErr w:type="spellStart"/>
            <w:r w:rsidRPr="0060794A">
              <w:rPr>
                <w:bCs w:val="0"/>
                <w:color w:val="000000"/>
              </w:rPr>
              <w:t>analysis</w:t>
            </w:r>
            <w:proofErr w:type="spellEnd"/>
          </w:p>
        </w:tc>
        <w:tc>
          <w:tcPr>
            <w:tcW w:w="580" w:type="pct"/>
            <w:tcBorders>
              <w:top w:val="nil"/>
              <w:left w:val="nil"/>
              <w:bottom w:val="single" w:sz="4" w:space="0" w:color="auto"/>
              <w:right w:val="nil"/>
            </w:tcBorders>
            <w:shd w:val="clear" w:color="auto" w:fill="auto"/>
            <w:noWrap/>
            <w:vAlign w:val="center"/>
            <w:hideMark/>
          </w:tcPr>
          <w:p w14:paraId="1E940423" w14:textId="77777777" w:rsidR="001E0437" w:rsidRPr="0060794A" w:rsidRDefault="001E0437" w:rsidP="001E0437">
            <w:pPr>
              <w:spacing w:after="0" w:line="240" w:lineRule="auto"/>
              <w:jc w:val="center"/>
              <w:rPr>
                <w:bCs w:val="0"/>
                <w:color w:val="000000"/>
              </w:rPr>
            </w:pPr>
            <w:r w:rsidRPr="0060794A">
              <w:rPr>
                <w:bCs w:val="0"/>
                <w:color w:val="000000"/>
              </w:rPr>
              <w:t> </w:t>
            </w:r>
          </w:p>
        </w:tc>
        <w:tc>
          <w:tcPr>
            <w:tcW w:w="694" w:type="pct"/>
            <w:tcBorders>
              <w:top w:val="nil"/>
              <w:left w:val="nil"/>
              <w:bottom w:val="single" w:sz="4" w:space="0" w:color="auto"/>
              <w:right w:val="nil"/>
            </w:tcBorders>
            <w:shd w:val="clear" w:color="auto" w:fill="auto"/>
            <w:noWrap/>
            <w:vAlign w:val="center"/>
            <w:hideMark/>
          </w:tcPr>
          <w:p w14:paraId="2F6F82E4" w14:textId="77777777" w:rsidR="001E0437" w:rsidRPr="0060794A" w:rsidRDefault="001E0437" w:rsidP="001E0437">
            <w:pPr>
              <w:spacing w:after="0" w:line="240" w:lineRule="auto"/>
              <w:jc w:val="center"/>
              <w:rPr>
                <w:bCs w:val="0"/>
                <w:color w:val="000000"/>
              </w:rPr>
            </w:pPr>
            <w:r w:rsidRPr="0060794A">
              <w:rPr>
                <w:bCs w:val="0"/>
                <w:color w:val="000000"/>
              </w:rPr>
              <w:t> </w:t>
            </w:r>
          </w:p>
        </w:tc>
        <w:tc>
          <w:tcPr>
            <w:tcW w:w="387" w:type="pct"/>
            <w:tcBorders>
              <w:top w:val="nil"/>
              <w:left w:val="nil"/>
              <w:bottom w:val="single" w:sz="4" w:space="0" w:color="auto"/>
              <w:right w:val="nil"/>
            </w:tcBorders>
            <w:shd w:val="clear" w:color="auto" w:fill="auto"/>
            <w:noWrap/>
            <w:vAlign w:val="center"/>
            <w:hideMark/>
          </w:tcPr>
          <w:p w14:paraId="63FD25F0" w14:textId="77777777" w:rsidR="001E0437" w:rsidRPr="0060794A" w:rsidRDefault="001E0437" w:rsidP="001E0437">
            <w:pPr>
              <w:spacing w:after="0" w:line="240" w:lineRule="auto"/>
              <w:jc w:val="center"/>
              <w:rPr>
                <w:bCs w:val="0"/>
                <w:color w:val="000000"/>
              </w:rPr>
            </w:pPr>
            <w:r w:rsidRPr="0060794A">
              <w:rPr>
                <w:bCs w:val="0"/>
                <w:color w:val="000000"/>
              </w:rPr>
              <w:t> </w:t>
            </w:r>
          </w:p>
        </w:tc>
        <w:tc>
          <w:tcPr>
            <w:tcW w:w="387" w:type="pct"/>
            <w:tcBorders>
              <w:top w:val="nil"/>
              <w:left w:val="nil"/>
              <w:bottom w:val="single" w:sz="4" w:space="0" w:color="auto"/>
              <w:right w:val="nil"/>
            </w:tcBorders>
            <w:shd w:val="clear" w:color="auto" w:fill="auto"/>
            <w:noWrap/>
            <w:vAlign w:val="center"/>
            <w:hideMark/>
          </w:tcPr>
          <w:p w14:paraId="01A56279" w14:textId="77777777" w:rsidR="001E0437" w:rsidRPr="0060794A" w:rsidRDefault="001E0437" w:rsidP="001E0437">
            <w:pPr>
              <w:spacing w:after="0" w:line="240" w:lineRule="auto"/>
              <w:jc w:val="center"/>
              <w:rPr>
                <w:bCs w:val="0"/>
                <w:color w:val="000000"/>
              </w:rPr>
            </w:pPr>
            <w:r w:rsidRPr="0060794A">
              <w:rPr>
                <w:bCs w:val="0"/>
                <w:color w:val="000000"/>
              </w:rPr>
              <w:t> </w:t>
            </w:r>
          </w:p>
        </w:tc>
        <w:tc>
          <w:tcPr>
            <w:tcW w:w="387" w:type="pct"/>
            <w:tcBorders>
              <w:top w:val="nil"/>
              <w:left w:val="nil"/>
              <w:bottom w:val="single" w:sz="4" w:space="0" w:color="auto"/>
              <w:right w:val="nil"/>
            </w:tcBorders>
            <w:shd w:val="clear" w:color="auto" w:fill="auto"/>
            <w:noWrap/>
            <w:vAlign w:val="center"/>
            <w:hideMark/>
          </w:tcPr>
          <w:p w14:paraId="40BF8038" w14:textId="77777777" w:rsidR="001E0437" w:rsidRPr="0060794A" w:rsidRDefault="001E0437" w:rsidP="001E0437">
            <w:pPr>
              <w:spacing w:after="0" w:line="240" w:lineRule="auto"/>
              <w:jc w:val="center"/>
              <w:rPr>
                <w:bCs w:val="0"/>
                <w:color w:val="000000"/>
              </w:rPr>
            </w:pPr>
            <w:r w:rsidRPr="0060794A">
              <w:rPr>
                <w:bCs w:val="0"/>
                <w:color w:val="000000"/>
              </w:rPr>
              <w:t> </w:t>
            </w:r>
          </w:p>
        </w:tc>
        <w:tc>
          <w:tcPr>
            <w:tcW w:w="387" w:type="pct"/>
            <w:tcBorders>
              <w:top w:val="nil"/>
              <w:left w:val="nil"/>
              <w:bottom w:val="single" w:sz="4" w:space="0" w:color="auto"/>
              <w:right w:val="nil"/>
            </w:tcBorders>
            <w:shd w:val="clear" w:color="000000" w:fill="FFFFFF"/>
            <w:noWrap/>
            <w:vAlign w:val="bottom"/>
            <w:hideMark/>
          </w:tcPr>
          <w:p w14:paraId="0DA6AA08" w14:textId="77777777" w:rsidR="001E0437" w:rsidRPr="0060794A" w:rsidRDefault="001E0437" w:rsidP="001E0437">
            <w:pPr>
              <w:spacing w:after="0" w:line="240" w:lineRule="auto"/>
              <w:jc w:val="center"/>
              <w:rPr>
                <w:b/>
                <w:color w:val="000000"/>
              </w:rPr>
            </w:pPr>
            <w:r w:rsidRPr="0060794A">
              <w:rPr>
                <w:b/>
                <w:color w:val="000000"/>
              </w:rPr>
              <w:t>√</w:t>
            </w:r>
          </w:p>
        </w:tc>
      </w:tr>
    </w:tbl>
    <w:p w14:paraId="19F41A67" w14:textId="77777777" w:rsidR="001E0437" w:rsidRPr="00072D37" w:rsidRDefault="001E0437" w:rsidP="001E0437">
      <w:pPr>
        <w:rPr>
          <w:rFonts w:ascii="Arial" w:hAnsi="Arial" w:cs="Arial"/>
          <w:lang w:val="en-US" w:eastAsia="en-US"/>
        </w:rPr>
      </w:pPr>
    </w:p>
    <w:p w14:paraId="17A01532" w14:textId="77777777" w:rsidR="00FB1476" w:rsidRPr="00072D37" w:rsidRDefault="00FB1476" w:rsidP="00704DB0">
      <w:pPr>
        <w:pStyle w:val="Heading1"/>
        <w:rPr>
          <w:rFonts w:ascii="Arial" w:hAnsi="Arial" w:cs="Arial"/>
        </w:rPr>
        <w:sectPr w:rsidR="00FB1476" w:rsidRPr="00072D37" w:rsidSect="000764D6">
          <w:pgSz w:w="11900" w:h="16840"/>
          <w:pgMar w:top="1417" w:right="1134" w:bottom="1134" w:left="1134" w:header="708" w:footer="708" w:gutter="0"/>
          <w:cols w:space="708"/>
          <w:docGrid w:linePitch="360"/>
        </w:sectPr>
      </w:pPr>
    </w:p>
    <w:p w14:paraId="571FA214" w14:textId="47989682" w:rsidR="00BA5296" w:rsidRPr="00072D37" w:rsidRDefault="00704DB0" w:rsidP="001E0437">
      <w:pPr>
        <w:pStyle w:val="Heading1"/>
        <w:rPr>
          <w:rFonts w:ascii="Arial" w:hAnsi="Arial" w:cs="Arial"/>
        </w:rPr>
      </w:pPr>
      <w:r w:rsidRPr="00072D37">
        <w:rPr>
          <w:rFonts w:ascii="Arial" w:hAnsi="Arial" w:cs="Arial"/>
        </w:rPr>
        <w:lastRenderedPageBreak/>
        <w:fldChar w:fldCharType="begin"/>
      </w:r>
      <w:r w:rsidRPr="00072D37">
        <w:rPr>
          <w:rFonts w:ascii="Arial" w:hAnsi="Arial" w:cs="Arial"/>
        </w:rPr>
        <w:instrText xml:space="preserve"> AUTONUMLGL </w:instrText>
      </w:r>
      <w:bookmarkStart w:id="48" w:name="_Toc143336341"/>
      <w:r w:rsidRPr="00072D37">
        <w:rPr>
          <w:rFonts w:ascii="Arial" w:hAnsi="Arial" w:cs="Arial"/>
        </w:rPr>
        <w:fldChar w:fldCharType="end"/>
      </w:r>
      <w:r w:rsidRPr="00072D37">
        <w:rPr>
          <w:rFonts w:ascii="Arial" w:hAnsi="Arial" w:cs="Arial"/>
        </w:rPr>
        <w:t xml:space="preserve"> </w:t>
      </w:r>
      <w:r w:rsidR="00AD6BBE" w:rsidRPr="00072D37">
        <w:rPr>
          <w:rFonts w:ascii="Arial" w:hAnsi="Arial" w:cs="Arial"/>
        </w:rPr>
        <w:t xml:space="preserve">Supplementary </w:t>
      </w:r>
      <w:r w:rsidR="00130A43" w:rsidRPr="00072D37">
        <w:rPr>
          <w:rFonts w:ascii="Arial" w:hAnsi="Arial" w:cs="Arial"/>
        </w:rPr>
        <w:t>Figures</w:t>
      </w:r>
      <w:bookmarkEnd w:id="48"/>
    </w:p>
    <w:p w14:paraId="4B8284BA" w14:textId="08911AD1" w:rsidR="001100D3" w:rsidRPr="00072D37" w:rsidRDefault="007D0AB1" w:rsidP="005703AF">
      <w:pPr>
        <w:pStyle w:val="Heading2"/>
        <w:rPr>
          <w:rFonts w:ascii="Arial" w:hAnsi="Arial" w:cs="Arial"/>
        </w:rPr>
      </w:pPr>
      <w:bookmarkStart w:id="49" w:name="_Toc143336342"/>
      <w:r w:rsidRPr="00072D37">
        <w:rPr>
          <w:rFonts w:ascii="Arial" w:hAnsi="Arial" w:cs="Arial"/>
        </w:rPr>
        <w:t xml:space="preserve">Supplementary Figure </w:t>
      </w:r>
      <w:r w:rsidR="002F42A3" w:rsidRPr="00072D37">
        <w:rPr>
          <w:rFonts w:ascii="Arial" w:hAnsi="Arial" w:cs="Arial"/>
        </w:rPr>
        <w:t>1</w:t>
      </w:r>
      <w:r w:rsidRPr="00072D37">
        <w:rPr>
          <w:rFonts w:ascii="Arial" w:hAnsi="Arial" w:cs="Arial"/>
        </w:rPr>
        <w:t>. Transmembrane pressure</w:t>
      </w:r>
      <w:r w:rsidR="00421D27" w:rsidRPr="00072D37">
        <w:rPr>
          <w:rFonts w:ascii="Arial" w:hAnsi="Arial" w:cs="Arial"/>
        </w:rPr>
        <w:t xml:space="preserve"> during liverless NMP</w:t>
      </w:r>
      <w:bookmarkEnd w:id="49"/>
    </w:p>
    <w:p w14:paraId="2AE51AA7" w14:textId="77777777" w:rsidR="005703AF" w:rsidRPr="00072D37" w:rsidRDefault="005703AF" w:rsidP="005703AF">
      <w:pPr>
        <w:rPr>
          <w:lang w:val="en-US" w:eastAsia="en-US"/>
        </w:rPr>
      </w:pPr>
    </w:p>
    <w:p w14:paraId="536E816E" w14:textId="05690FD0" w:rsidR="001100D3" w:rsidRPr="00072D37" w:rsidRDefault="001100D3" w:rsidP="001100D3">
      <w:pPr>
        <w:jc w:val="center"/>
        <w:rPr>
          <w:rFonts w:ascii="Arial" w:hAnsi="Arial" w:cs="Arial"/>
          <w:lang w:val="en-US" w:eastAsia="en-US"/>
        </w:rPr>
      </w:pPr>
      <w:r w:rsidRPr="00072D37">
        <w:rPr>
          <w:rFonts w:ascii="Arial" w:hAnsi="Arial" w:cs="Arial"/>
          <w:noProof/>
          <w:lang w:val="en-US" w:eastAsia="en-US"/>
        </w:rPr>
        <w:drawing>
          <wp:inline distT="0" distB="0" distL="0" distR="0" wp14:anchorId="051F90C1" wp14:editId="7A41218F">
            <wp:extent cx="4816549" cy="27641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22" t="3972" r="1289" b="2116"/>
                    <a:stretch/>
                  </pic:blipFill>
                  <pic:spPr bwMode="auto">
                    <a:xfrm>
                      <a:off x="0" y="0"/>
                      <a:ext cx="4826175" cy="2769679"/>
                    </a:xfrm>
                    <a:prstGeom prst="rect">
                      <a:avLst/>
                    </a:prstGeom>
                    <a:ln>
                      <a:noFill/>
                    </a:ln>
                    <a:extLst>
                      <a:ext uri="{53640926-AAD7-44D8-BBD7-CCE9431645EC}">
                        <a14:shadowObscured xmlns:a14="http://schemas.microsoft.com/office/drawing/2010/main"/>
                      </a:ext>
                    </a:extLst>
                  </pic:spPr>
                </pic:pic>
              </a:graphicData>
            </a:graphic>
          </wp:inline>
        </w:drawing>
      </w:r>
    </w:p>
    <w:p w14:paraId="5717A70A" w14:textId="0DDF4DF4" w:rsidR="00F97623" w:rsidRPr="00072D37" w:rsidRDefault="00B75693" w:rsidP="00DA4897">
      <w:pPr>
        <w:rPr>
          <w:lang w:val="en-US" w:eastAsia="en-US"/>
        </w:rPr>
      </w:pPr>
      <w:r w:rsidRPr="00072D37">
        <w:rPr>
          <w:lang w:val="en-US" w:eastAsia="en-US"/>
        </w:rPr>
        <w:t xml:space="preserve">Filter pressure drop (ΔP filter) and Transmembrane Pressure (TMP) were monitored </w:t>
      </w:r>
      <w:r w:rsidR="00BB7A99" w:rsidRPr="00072D37">
        <w:rPr>
          <w:lang w:val="en-US" w:eastAsia="en-US"/>
        </w:rPr>
        <w:t xml:space="preserve">during 4h perfusion </w:t>
      </w:r>
      <w:r w:rsidRPr="00072D37">
        <w:rPr>
          <w:lang w:val="en-US" w:eastAsia="en-US"/>
        </w:rPr>
        <w:t xml:space="preserve">to asses </w:t>
      </w:r>
      <w:proofErr w:type="spellStart"/>
      <w:r w:rsidRPr="00072D37">
        <w:rPr>
          <w:lang w:val="en-US" w:eastAsia="en-US"/>
        </w:rPr>
        <w:t>preassure</w:t>
      </w:r>
      <w:proofErr w:type="spellEnd"/>
      <w:r w:rsidRPr="00072D37">
        <w:rPr>
          <w:lang w:val="en-US" w:eastAsia="en-US"/>
        </w:rPr>
        <w:t xml:space="preserve"> parameters stability. </w:t>
      </w:r>
      <w:r w:rsidR="00C409E8" w:rsidRPr="00072D37">
        <w:rPr>
          <w:lang w:val="en-US" w:eastAsia="en-US"/>
        </w:rPr>
        <w:t xml:space="preserve">Filter pressure drop (ΔP filter) stayed low and Transmembrane Pressure (TMP) </w:t>
      </w:r>
      <w:proofErr w:type="spellStart"/>
      <w:r w:rsidR="00C409E8" w:rsidRPr="00072D37">
        <w:rPr>
          <w:lang w:val="en-US" w:eastAsia="en-US"/>
        </w:rPr>
        <w:t>remaied</w:t>
      </w:r>
      <w:proofErr w:type="spellEnd"/>
      <w:r w:rsidR="00C409E8" w:rsidRPr="00072D37">
        <w:rPr>
          <w:lang w:val="en-US" w:eastAsia="en-US"/>
        </w:rPr>
        <w:t xml:space="preserve"> stable </w:t>
      </w:r>
      <w:proofErr w:type="spellStart"/>
      <w:r w:rsidR="00C409E8" w:rsidRPr="00072D37">
        <w:rPr>
          <w:lang w:val="en-US" w:eastAsia="en-US"/>
        </w:rPr>
        <w:t>troughout</w:t>
      </w:r>
      <w:proofErr w:type="spellEnd"/>
      <w:r w:rsidR="00C409E8" w:rsidRPr="00072D37">
        <w:rPr>
          <w:lang w:val="en-US" w:eastAsia="en-US"/>
        </w:rPr>
        <w:t xml:space="preserve"> perfusion</w:t>
      </w:r>
      <w:r w:rsidR="00BB7A99" w:rsidRPr="00072D37">
        <w:rPr>
          <w:lang w:val="en-US" w:eastAsia="en-US"/>
        </w:rPr>
        <w:t>.</w:t>
      </w:r>
    </w:p>
    <w:p w14:paraId="77046312" w14:textId="77777777" w:rsidR="00DC1E8F" w:rsidRPr="00072D37" w:rsidRDefault="00DC1E8F" w:rsidP="00DA4897">
      <w:pPr>
        <w:rPr>
          <w:lang w:val="en-US" w:eastAsia="en-US"/>
        </w:rPr>
      </w:pPr>
    </w:p>
    <w:p w14:paraId="501CC628" w14:textId="77777777" w:rsidR="003134C1" w:rsidRPr="00072D37" w:rsidRDefault="003134C1" w:rsidP="003E231F">
      <w:pPr>
        <w:pStyle w:val="Heading2"/>
        <w:rPr>
          <w:rFonts w:ascii="Arial" w:hAnsi="Arial" w:cs="Arial"/>
        </w:rPr>
        <w:sectPr w:rsidR="003134C1" w:rsidRPr="00072D37" w:rsidSect="000764D6">
          <w:pgSz w:w="11900" w:h="16840"/>
          <w:pgMar w:top="1417" w:right="1134" w:bottom="1134" w:left="1134" w:header="708" w:footer="708" w:gutter="0"/>
          <w:cols w:space="708"/>
          <w:docGrid w:linePitch="360"/>
        </w:sectPr>
      </w:pPr>
    </w:p>
    <w:p w14:paraId="4E899EA8" w14:textId="1AA35F70" w:rsidR="005703AF" w:rsidRPr="00072D37" w:rsidRDefault="006655E5" w:rsidP="00B13B20">
      <w:pPr>
        <w:pStyle w:val="Heading2"/>
        <w:rPr>
          <w:rFonts w:ascii="Arial" w:hAnsi="Arial" w:cs="Arial"/>
        </w:rPr>
      </w:pPr>
      <w:bookmarkStart w:id="50" w:name="_Toc143336343"/>
      <w:r w:rsidRPr="00072D37">
        <w:rPr>
          <w:rFonts w:ascii="Arial" w:hAnsi="Arial" w:cs="Arial"/>
        </w:rPr>
        <w:lastRenderedPageBreak/>
        <w:t xml:space="preserve">Supplementary Figure </w:t>
      </w:r>
      <w:r w:rsidR="002F42A3" w:rsidRPr="00072D37">
        <w:rPr>
          <w:rFonts w:ascii="Arial" w:hAnsi="Arial" w:cs="Arial"/>
        </w:rPr>
        <w:t>2</w:t>
      </w:r>
      <w:r w:rsidRPr="00072D37">
        <w:rPr>
          <w:rFonts w:ascii="Arial" w:hAnsi="Arial" w:cs="Arial"/>
        </w:rPr>
        <w:t>. Gas analysis during liverless</w:t>
      </w:r>
      <w:r w:rsidR="00FF4771" w:rsidRPr="00072D37">
        <w:rPr>
          <w:rFonts w:ascii="Arial" w:hAnsi="Arial" w:cs="Arial"/>
        </w:rPr>
        <w:t>-</w:t>
      </w:r>
      <w:r w:rsidR="003F5925" w:rsidRPr="00072D37">
        <w:rPr>
          <w:rFonts w:ascii="Arial" w:hAnsi="Arial" w:cs="Arial"/>
        </w:rPr>
        <w:t>NMP</w:t>
      </w:r>
      <w:bookmarkEnd w:id="50"/>
      <w:r w:rsidRPr="00072D37">
        <w:rPr>
          <w:rFonts w:ascii="Arial" w:hAnsi="Arial" w:cs="Arial"/>
        </w:rPr>
        <w:t xml:space="preserve"> </w:t>
      </w:r>
    </w:p>
    <w:p w14:paraId="6FC26F78" w14:textId="110D2D92" w:rsidR="00846C89" w:rsidRPr="00072D37" w:rsidRDefault="00B13B20" w:rsidP="00A816C0">
      <w:pPr>
        <w:rPr>
          <w:rFonts w:ascii="Arial" w:hAnsi="Arial" w:cs="Arial"/>
          <w:lang w:val="en-US" w:eastAsia="en-US"/>
        </w:rPr>
      </w:pPr>
      <w:r w:rsidRPr="00072D37">
        <w:rPr>
          <w:rFonts w:ascii="Arial" w:hAnsi="Arial" w:cs="Arial"/>
          <w:noProof/>
        </w:rPr>
        <w:drawing>
          <wp:inline distT="0" distB="0" distL="0" distR="0" wp14:anchorId="1FA18701" wp14:editId="1263256E">
            <wp:extent cx="5902807" cy="2059200"/>
            <wp:effectExtent l="0" t="0" r="317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24253"/>
                    <a:stretch/>
                  </pic:blipFill>
                  <pic:spPr bwMode="auto">
                    <a:xfrm>
                      <a:off x="0" y="0"/>
                      <a:ext cx="5902807" cy="2059200"/>
                    </a:xfrm>
                    <a:prstGeom prst="rect">
                      <a:avLst/>
                    </a:prstGeom>
                    <a:ln>
                      <a:noFill/>
                    </a:ln>
                    <a:extLst>
                      <a:ext uri="{53640926-AAD7-44D8-BBD7-CCE9431645EC}">
                        <a14:shadowObscured xmlns:a14="http://schemas.microsoft.com/office/drawing/2010/main"/>
                      </a:ext>
                    </a:extLst>
                  </pic:spPr>
                </pic:pic>
              </a:graphicData>
            </a:graphic>
          </wp:inline>
        </w:drawing>
      </w:r>
    </w:p>
    <w:p w14:paraId="4BD73909" w14:textId="002A0ED7" w:rsidR="00C03123" w:rsidRPr="00072D37" w:rsidRDefault="00B75693" w:rsidP="00A816C0">
      <w:pPr>
        <w:rPr>
          <w:rFonts w:ascii="Arial" w:hAnsi="Arial" w:cs="Arial"/>
          <w:lang w:val="en-US" w:eastAsia="en-US"/>
        </w:rPr>
      </w:pPr>
      <w:r w:rsidRPr="0060794A">
        <w:rPr>
          <w:lang w:val="en-US"/>
        </w:rPr>
        <w:t xml:space="preserve">Perfusates </w:t>
      </w:r>
      <w:r w:rsidR="00C409E8" w:rsidRPr="0060794A">
        <w:rPr>
          <w:lang w:val="en-US"/>
        </w:rPr>
        <w:t xml:space="preserve">gas-analysis during </w:t>
      </w:r>
      <w:r w:rsidR="00081E4B" w:rsidRPr="0060794A">
        <w:rPr>
          <w:lang w:val="en-US"/>
        </w:rPr>
        <w:t xml:space="preserve">4h </w:t>
      </w:r>
      <w:r w:rsidR="00C409E8" w:rsidRPr="0060794A">
        <w:rPr>
          <w:lang w:val="en-US"/>
        </w:rPr>
        <w:t>liverless</w:t>
      </w:r>
      <w:r w:rsidR="00FF4771" w:rsidRPr="0060794A">
        <w:rPr>
          <w:lang w:val="en-US"/>
        </w:rPr>
        <w:t>-</w:t>
      </w:r>
      <w:r w:rsidR="00C409E8" w:rsidRPr="0060794A">
        <w:rPr>
          <w:lang w:val="en-US"/>
        </w:rPr>
        <w:t>NMP show</w:t>
      </w:r>
      <w:r w:rsidR="00BB7A99" w:rsidRPr="0060794A">
        <w:rPr>
          <w:lang w:val="en-US"/>
        </w:rPr>
        <w:t>ed</w:t>
      </w:r>
      <w:r w:rsidR="00C409E8" w:rsidRPr="0060794A">
        <w:rPr>
          <w:lang w:val="en-US"/>
        </w:rPr>
        <w:t xml:space="preserve"> a rise in pH levels, as well as an increased release of K+ and Cl-</w:t>
      </w:r>
      <w:r w:rsidR="00081E4B" w:rsidRPr="0060794A">
        <w:rPr>
          <w:lang w:val="en-US"/>
        </w:rPr>
        <w:t>. One-way RM ANOVA, p vs 1 h: *&lt;0.05, p vs 2 h: #&lt;0.05</w:t>
      </w:r>
      <w:r w:rsidR="00081E4B" w:rsidRPr="00072D37">
        <w:rPr>
          <w:rFonts w:ascii="Arial" w:hAnsi="Arial" w:cs="Arial"/>
          <w:lang w:val="en-US" w:eastAsia="en-US"/>
        </w:rPr>
        <w:t>.</w:t>
      </w:r>
    </w:p>
    <w:p w14:paraId="64EDBA1B" w14:textId="77777777" w:rsidR="00C409E8" w:rsidRPr="00072D37" w:rsidRDefault="00C409E8" w:rsidP="00A816C0">
      <w:pPr>
        <w:rPr>
          <w:rFonts w:ascii="Arial" w:hAnsi="Arial" w:cs="Arial"/>
          <w:lang w:val="en-US" w:eastAsia="en-US"/>
        </w:rPr>
      </w:pPr>
    </w:p>
    <w:p w14:paraId="7D474A7A" w14:textId="77777777" w:rsidR="00B65ED3" w:rsidRPr="00072D37" w:rsidRDefault="00B65ED3" w:rsidP="003E231F">
      <w:pPr>
        <w:pStyle w:val="Heading2"/>
        <w:rPr>
          <w:rFonts w:ascii="Arial" w:hAnsi="Arial" w:cs="Arial"/>
        </w:rPr>
        <w:sectPr w:rsidR="00B65ED3" w:rsidRPr="00072D37" w:rsidSect="000764D6">
          <w:pgSz w:w="11900" w:h="16840"/>
          <w:pgMar w:top="1417" w:right="1134" w:bottom="1134" w:left="1134" w:header="708" w:footer="708" w:gutter="0"/>
          <w:cols w:space="708"/>
          <w:docGrid w:linePitch="360"/>
        </w:sectPr>
      </w:pPr>
    </w:p>
    <w:p w14:paraId="06129184" w14:textId="6749F0AF" w:rsidR="00602151" w:rsidRPr="00072D37" w:rsidRDefault="003F5925" w:rsidP="005703AF">
      <w:pPr>
        <w:pStyle w:val="Heading2"/>
        <w:rPr>
          <w:rFonts w:ascii="Arial" w:hAnsi="Arial" w:cs="Arial"/>
        </w:rPr>
      </w:pPr>
      <w:bookmarkStart w:id="51" w:name="_Toc143336344"/>
      <w:r w:rsidRPr="00072D37">
        <w:rPr>
          <w:rFonts w:ascii="Arial" w:hAnsi="Arial" w:cs="Arial"/>
        </w:rPr>
        <w:lastRenderedPageBreak/>
        <w:t xml:space="preserve">Supplementary Figure </w:t>
      </w:r>
      <w:r w:rsidR="002F42A3" w:rsidRPr="00072D37">
        <w:rPr>
          <w:rFonts w:ascii="Arial" w:hAnsi="Arial" w:cs="Arial"/>
        </w:rPr>
        <w:t>3</w:t>
      </w:r>
      <w:r w:rsidRPr="00072D37">
        <w:rPr>
          <w:rFonts w:ascii="Arial" w:hAnsi="Arial" w:cs="Arial"/>
        </w:rPr>
        <w:t xml:space="preserve">. </w:t>
      </w:r>
      <w:r w:rsidR="00342D07" w:rsidRPr="00072D37">
        <w:rPr>
          <w:rFonts w:ascii="Arial" w:hAnsi="Arial" w:cs="Arial"/>
        </w:rPr>
        <w:t>Hemodynamics parameters</w:t>
      </w:r>
      <w:r w:rsidRPr="00072D37">
        <w:rPr>
          <w:rFonts w:ascii="Arial" w:hAnsi="Arial" w:cs="Arial"/>
        </w:rPr>
        <w:t xml:space="preserve"> during liver</w:t>
      </w:r>
      <w:r w:rsidR="00FF4771" w:rsidRPr="00072D37">
        <w:rPr>
          <w:rFonts w:ascii="Arial" w:hAnsi="Arial" w:cs="Arial"/>
        </w:rPr>
        <w:t>-</w:t>
      </w:r>
      <w:r w:rsidRPr="00072D37">
        <w:rPr>
          <w:rFonts w:ascii="Arial" w:hAnsi="Arial" w:cs="Arial"/>
        </w:rPr>
        <w:t>NMP</w:t>
      </w:r>
      <w:bookmarkEnd w:id="51"/>
    </w:p>
    <w:p w14:paraId="45139BF9" w14:textId="77777777" w:rsidR="005703AF" w:rsidRPr="00072D37" w:rsidRDefault="005703AF" w:rsidP="005703AF">
      <w:pPr>
        <w:rPr>
          <w:lang w:val="en-US" w:eastAsia="en-US"/>
        </w:rPr>
      </w:pPr>
    </w:p>
    <w:p w14:paraId="0C56FB77" w14:textId="6DC55D98" w:rsidR="002A07C0" w:rsidRPr="00072D37" w:rsidRDefault="00B13B20" w:rsidP="002A07C0">
      <w:pPr>
        <w:rPr>
          <w:rFonts w:ascii="Arial" w:hAnsi="Arial" w:cs="Arial"/>
          <w:lang w:val="en-US" w:eastAsia="en-US"/>
        </w:rPr>
      </w:pPr>
      <w:r w:rsidRPr="00072D37">
        <w:rPr>
          <w:rFonts w:ascii="Arial" w:hAnsi="Arial" w:cs="Arial"/>
          <w:noProof/>
        </w:rPr>
        <w:drawing>
          <wp:inline distT="0" distB="0" distL="0" distR="0" wp14:anchorId="51FF195E" wp14:editId="35C1FAF5">
            <wp:extent cx="6116320" cy="2244725"/>
            <wp:effectExtent l="0" t="0" r="5080" b="317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6320" cy="2244725"/>
                    </a:xfrm>
                    <a:prstGeom prst="rect">
                      <a:avLst/>
                    </a:prstGeom>
                  </pic:spPr>
                </pic:pic>
              </a:graphicData>
            </a:graphic>
          </wp:inline>
        </w:drawing>
      </w:r>
    </w:p>
    <w:p w14:paraId="61CA35D8" w14:textId="1CA1AB7A" w:rsidR="00081E4B" w:rsidRPr="00072D37" w:rsidRDefault="00081E4B" w:rsidP="00DA4897">
      <w:pPr>
        <w:rPr>
          <w:lang w:val="en-US" w:eastAsia="en-US"/>
        </w:rPr>
      </w:pPr>
      <w:r w:rsidRPr="00072D37">
        <w:rPr>
          <w:lang w:val="en-US" w:eastAsia="en-US"/>
        </w:rPr>
        <w:t xml:space="preserve">Hemodynamics parameters were monitored </w:t>
      </w:r>
      <w:proofErr w:type="spellStart"/>
      <w:r w:rsidRPr="00072D37">
        <w:rPr>
          <w:lang w:val="en-US" w:eastAsia="en-US"/>
        </w:rPr>
        <w:t>duting</w:t>
      </w:r>
      <w:proofErr w:type="spellEnd"/>
      <w:r w:rsidRPr="00072D37">
        <w:rPr>
          <w:lang w:val="en-US" w:eastAsia="en-US"/>
        </w:rPr>
        <w:t xml:space="preserve"> 4h liver</w:t>
      </w:r>
      <w:r w:rsidR="00FF4771" w:rsidRPr="00072D37">
        <w:rPr>
          <w:lang w:val="en-US" w:eastAsia="en-US"/>
        </w:rPr>
        <w:t>-</w:t>
      </w:r>
      <w:r w:rsidRPr="00072D37">
        <w:rPr>
          <w:lang w:val="en-US" w:eastAsia="en-US"/>
        </w:rPr>
        <w:t>NMP. Portal pressures and vascular resistances increased over the procedure</w:t>
      </w:r>
      <w:r w:rsidR="00FF4771" w:rsidRPr="00072D37">
        <w:rPr>
          <w:lang w:val="en-US" w:eastAsia="en-US"/>
        </w:rPr>
        <w:t>,</w:t>
      </w:r>
      <w:r w:rsidRPr="00072D37">
        <w:rPr>
          <w:lang w:val="en-US" w:eastAsia="en-US"/>
        </w:rPr>
        <w:t xml:space="preserve"> remaining below 8 mmHg. </w:t>
      </w:r>
    </w:p>
    <w:p w14:paraId="23208336" w14:textId="155DA5FC" w:rsidR="00081E4B" w:rsidRPr="00072D37" w:rsidRDefault="00081E4B" w:rsidP="00DA4897">
      <w:pPr>
        <w:rPr>
          <w:lang w:val="en-US" w:eastAsia="en-US"/>
        </w:rPr>
      </w:pPr>
      <w:r w:rsidRPr="00072D37">
        <w:rPr>
          <w:lang w:val="en-US" w:eastAsia="en-US"/>
        </w:rPr>
        <w:t xml:space="preserve">No </w:t>
      </w:r>
      <w:r w:rsidR="00FF4771" w:rsidRPr="00072D37">
        <w:rPr>
          <w:lang w:val="en-US" w:eastAsia="en-US"/>
        </w:rPr>
        <w:t xml:space="preserve">statistically significant </w:t>
      </w:r>
      <w:r w:rsidRPr="00072D37">
        <w:rPr>
          <w:lang w:val="en-US" w:eastAsia="en-US"/>
        </w:rPr>
        <w:t xml:space="preserve">differences were detected </w:t>
      </w:r>
      <w:r w:rsidR="00FF4771" w:rsidRPr="00072D37">
        <w:rPr>
          <w:lang w:val="en-US" w:eastAsia="en-US"/>
        </w:rPr>
        <w:t>between</w:t>
      </w:r>
      <w:r w:rsidRPr="00072D37">
        <w:rPr>
          <w:lang w:val="en-US" w:eastAsia="en-US"/>
        </w:rPr>
        <w:t xml:space="preserve"> experimental groups</w:t>
      </w:r>
      <w:r w:rsidR="00FF4771" w:rsidRPr="00072D37">
        <w:rPr>
          <w:lang w:val="en-US" w:eastAsia="en-US"/>
        </w:rPr>
        <w:t>. Two-way RM ANOVA,</w:t>
      </w:r>
      <w:r w:rsidRPr="00072D37">
        <w:rPr>
          <w:lang w:val="en-US" w:eastAsia="en-US"/>
        </w:rPr>
        <w:t xml:space="preserve"> </w:t>
      </w:r>
      <w:r w:rsidR="00FF4771" w:rsidRPr="00072D37">
        <w:rPr>
          <w:lang w:val="en-US" w:eastAsia="en-US"/>
        </w:rPr>
        <w:t xml:space="preserve">portal </w:t>
      </w:r>
      <w:proofErr w:type="spellStart"/>
      <w:r w:rsidR="00FF4771" w:rsidRPr="00072D37">
        <w:rPr>
          <w:lang w:val="en-US" w:eastAsia="en-US"/>
        </w:rPr>
        <w:t>preassure</w:t>
      </w:r>
      <w:proofErr w:type="spellEnd"/>
      <w:r w:rsidR="00FF4771" w:rsidRPr="00072D37">
        <w:rPr>
          <w:lang w:val="en-US" w:eastAsia="en-US"/>
        </w:rPr>
        <w:t xml:space="preserve">: </w:t>
      </w:r>
      <w:r w:rsidRPr="00072D37">
        <w:rPr>
          <w:lang w:val="en-US" w:eastAsia="en-US"/>
        </w:rPr>
        <w:t>p=0.713</w:t>
      </w:r>
      <w:r w:rsidR="00FF4771" w:rsidRPr="00072D37">
        <w:rPr>
          <w:lang w:val="en-US" w:eastAsia="en-US"/>
        </w:rPr>
        <w:t>; vascular resistance:</w:t>
      </w:r>
      <w:r w:rsidRPr="00072D37">
        <w:rPr>
          <w:lang w:val="en-US" w:eastAsia="en-US"/>
        </w:rPr>
        <w:t xml:space="preserve"> p=0.624</w:t>
      </w:r>
      <w:r w:rsidR="00FF4771" w:rsidRPr="00072D37">
        <w:rPr>
          <w:lang w:val="en-US" w:eastAsia="en-US"/>
        </w:rPr>
        <w:t>.</w:t>
      </w:r>
    </w:p>
    <w:p w14:paraId="04CDAC7A" w14:textId="77777777" w:rsidR="00C03123" w:rsidRPr="00072D37" w:rsidRDefault="00C03123" w:rsidP="002A07C0">
      <w:pPr>
        <w:rPr>
          <w:rFonts w:ascii="Arial" w:hAnsi="Arial" w:cs="Arial"/>
          <w:lang w:val="en-US" w:eastAsia="en-US"/>
        </w:rPr>
      </w:pPr>
    </w:p>
    <w:p w14:paraId="1C55D5D9" w14:textId="77777777" w:rsidR="003134C1" w:rsidRPr="00072D37" w:rsidRDefault="003134C1" w:rsidP="005E1BDF">
      <w:pPr>
        <w:pStyle w:val="Heading2"/>
        <w:rPr>
          <w:rFonts w:ascii="Arial" w:hAnsi="Arial" w:cs="Arial"/>
        </w:rPr>
        <w:sectPr w:rsidR="003134C1" w:rsidRPr="00072D37" w:rsidSect="000764D6">
          <w:pgSz w:w="11900" w:h="16840"/>
          <w:pgMar w:top="1417" w:right="1134" w:bottom="1134" w:left="1134" w:header="708" w:footer="708" w:gutter="0"/>
          <w:cols w:space="708"/>
          <w:docGrid w:linePitch="360"/>
        </w:sectPr>
      </w:pPr>
    </w:p>
    <w:p w14:paraId="48098FA4" w14:textId="51BAB189" w:rsidR="00BA158E" w:rsidRPr="00072D37" w:rsidRDefault="002A07C0" w:rsidP="005E1BDF">
      <w:pPr>
        <w:pStyle w:val="Heading2"/>
        <w:rPr>
          <w:rFonts w:ascii="Arial" w:hAnsi="Arial" w:cs="Arial"/>
        </w:rPr>
      </w:pPr>
      <w:bookmarkStart w:id="52" w:name="_Toc143336345"/>
      <w:r w:rsidRPr="00072D37">
        <w:rPr>
          <w:rFonts w:ascii="Arial" w:hAnsi="Arial" w:cs="Arial"/>
        </w:rPr>
        <w:lastRenderedPageBreak/>
        <w:t xml:space="preserve">Supplementary Figure </w:t>
      </w:r>
      <w:r w:rsidR="002F42A3" w:rsidRPr="00072D37">
        <w:rPr>
          <w:rFonts w:ascii="Arial" w:hAnsi="Arial" w:cs="Arial"/>
        </w:rPr>
        <w:t>4</w:t>
      </w:r>
      <w:r w:rsidRPr="00072D37">
        <w:rPr>
          <w:rFonts w:ascii="Arial" w:hAnsi="Arial" w:cs="Arial"/>
        </w:rPr>
        <w:t xml:space="preserve">. Gas analysis </w:t>
      </w:r>
      <w:r w:rsidR="00BA158E" w:rsidRPr="00072D37">
        <w:rPr>
          <w:rFonts w:ascii="Arial" w:hAnsi="Arial" w:cs="Arial"/>
        </w:rPr>
        <w:t xml:space="preserve">of perfusate samples collected </w:t>
      </w:r>
      <w:r w:rsidRPr="00072D37">
        <w:rPr>
          <w:rFonts w:ascii="Arial" w:hAnsi="Arial" w:cs="Arial"/>
        </w:rPr>
        <w:t>during liver</w:t>
      </w:r>
      <w:r w:rsidR="00FF4771" w:rsidRPr="00072D37">
        <w:rPr>
          <w:rFonts w:ascii="Arial" w:hAnsi="Arial" w:cs="Arial"/>
        </w:rPr>
        <w:t>-</w:t>
      </w:r>
      <w:r w:rsidRPr="00072D37">
        <w:rPr>
          <w:rFonts w:ascii="Arial" w:hAnsi="Arial" w:cs="Arial"/>
        </w:rPr>
        <w:t>NMP</w:t>
      </w:r>
      <w:bookmarkEnd w:id="52"/>
    </w:p>
    <w:p w14:paraId="5C8B3D61" w14:textId="3A077D6D" w:rsidR="00B65ED3" w:rsidRPr="00072D37" w:rsidRDefault="00B65ED3" w:rsidP="005E1BDF">
      <w:pPr>
        <w:rPr>
          <w:lang w:val="en-US" w:eastAsia="en-US"/>
        </w:rPr>
      </w:pPr>
    </w:p>
    <w:p w14:paraId="5B1EA16E" w14:textId="451E6277" w:rsidR="00FE5D1A" w:rsidRPr="00072D37" w:rsidRDefault="004F4EDB" w:rsidP="00BA158E">
      <w:pPr>
        <w:rPr>
          <w:rFonts w:ascii="Arial" w:hAnsi="Arial" w:cs="Arial"/>
          <w:lang w:val="en-US" w:eastAsia="en-US"/>
        </w:rPr>
      </w:pPr>
      <w:r w:rsidRPr="00072D37">
        <w:rPr>
          <w:rFonts w:ascii="Arial" w:hAnsi="Arial" w:cs="Arial"/>
          <w:noProof/>
          <w:lang w:val="en-US" w:eastAsia="en-US"/>
        </w:rPr>
        <w:drawing>
          <wp:inline distT="0" distB="0" distL="0" distR="0" wp14:anchorId="2A8BEB56" wp14:editId="70910D14">
            <wp:extent cx="6116320" cy="7542530"/>
            <wp:effectExtent l="0" t="0" r="5080" b="127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16320" cy="7542530"/>
                    </a:xfrm>
                    <a:prstGeom prst="rect">
                      <a:avLst/>
                    </a:prstGeom>
                  </pic:spPr>
                </pic:pic>
              </a:graphicData>
            </a:graphic>
          </wp:inline>
        </w:drawing>
      </w:r>
    </w:p>
    <w:p w14:paraId="567AB128" w14:textId="77777777" w:rsidR="004F4EDB" w:rsidRPr="00072D37" w:rsidRDefault="004F4EDB" w:rsidP="00467E7D">
      <w:pPr>
        <w:rPr>
          <w:rFonts w:ascii="Arial" w:hAnsi="Arial" w:cs="Arial"/>
          <w:lang w:val="en-US" w:eastAsia="en-US"/>
        </w:rPr>
      </w:pPr>
    </w:p>
    <w:p w14:paraId="71AB3A0E" w14:textId="77777777" w:rsidR="004F4EDB" w:rsidRPr="00072D37" w:rsidRDefault="00FF4771" w:rsidP="00DA4897">
      <w:pPr>
        <w:rPr>
          <w:lang w:val="en-US" w:eastAsia="en-US"/>
        </w:rPr>
      </w:pPr>
      <w:r w:rsidRPr="00072D37">
        <w:rPr>
          <w:lang w:val="en-US" w:eastAsia="en-US"/>
        </w:rPr>
        <w:lastRenderedPageBreak/>
        <w:t>Perfusates gas-analysis during 4h liver-NMP show</w:t>
      </w:r>
      <w:r w:rsidR="00BB7A99" w:rsidRPr="00072D37">
        <w:rPr>
          <w:lang w:val="en-US" w:eastAsia="en-US"/>
        </w:rPr>
        <w:t>ed</w:t>
      </w:r>
      <w:r w:rsidRPr="00072D37">
        <w:rPr>
          <w:lang w:val="en-US" w:eastAsia="en-US"/>
        </w:rPr>
        <w:t xml:space="preserve"> an increased release of Na+ and K+ </w:t>
      </w:r>
      <w:proofErr w:type="spellStart"/>
      <w:r w:rsidRPr="00072D37">
        <w:rPr>
          <w:lang w:val="en-US" w:eastAsia="en-US"/>
        </w:rPr>
        <w:t>troughout</w:t>
      </w:r>
      <w:proofErr w:type="spellEnd"/>
      <w:r w:rsidRPr="00072D37">
        <w:rPr>
          <w:lang w:val="en-US" w:eastAsia="en-US"/>
        </w:rPr>
        <w:t xml:space="preserve"> the procedure in both experimental groups; </w:t>
      </w:r>
      <w:proofErr w:type="spellStart"/>
      <w:r w:rsidRPr="00072D37">
        <w:rPr>
          <w:lang w:val="en-US" w:eastAsia="en-US"/>
        </w:rPr>
        <w:t>NMP+bioreactor</w:t>
      </w:r>
      <w:proofErr w:type="spellEnd"/>
      <w:r w:rsidRPr="00072D37">
        <w:rPr>
          <w:lang w:val="en-US" w:eastAsia="en-US"/>
        </w:rPr>
        <w:t xml:space="preserve"> potassium levels is statistically lower with respect to the NMP group. Two-way RM ANOVA, p vs NMP: *&lt;0.05.</w:t>
      </w:r>
      <w:r w:rsidR="0058220D" w:rsidRPr="00072D37">
        <w:rPr>
          <w:lang w:val="en-US" w:eastAsia="en-US"/>
        </w:rPr>
        <w:t xml:space="preserve"> W, wash-out.</w:t>
      </w:r>
      <w:r w:rsidR="004F4EDB" w:rsidRPr="00072D37">
        <w:rPr>
          <w:lang w:val="en-US" w:eastAsia="en-US"/>
        </w:rPr>
        <w:t xml:space="preserve"> </w:t>
      </w:r>
    </w:p>
    <w:p w14:paraId="72CC5727" w14:textId="410F507B" w:rsidR="00B124DD" w:rsidRPr="00072D37" w:rsidRDefault="004F4EDB" w:rsidP="00DA4897">
      <w:pPr>
        <w:rPr>
          <w:lang w:val="en-US" w:eastAsia="en-US"/>
        </w:rPr>
      </w:pPr>
      <w:r w:rsidRPr="00072D37">
        <w:rPr>
          <w:lang w:val="en-US" w:eastAsia="en-US"/>
        </w:rPr>
        <w:t xml:space="preserve">Perfusate pH showed a stabilization trend in the </w:t>
      </w:r>
      <w:proofErr w:type="spellStart"/>
      <w:r w:rsidRPr="00072D37">
        <w:rPr>
          <w:lang w:val="en-US" w:eastAsia="en-US"/>
        </w:rPr>
        <w:t>NMP+bioreactor</w:t>
      </w:r>
      <w:proofErr w:type="spellEnd"/>
      <w:r w:rsidRPr="00072D37">
        <w:rPr>
          <w:lang w:val="en-US" w:eastAsia="en-US"/>
        </w:rPr>
        <w:t xml:space="preserve"> group starting from 2 h post-reperfusion, while a progressive pH decrease was observed in the NMP group. Two-way RM ANOVA, p vs NMP at 4 h: 0.045. </w:t>
      </w:r>
    </w:p>
    <w:p w14:paraId="011DD3AA" w14:textId="77777777" w:rsidR="00C03123" w:rsidRPr="00072D37" w:rsidRDefault="00C03123" w:rsidP="00B124DD">
      <w:pPr>
        <w:rPr>
          <w:rFonts w:ascii="Arial" w:hAnsi="Arial" w:cs="Arial"/>
          <w:lang w:val="en-US" w:eastAsia="en-US"/>
        </w:rPr>
      </w:pPr>
    </w:p>
    <w:p w14:paraId="56138E0C" w14:textId="77777777" w:rsidR="00E0227E" w:rsidRPr="00072D37" w:rsidRDefault="00E0227E" w:rsidP="003E231F">
      <w:pPr>
        <w:pStyle w:val="Heading2"/>
        <w:rPr>
          <w:rFonts w:ascii="Arial" w:hAnsi="Arial" w:cs="Arial"/>
        </w:rPr>
        <w:sectPr w:rsidR="00E0227E" w:rsidRPr="00072D37" w:rsidSect="000764D6">
          <w:pgSz w:w="11900" w:h="16840"/>
          <w:pgMar w:top="1417" w:right="1134" w:bottom="1134" w:left="1134" w:header="708" w:footer="708" w:gutter="0"/>
          <w:cols w:space="708"/>
          <w:docGrid w:linePitch="360"/>
        </w:sectPr>
      </w:pPr>
    </w:p>
    <w:p w14:paraId="4B5EEA4F" w14:textId="0239A4DF" w:rsidR="00F20013" w:rsidRPr="00072D37" w:rsidRDefault="00F20013" w:rsidP="003E231F">
      <w:pPr>
        <w:pStyle w:val="Heading2"/>
        <w:rPr>
          <w:rFonts w:ascii="Arial" w:hAnsi="Arial" w:cs="Arial"/>
        </w:rPr>
      </w:pPr>
      <w:bookmarkStart w:id="53" w:name="_Toc143336346"/>
      <w:r w:rsidRPr="00072D37">
        <w:rPr>
          <w:rFonts w:ascii="Arial" w:hAnsi="Arial" w:cs="Arial"/>
        </w:rPr>
        <w:lastRenderedPageBreak/>
        <w:t xml:space="preserve">Supplementary Figure </w:t>
      </w:r>
      <w:r w:rsidR="002F42A3" w:rsidRPr="00072D37">
        <w:rPr>
          <w:rFonts w:ascii="Arial" w:hAnsi="Arial" w:cs="Arial"/>
        </w:rPr>
        <w:t>5</w:t>
      </w:r>
      <w:r w:rsidRPr="00072D37">
        <w:rPr>
          <w:rFonts w:ascii="Arial" w:hAnsi="Arial" w:cs="Arial"/>
        </w:rPr>
        <w:t>. NAD+ and NADH content in liver homogenates</w:t>
      </w:r>
      <w:r w:rsidR="00B108AB" w:rsidRPr="00072D37">
        <w:rPr>
          <w:rFonts w:ascii="Arial" w:hAnsi="Arial" w:cs="Arial"/>
        </w:rPr>
        <w:t xml:space="preserve"> and perfusate samples</w:t>
      </w:r>
      <w:bookmarkEnd w:id="53"/>
    </w:p>
    <w:p w14:paraId="75463A52" w14:textId="77777777" w:rsidR="006655E5" w:rsidRPr="00072D37" w:rsidRDefault="006655E5" w:rsidP="006655E5">
      <w:pPr>
        <w:rPr>
          <w:rFonts w:ascii="Arial" w:hAnsi="Arial" w:cs="Arial"/>
          <w:lang w:val="en-US" w:eastAsia="en-US"/>
        </w:rPr>
      </w:pPr>
    </w:p>
    <w:p w14:paraId="590D45C0" w14:textId="216113F7" w:rsidR="005703AF" w:rsidRPr="00072D37" w:rsidRDefault="00D93DDC" w:rsidP="00B8261F">
      <w:pPr>
        <w:rPr>
          <w:rFonts w:ascii="Arial" w:hAnsi="Arial" w:cs="Arial"/>
        </w:rPr>
      </w:pPr>
      <w:r w:rsidRPr="00072D37">
        <w:rPr>
          <w:rFonts w:ascii="Arial" w:hAnsi="Arial" w:cs="Arial"/>
          <w:noProof/>
        </w:rPr>
        <w:drawing>
          <wp:inline distT="0" distB="0" distL="0" distR="0" wp14:anchorId="07C2B314" wp14:editId="5D901874">
            <wp:extent cx="6116320" cy="214439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6320" cy="2144395"/>
                    </a:xfrm>
                    <a:prstGeom prst="rect">
                      <a:avLst/>
                    </a:prstGeom>
                    <a:noFill/>
                    <a:ln>
                      <a:noFill/>
                    </a:ln>
                  </pic:spPr>
                </pic:pic>
              </a:graphicData>
            </a:graphic>
          </wp:inline>
        </w:drawing>
      </w:r>
    </w:p>
    <w:p w14:paraId="07068D22" w14:textId="68102A2E" w:rsidR="000A5C9F" w:rsidRPr="00072D37" w:rsidRDefault="000A5C9F" w:rsidP="00DA4897">
      <w:pPr>
        <w:rPr>
          <w:lang w:val="en-US"/>
        </w:rPr>
      </w:pPr>
      <w:r w:rsidRPr="00072D37">
        <w:rPr>
          <w:lang w:val="en-US"/>
        </w:rPr>
        <w:t>NAD total and NADH content</w:t>
      </w:r>
      <w:r w:rsidR="00BB7A99" w:rsidRPr="00072D37">
        <w:rPr>
          <w:lang w:val="en-US"/>
        </w:rPr>
        <w:t>s</w:t>
      </w:r>
      <w:r w:rsidRPr="00072D37">
        <w:rPr>
          <w:lang w:val="en-US"/>
        </w:rPr>
        <w:t xml:space="preserve"> were evaluated in liver biopsies taken at the end of surgery </w:t>
      </w:r>
      <w:r w:rsidR="00F74CCC" w:rsidRPr="00072D37">
        <w:rPr>
          <w:lang w:val="en-US"/>
        </w:rPr>
        <w:t xml:space="preserve">for the </w:t>
      </w:r>
      <w:r w:rsidRPr="00072D37">
        <w:rPr>
          <w:lang w:val="en-US"/>
        </w:rPr>
        <w:t xml:space="preserve">Native </w:t>
      </w:r>
      <w:r w:rsidR="00F74CCC" w:rsidRPr="00072D37">
        <w:rPr>
          <w:lang w:val="en-US"/>
        </w:rPr>
        <w:t xml:space="preserve">group, </w:t>
      </w:r>
      <w:r w:rsidRPr="00072D37">
        <w:rPr>
          <w:lang w:val="en-US"/>
        </w:rPr>
        <w:t>or at the end of the NMP procedure</w:t>
      </w:r>
      <w:r w:rsidR="00F74CCC" w:rsidRPr="00072D37">
        <w:rPr>
          <w:lang w:val="en-US"/>
        </w:rPr>
        <w:t xml:space="preserve"> for the NMP group and the </w:t>
      </w:r>
      <w:proofErr w:type="spellStart"/>
      <w:r w:rsidR="00F74CCC" w:rsidRPr="00072D37">
        <w:rPr>
          <w:lang w:val="en-US"/>
        </w:rPr>
        <w:t>NMP+bioreactor</w:t>
      </w:r>
      <w:proofErr w:type="spellEnd"/>
      <w:r w:rsidR="00F74CCC" w:rsidRPr="00072D37">
        <w:rPr>
          <w:lang w:val="en-US"/>
        </w:rPr>
        <w:t xml:space="preserve"> group</w:t>
      </w:r>
      <w:r w:rsidRPr="00072D37">
        <w:rPr>
          <w:lang w:val="en-US"/>
        </w:rPr>
        <w:t xml:space="preserve">. The </w:t>
      </w:r>
      <w:proofErr w:type="spellStart"/>
      <w:r w:rsidRPr="00072D37">
        <w:rPr>
          <w:lang w:val="en-US"/>
        </w:rPr>
        <w:t>NMP+bioreactor</w:t>
      </w:r>
      <w:proofErr w:type="spellEnd"/>
      <w:r w:rsidRPr="00072D37">
        <w:rPr>
          <w:lang w:val="en-US"/>
        </w:rPr>
        <w:t xml:space="preserve"> group registered a greater amount of both NAD total and NADH content in tissue homogenates with respect to Natives and the NMP group.</w:t>
      </w:r>
      <w:r w:rsidR="00F74CCC" w:rsidRPr="00072D37">
        <w:rPr>
          <w:lang w:val="en-US"/>
        </w:rPr>
        <w:t xml:space="preserve"> One way ANOVA, Tukey’s post hoc test. p value vs </w:t>
      </w:r>
      <w:proofErr w:type="gramStart"/>
      <w:r w:rsidR="00F74CCC" w:rsidRPr="00072D37">
        <w:rPr>
          <w:lang w:val="en-US"/>
        </w:rPr>
        <w:t>Native :</w:t>
      </w:r>
      <w:proofErr w:type="gramEnd"/>
      <w:r w:rsidR="00F74CCC" w:rsidRPr="00072D37">
        <w:rPr>
          <w:lang w:val="en-US"/>
        </w:rPr>
        <w:t xml:space="preserve"> ***&lt;0.001; p value vs NMP : #&lt;0.05; ###&lt;0.001.</w:t>
      </w:r>
    </w:p>
    <w:p w14:paraId="48F2B246" w14:textId="77777777" w:rsidR="005703AF" w:rsidRDefault="00F74CCC" w:rsidP="00DA4897">
      <w:pPr>
        <w:rPr>
          <w:lang w:val="en-US"/>
        </w:rPr>
      </w:pPr>
      <w:r w:rsidRPr="00072D37">
        <w:rPr>
          <w:lang w:val="en-US"/>
        </w:rPr>
        <w:t xml:space="preserve">NADH content was measured in perfusate samples of the NMP experimental group and the </w:t>
      </w:r>
      <w:proofErr w:type="spellStart"/>
      <w:r w:rsidRPr="00072D37">
        <w:rPr>
          <w:lang w:val="en-US"/>
        </w:rPr>
        <w:t>NMP+bioreactor</w:t>
      </w:r>
      <w:proofErr w:type="spellEnd"/>
      <w:r w:rsidRPr="00072D37">
        <w:rPr>
          <w:lang w:val="en-US"/>
        </w:rPr>
        <w:t xml:space="preserve"> experimental group </w:t>
      </w:r>
      <w:proofErr w:type="spellStart"/>
      <w:r w:rsidRPr="00072D37">
        <w:rPr>
          <w:lang w:val="en-US"/>
        </w:rPr>
        <w:t>troughout</w:t>
      </w:r>
      <w:proofErr w:type="spellEnd"/>
      <w:r w:rsidRPr="00072D37">
        <w:rPr>
          <w:lang w:val="en-US"/>
        </w:rPr>
        <w:t xml:space="preserve"> normothermic perfusion. The amount of </w:t>
      </w:r>
      <w:r w:rsidR="000A5C9F" w:rsidRPr="00072D37">
        <w:rPr>
          <w:lang w:val="en-US"/>
        </w:rPr>
        <w:t xml:space="preserve">NADH released </w:t>
      </w:r>
      <w:r w:rsidRPr="00072D37">
        <w:rPr>
          <w:lang w:val="en-US"/>
        </w:rPr>
        <w:t xml:space="preserve">in perfusates </w:t>
      </w:r>
      <w:r w:rsidR="000A5C9F" w:rsidRPr="00072D37">
        <w:rPr>
          <w:lang w:val="en-US"/>
        </w:rPr>
        <w:t xml:space="preserve">by the </w:t>
      </w:r>
      <w:proofErr w:type="spellStart"/>
      <w:r w:rsidRPr="00072D37">
        <w:rPr>
          <w:lang w:val="en-US"/>
        </w:rPr>
        <w:t>NMP+</w:t>
      </w:r>
      <w:r w:rsidR="000A5C9F" w:rsidRPr="00072D37">
        <w:rPr>
          <w:lang w:val="en-US"/>
        </w:rPr>
        <w:t>bioreactor</w:t>
      </w:r>
      <w:proofErr w:type="spellEnd"/>
      <w:r w:rsidRPr="00072D37">
        <w:rPr>
          <w:lang w:val="en-US"/>
        </w:rPr>
        <w:t xml:space="preserve"> group livers</w:t>
      </w:r>
      <w:r w:rsidR="000A5C9F" w:rsidRPr="00072D37">
        <w:rPr>
          <w:lang w:val="en-US"/>
        </w:rPr>
        <w:t xml:space="preserve"> was higher compared to the NMP group</w:t>
      </w:r>
      <w:r w:rsidRPr="00072D37">
        <w:rPr>
          <w:lang w:val="en-US"/>
        </w:rPr>
        <w:t>,</w:t>
      </w:r>
      <w:r w:rsidR="00BB7A99" w:rsidRPr="00072D37">
        <w:rPr>
          <w:lang w:val="en-US"/>
        </w:rPr>
        <w:t xml:space="preserve"> remaining </w:t>
      </w:r>
      <w:r w:rsidR="000A5C9F" w:rsidRPr="00072D37">
        <w:rPr>
          <w:lang w:val="en-US"/>
        </w:rPr>
        <w:t>stable throughout reperfusion (Two-way RM ANOVA, Tukey’s post hoc test. p value</w:t>
      </w:r>
      <w:r w:rsidR="00BB7A99" w:rsidRPr="00072D37">
        <w:rPr>
          <w:lang w:val="en-US"/>
        </w:rPr>
        <w:t xml:space="preserve"> vs </w:t>
      </w:r>
      <w:r w:rsidR="000A5C9F" w:rsidRPr="00072D37">
        <w:rPr>
          <w:lang w:val="en-US"/>
        </w:rPr>
        <w:t>NMP: ***&lt;0.001).</w:t>
      </w:r>
      <w:r w:rsidR="0058220D" w:rsidRPr="00072D37">
        <w:rPr>
          <w:lang w:val="en-US"/>
        </w:rPr>
        <w:t xml:space="preserve"> W, wash-out.</w:t>
      </w:r>
    </w:p>
    <w:p w14:paraId="6AC59942" w14:textId="2851107F" w:rsidR="002D1742" w:rsidRPr="00072D37" w:rsidRDefault="002D1742" w:rsidP="00DA4897">
      <w:pPr>
        <w:rPr>
          <w:lang w:val="en-US"/>
        </w:rPr>
        <w:sectPr w:rsidR="002D1742" w:rsidRPr="00072D37" w:rsidSect="000764D6">
          <w:pgSz w:w="11900" w:h="16840"/>
          <w:pgMar w:top="1417" w:right="1134" w:bottom="1134" w:left="1134" w:header="708" w:footer="708" w:gutter="0"/>
          <w:cols w:space="708"/>
          <w:docGrid w:linePitch="360"/>
        </w:sectPr>
      </w:pPr>
    </w:p>
    <w:p w14:paraId="3D4F2BD5" w14:textId="038E0428" w:rsidR="00B250D1" w:rsidRPr="00072D37" w:rsidRDefault="00B250D1" w:rsidP="00B250D1">
      <w:pPr>
        <w:pStyle w:val="Heading1"/>
        <w:rPr>
          <w:rFonts w:ascii="Arial" w:hAnsi="Arial" w:cs="Arial"/>
        </w:rPr>
      </w:pPr>
      <w:r w:rsidRPr="00072D37">
        <w:rPr>
          <w:rFonts w:ascii="Arial" w:hAnsi="Arial" w:cs="Arial"/>
        </w:rPr>
        <w:lastRenderedPageBreak/>
        <w:fldChar w:fldCharType="begin"/>
      </w:r>
      <w:r w:rsidRPr="00072D37">
        <w:rPr>
          <w:rFonts w:ascii="Arial" w:hAnsi="Arial" w:cs="Arial"/>
        </w:rPr>
        <w:instrText xml:space="preserve"> AUTONUMLGL </w:instrText>
      </w:r>
      <w:bookmarkStart w:id="54" w:name="_Toc143336347"/>
      <w:r w:rsidRPr="00072D37">
        <w:rPr>
          <w:rFonts w:ascii="Arial" w:hAnsi="Arial" w:cs="Arial"/>
        </w:rPr>
        <w:fldChar w:fldCharType="end"/>
      </w:r>
      <w:r w:rsidRPr="00072D37">
        <w:rPr>
          <w:rFonts w:ascii="Arial" w:hAnsi="Arial" w:cs="Arial"/>
        </w:rPr>
        <w:t xml:space="preserve"> References</w:t>
      </w:r>
      <w:bookmarkEnd w:id="54"/>
    </w:p>
    <w:p w14:paraId="4EF61CD3" w14:textId="136F95EF" w:rsidR="004B50BC" w:rsidRPr="004B50BC" w:rsidRDefault="00B250D1" w:rsidP="004B50BC">
      <w:pPr>
        <w:widowControl w:val="0"/>
        <w:autoSpaceDE w:val="0"/>
        <w:autoSpaceDN w:val="0"/>
        <w:adjustRightInd w:val="0"/>
        <w:ind w:left="640" w:hanging="640"/>
        <w:rPr>
          <w:noProof/>
          <w:lang w:val="en-US"/>
        </w:rPr>
      </w:pPr>
      <w:r w:rsidRPr="00072D37">
        <w:rPr>
          <w:lang w:val="en-US" w:eastAsia="en-US"/>
        </w:rPr>
        <w:fldChar w:fldCharType="begin" w:fldLock="1"/>
      </w:r>
      <w:r w:rsidRPr="00072D37">
        <w:rPr>
          <w:lang w:val="en-US" w:eastAsia="en-US"/>
        </w:rPr>
        <w:instrText xml:space="preserve">ADDIN Mendeley Bibliography CSL_BIBLIOGRAPHY </w:instrText>
      </w:r>
      <w:r w:rsidRPr="00072D37">
        <w:rPr>
          <w:lang w:val="en-US" w:eastAsia="en-US"/>
        </w:rPr>
        <w:fldChar w:fldCharType="separate"/>
      </w:r>
      <w:r w:rsidR="004B50BC" w:rsidRPr="004B50BC">
        <w:rPr>
          <w:noProof/>
          <w:lang w:val="en-US"/>
        </w:rPr>
        <w:t>1.</w:t>
      </w:r>
      <w:r w:rsidR="004B50BC" w:rsidRPr="004B50BC">
        <w:rPr>
          <w:noProof/>
          <w:lang w:val="en-US"/>
        </w:rPr>
        <w:tab/>
        <w:t xml:space="preserve">Debnath, T. &amp; Chelluri, L. K. Standardization and quality assessment for clinical grade mesenchymal stem cells from human adipose tissue. </w:t>
      </w:r>
      <w:r w:rsidR="004B50BC" w:rsidRPr="004B50BC">
        <w:rPr>
          <w:i/>
          <w:iCs/>
          <w:noProof/>
          <w:lang w:val="en-US"/>
        </w:rPr>
        <w:t>Hematol. Transfus. Cell Ther.</w:t>
      </w:r>
      <w:r w:rsidR="004B50BC" w:rsidRPr="004B50BC">
        <w:rPr>
          <w:noProof/>
          <w:lang w:val="en-US"/>
        </w:rPr>
        <w:t xml:space="preserve"> </w:t>
      </w:r>
      <w:r w:rsidR="004B50BC" w:rsidRPr="004B50BC">
        <w:rPr>
          <w:b/>
          <w:bCs w:val="0"/>
          <w:noProof/>
          <w:lang w:val="en-US"/>
        </w:rPr>
        <w:t>41</w:t>
      </w:r>
      <w:r w:rsidR="004B50BC" w:rsidRPr="004B50BC">
        <w:rPr>
          <w:noProof/>
          <w:lang w:val="en-US"/>
        </w:rPr>
        <w:t>, 7–16 (2019).</w:t>
      </w:r>
    </w:p>
    <w:p w14:paraId="52BCABD5" w14:textId="77777777" w:rsidR="004B50BC" w:rsidRPr="004B50BC" w:rsidRDefault="004B50BC" w:rsidP="004B50BC">
      <w:pPr>
        <w:widowControl w:val="0"/>
        <w:autoSpaceDE w:val="0"/>
        <w:autoSpaceDN w:val="0"/>
        <w:adjustRightInd w:val="0"/>
        <w:ind w:left="640" w:hanging="640"/>
        <w:rPr>
          <w:noProof/>
          <w:lang w:val="en-US"/>
        </w:rPr>
      </w:pPr>
      <w:r w:rsidRPr="004B50BC">
        <w:rPr>
          <w:noProof/>
          <w:lang w:val="en-US"/>
        </w:rPr>
        <w:t>2.</w:t>
      </w:r>
      <w:r w:rsidRPr="004B50BC">
        <w:rPr>
          <w:noProof/>
          <w:lang w:val="en-US"/>
        </w:rPr>
        <w:tab/>
        <w:t xml:space="preserve">Balls, M. It’s Time to Reconsider The Principles of Humane Experimental Technique. </w:t>
      </w:r>
      <w:r w:rsidRPr="004B50BC">
        <w:rPr>
          <w:i/>
          <w:iCs/>
          <w:noProof/>
          <w:lang w:val="en-US"/>
        </w:rPr>
        <w:t>ATLA Altern. to Lab. Anim.</w:t>
      </w:r>
      <w:r w:rsidRPr="004B50BC">
        <w:rPr>
          <w:noProof/>
          <w:lang w:val="en-US"/>
        </w:rPr>
        <w:t xml:space="preserve"> </w:t>
      </w:r>
      <w:r w:rsidRPr="004B50BC">
        <w:rPr>
          <w:b/>
          <w:bCs w:val="0"/>
          <w:noProof/>
          <w:lang w:val="en-US"/>
        </w:rPr>
        <w:t>48</w:t>
      </w:r>
      <w:r w:rsidRPr="004B50BC">
        <w:rPr>
          <w:noProof/>
          <w:lang w:val="en-US"/>
        </w:rPr>
        <w:t>, 40–46 (2020).</w:t>
      </w:r>
    </w:p>
    <w:p w14:paraId="2B18FAC6" w14:textId="77777777" w:rsidR="004B50BC" w:rsidRPr="004B50BC" w:rsidRDefault="004B50BC" w:rsidP="004B50BC">
      <w:pPr>
        <w:widowControl w:val="0"/>
        <w:autoSpaceDE w:val="0"/>
        <w:autoSpaceDN w:val="0"/>
        <w:adjustRightInd w:val="0"/>
        <w:ind w:left="640" w:hanging="640"/>
        <w:rPr>
          <w:noProof/>
          <w:lang w:val="en-US"/>
        </w:rPr>
      </w:pPr>
      <w:r w:rsidRPr="004B50BC">
        <w:rPr>
          <w:noProof/>
          <w:lang w:val="en-US"/>
        </w:rPr>
        <w:t>3.</w:t>
      </w:r>
      <w:r w:rsidRPr="004B50BC">
        <w:rPr>
          <w:noProof/>
          <w:lang w:val="en-US"/>
        </w:rPr>
        <w:tab/>
        <w:t xml:space="preserve">Russell, W. M. S. &amp; Burch, R. L. The Principles of Humane Experimental Technique. </w:t>
      </w:r>
      <w:r w:rsidRPr="004B50BC">
        <w:rPr>
          <w:i/>
          <w:iCs/>
          <w:noProof/>
          <w:lang w:val="en-US"/>
        </w:rPr>
        <w:t>Methuen Co., Ltd.</w:t>
      </w:r>
      <w:r w:rsidRPr="004B50BC">
        <w:rPr>
          <w:noProof/>
          <w:lang w:val="en-US"/>
        </w:rPr>
        <w:t xml:space="preserve"> (1959) doi:10.1017/CBO9781107415324.004.</w:t>
      </w:r>
    </w:p>
    <w:p w14:paraId="78594316" w14:textId="77777777" w:rsidR="004B50BC" w:rsidRPr="004B50BC" w:rsidRDefault="004B50BC" w:rsidP="004B50BC">
      <w:pPr>
        <w:widowControl w:val="0"/>
        <w:autoSpaceDE w:val="0"/>
        <w:autoSpaceDN w:val="0"/>
        <w:adjustRightInd w:val="0"/>
        <w:ind w:left="640" w:hanging="640"/>
        <w:rPr>
          <w:noProof/>
        </w:rPr>
      </w:pPr>
      <w:r w:rsidRPr="004B50BC">
        <w:rPr>
          <w:noProof/>
          <w:lang w:val="en-US"/>
        </w:rPr>
        <w:t>4.</w:t>
      </w:r>
      <w:r w:rsidRPr="004B50BC">
        <w:rPr>
          <w:noProof/>
          <w:lang w:val="en-US"/>
        </w:rPr>
        <w:tab/>
        <w:t xml:space="preserve">Hast, P. </w:t>
      </w:r>
      <w:r w:rsidRPr="004B50BC">
        <w:rPr>
          <w:i/>
          <w:iCs/>
          <w:noProof/>
          <w:lang w:val="en-US"/>
        </w:rPr>
        <w:t>Determination of NADH Concentrations with the Synergy</w:t>
      </w:r>
      <w:r w:rsidRPr="004B50BC">
        <w:rPr>
          <w:i/>
          <w:iCs/>
          <w:noProof/>
          <w:vertAlign w:val="superscript"/>
          <w:lang w:val="en-US"/>
        </w:rPr>
        <w:t>TM</w:t>
      </w:r>
      <w:r w:rsidRPr="004B50BC">
        <w:rPr>
          <w:i/>
          <w:iCs/>
          <w:noProof/>
          <w:lang w:val="en-US"/>
        </w:rPr>
        <w:t xml:space="preserve"> 2 Multi-Detection Microplate Reader using Fluorescence or Absorbance</w:t>
      </w:r>
      <w:r w:rsidRPr="004B50BC">
        <w:rPr>
          <w:noProof/>
          <w:lang w:val="en-US"/>
        </w:rPr>
        <w:t>. (2007).</w:t>
      </w:r>
    </w:p>
    <w:p w14:paraId="7A4235D0" w14:textId="2F1F67D8" w:rsidR="00B250D1" w:rsidRPr="005703AF" w:rsidRDefault="00B250D1" w:rsidP="004B50BC">
      <w:pPr>
        <w:widowControl w:val="0"/>
        <w:autoSpaceDE w:val="0"/>
        <w:autoSpaceDN w:val="0"/>
        <w:adjustRightInd w:val="0"/>
        <w:ind w:left="640" w:hanging="640"/>
        <w:rPr>
          <w:lang w:val="en-US" w:eastAsia="en-US"/>
        </w:rPr>
      </w:pPr>
      <w:r w:rsidRPr="00072D37">
        <w:rPr>
          <w:lang w:val="en-US" w:eastAsia="en-US"/>
        </w:rPr>
        <w:fldChar w:fldCharType="end"/>
      </w:r>
    </w:p>
    <w:p w14:paraId="2E94C786" w14:textId="77777777" w:rsidR="007D0AB1" w:rsidRPr="005703AF" w:rsidRDefault="007D0AB1" w:rsidP="007D0AB1">
      <w:pPr>
        <w:rPr>
          <w:rFonts w:ascii="Arial" w:hAnsi="Arial" w:cs="Arial"/>
          <w:lang w:val="en-US" w:eastAsia="en-US"/>
        </w:rPr>
      </w:pPr>
    </w:p>
    <w:p w14:paraId="678DBD2A" w14:textId="77777777" w:rsidR="007B0273" w:rsidRPr="005703AF" w:rsidRDefault="007B0273" w:rsidP="007B0273">
      <w:pPr>
        <w:rPr>
          <w:rFonts w:ascii="Arial" w:hAnsi="Arial" w:cs="Arial"/>
          <w:lang w:val="en-US" w:eastAsia="en-US"/>
        </w:rPr>
      </w:pPr>
    </w:p>
    <w:sectPr w:rsidR="007B0273" w:rsidRPr="005703AF" w:rsidSect="000764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61E27" w14:textId="77777777" w:rsidR="00677A83" w:rsidRDefault="00677A83" w:rsidP="002B66E0">
      <w:pPr>
        <w:spacing w:after="0" w:line="240" w:lineRule="auto"/>
      </w:pPr>
      <w:r>
        <w:separator/>
      </w:r>
    </w:p>
  </w:endnote>
  <w:endnote w:type="continuationSeparator" w:id="0">
    <w:p w14:paraId="4F40B49B" w14:textId="77777777" w:rsidR="00677A83" w:rsidRDefault="00677A83" w:rsidP="002B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7434925"/>
      <w:docPartObj>
        <w:docPartGallery w:val="Page Numbers (Bottom of Page)"/>
        <w:docPartUnique/>
      </w:docPartObj>
    </w:sdtPr>
    <w:sdtContent>
      <w:p w14:paraId="49D3A130" w14:textId="41FBDB74" w:rsidR="00397D92" w:rsidRDefault="00397D92" w:rsidP="003D6F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7FB872" w14:textId="77777777" w:rsidR="00397D92" w:rsidRDefault="00397D92" w:rsidP="002B66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215442"/>
      <w:docPartObj>
        <w:docPartGallery w:val="Page Numbers (Bottom of Page)"/>
        <w:docPartUnique/>
      </w:docPartObj>
    </w:sdtPr>
    <w:sdtContent>
      <w:p w14:paraId="5348A75E" w14:textId="02000283" w:rsidR="00397D92" w:rsidRDefault="00397D92" w:rsidP="003D6F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BEFEFA" w14:textId="77777777" w:rsidR="00397D92" w:rsidRDefault="00397D92" w:rsidP="002B66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45D61" w14:textId="77777777" w:rsidR="00677A83" w:rsidRDefault="00677A83" w:rsidP="002B66E0">
      <w:pPr>
        <w:spacing w:after="0" w:line="240" w:lineRule="auto"/>
      </w:pPr>
      <w:r>
        <w:separator/>
      </w:r>
    </w:p>
  </w:footnote>
  <w:footnote w:type="continuationSeparator" w:id="0">
    <w:p w14:paraId="7B11090E" w14:textId="77777777" w:rsidR="00677A83" w:rsidRDefault="00677A83" w:rsidP="002B66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EE"/>
    <w:rsid w:val="00001A81"/>
    <w:rsid w:val="000129A4"/>
    <w:rsid w:val="000235E8"/>
    <w:rsid w:val="0004594F"/>
    <w:rsid w:val="00072D37"/>
    <w:rsid w:val="000764D6"/>
    <w:rsid w:val="00081E4B"/>
    <w:rsid w:val="000851E6"/>
    <w:rsid w:val="00095B33"/>
    <w:rsid w:val="000A006B"/>
    <w:rsid w:val="000A1127"/>
    <w:rsid w:val="000A2AD9"/>
    <w:rsid w:val="000A5C9F"/>
    <w:rsid w:val="000A6B93"/>
    <w:rsid w:val="000B7C64"/>
    <w:rsid w:val="000B7E2F"/>
    <w:rsid w:val="000C5FD1"/>
    <w:rsid w:val="000E6A34"/>
    <w:rsid w:val="000F7E2B"/>
    <w:rsid w:val="00101938"/>
    <w:rsid w:val="001100D3"/>
    <w:rsid w:val="00130A43"/>
    <w:rsid w:val="00152B92"/>
    <w:rsid w:val="001748B2"/>
    <w:rsid w:val="00174E35"/>
    <w:rsid w:val="001813AC"/>
    <w:rsid w:val="0018604E"/>
    <w:rsid w:val="00190C04"/>
    <w:rsid w:val="00194F31"/>
    <w:rsid w:val="001A1EAE"/>
    <w:rsid w:val="001A48D6"/>
    <w:rsid w:val="001B4F2F"/>
    <w:rsid w:val="001B50D3"/>
    <w:rsid w:val="001C65A1"/>
    <w:rsid w:val="001D3DB7"/>
    <w:rsid w:val="001D76F3"/>
    <w:rsid w:val="001E0437"/>
    <w:rsid w:val="001E3995"/>
    <w:rsid w:val="001E6709"/>
    <w:rsid w:val="001F3E48"/>
    <w:rsid w:val="001F786C"/>
    <w:rsid w:val="00224D29"/>
    <w:rsid w:val="002279A0"/>
    <w:rsid w:val="00232AF5"/>
    <w:rsid w:val="00237A79"/>
    <w:rsid w:val="002475CF"/>
    <w:rsid w:val="002508C0"/>
    <w:rsid w:val="0025196D"/>
    <w:rsid w:val="00256FF3"/>
    <w:rsid w:val="00286730"/>
    <w:rsid w:val="00290C07"/>
    <w:rsid w:val="00294E45"/>
    <w:rsid w:val="00296354"/>
    <w:rsid w:val="002A07C0"/>
    <w:rsid w:val="002A647C"/>
    <w:rsid w:val="002B05FA"/>
    <w:rsid w:val="002B3D20"/>
    <w:rsid w:val="002B4519"/>
    <w:rsid w:val="002B58F5"/>
    <w:rsid w:val="002B66E0"/>
    <w:rsid w:val="002C1F72"/>
    <w:rsid w:val="002C21A1"/>
    <w:rsid w:val="002C4B39"/>
    <w:rsid w:val="002C6F15"/>
    <w:rsid w:val="002D0B2C"/>
    <w:rsid w:val="002D1742"/>
    <w:rsid w:val="002E5566"/>
    <w:rsid w:val="002F42A3"/>
    <w:rsid w:val="00305524"/>
    <w:rsid w:val="00306F11"/>
    <w:rsid w:val="0031173F"/>
    <w:rsid w:val="003134C1"/>
    <w:rsid w:val="0031352C"/>
    <w:rsid w:val="003257D9"/>
    <w:rsid w:val="003352DC"/>
    <w:rsid w:val="00340631"/>
    <w:rsid w:val="00341D35"/>
    <w:rsid w:val="00342D07"/>
    <w:rsid w:val="00351134"/>
    <w:rsid w:val="003751C6"/>
    <w:rsid w:val="00375F8B"/>
    <w:rsid w:val="003842CE"/>
    <w:rsid w:val="00384B26"/>
    <w:rsid w:val="00397D92"/>
    <w:rsid w:val="003D6FD2"/>
    <w:rsid w:val="003E231F"/>
    <w:rsid w:val="003E4AF6"/>
    <w:rsid w:val="003E6FF0"/>
    <w:rsid w:val="003F5925"/>
    <w:rsid w:val="00401FED"/>
    <w:rsid w:val="00412A34"/>
    <w:rsid w:val="00412C2C"/>
    <w:rsid w:val="00416B02"/>
    <w:rsid w:val="004176D2"/>
    <w:rsid w:val="00421D27"/>
    <w:rsid w:val="00422AA7"/>
    <w:rsid w:val="0042467B"/>
    <w:rsid w:val="00425050"/>
    <w:rsid w:val="00425E59"/>
    <w:rsid w:val="00443C12"/>
    <w:rsid w:val="00446A7B"/>
    <w:rsid w:val="004629E8"/>
    <w:rsid w:val="00462A2F"/>
    <w:rsid w:val="004636C1"/>
    <w:rsid w:val="00467E7D"/>
    <w:rsid w:val="00476095"/>
    <w:rsid w:val="0048412D"/>
    <w:rsid w:val="004A37C7"/>
    <w:rsid w:val="004B50BC"/>
    <w:rsid w:val="004C794B"/>
    <w:rsid w:val="004D1BEE"/>
    <w:rsid w:val="004D4C5D"/>
    <w:rsid w:val="004D7ED1"/>
    <w:rsid w:val="004E4255"/>
    <w:rsid w:val="004F4EDB"/>
    <w:rsid w:val="0051099F"/>
    <w:rsid w:val="0051253F"/>
    <w:rsid w:val="005206DD"/>
    <w:rsid w:val="00521BB7"/>
    <w:rsid w:val="005253BE"/>
    <w:rsid w:val="00526DD8"/>
    <w:rsid w:val="005327D9"/>
    <w:rsid w:val="005372F4"/>
    <w:rsid w:val="00546B70"/>
    <w:rsid w:val="00547DE5"/>
    <w:rsid w:val="00551491"/>
    <w:rsid w:val="005548D1"/>
    <w:rsid w:val="005703AF"/>
    <w:rsid w:val="0058220D"/>
    <w:rsid w:val="005822FE"/>
    <w:rsid w:val="0058257B"/>
    <w:rsid w:val="005834A5"/>
    <w:rsid w:val="00584988"/>
    <w:rsid w:val="00585106"/>
    <w:rsid w:val="00585AFF"/>
    <w:rsid w:val="00590AE5"/>
    <w:rsid w:val="00595F48"/>
    <w:rsid w:val="005B5AB8"/>
    <w:rsid w:val="005C63E6"/>
    <w:rsid w:val="005E1BDF"/>
    <w:rsid w:val="005F7145"/>
    <w:rsid w:val="00602151"/>
    <w:rsid w:val="0060282F"/>
    <w:rsid w:val="0060794A"/>
    <w:rsid w:val="00610E6B"/>
    <w:rsid w:val="0061351A"/>
    <w:rsid w:val="00636EAD"/>
    <w:rsid w:val="0065157B"/>
    <w:rsid w:val="00663BC2"/>
    <w:rsid w:val="00664917"/>
    <w:rsid w:val="006655E5"/>
    <w:rsid w:val="006671CF"/>
    <w:rsid w:val="00670D73"/>
    <w:rsid w:val="00677A83"/>
    <w:rsid w:val="00677F22"/>
    <w:rsid w:val="00694409"/>
    <w:rsid w:val="006A0C6D"/>
    <w:rsid w:val="006A114A"/>
    <w:rsid w:val="006A2545"/>
    <w:rsid w:val="006B6B90"/>
    <w:rsid w:val="006C3885"/>
    <w:rsid w:val="006C49A3"/>
    <w:rsid w:val="006C59D5"/>
    <w:rsid w:val="006C5A9C"/>
    <w:rsid w:val="006D7191"/>
    <w:rsid w:val="006E1F5C"/>
    <w:rsid w:val="006E690F"/>
    <w:rsid w:val="007030CA"/>
    <w:rsid w:val="00704DB0"/>
    <w:rsid w:val="00713542"/>
    <w:rsid w:val="00717037"/>
    <w:rsid w:val="007175E0"/>
    <w:rsid w:val="007303D8"/>
    <w:rsid w:val="007359AD"/>
    <w:rsid w:val="00752EEB"/>
    <w:rsid w:val="007547E5"/>
    <w:rsid w:val="00757B79"/>
    <w:rsid w:val="007610A0"/>
    <w:rsid w:val="00780BA1"/>
    <w:rsid w:val="0078217A"/>
    <w:rsid w:val="00782B26"/>
    <w:rsid w:val="007A4BB4"/>
    <w:rsid w:val="007A4E3F"/>
    <w:rsid w:val="007B0273"/>
    <w:rsid w:val="007B55C1"/>
    <w:rsid w:val="007C1D26"/>
    <w:rsid w:val="007C2583"/>
    <w:rsid w:val="007C590E"/>
    <w:rsid w:val="007D0AB1"/>
    <w:rsid w:val="007E0A16"/>
    <w:rsid w:val="00800470"/>
    <w:rsid w:val="00805989"/>
    <w:rsid w:val="0080649F"/>
    <w:rsid w:val="00807F61"/>
    <w:rsid w:val="0082058B"/>
    <w:rsid w:val="0082211E"/>
    <w:rsid w:val="00822503"/>
    <w:rsid w:val="008374E1"/>
    <w:rsid w:val="00846C89"/>
    <w:rsid w:val="00853AEA"/>
    <w:rsid w:val="008605AB"/>
    <w:rsid w:val="00890207"/>
    <w:rsid w:val="00890606"/>
    <w:rsid w:val="00894436"/>
    <w:rsid w:val="008A4757"/>
    <w:rsid w:val="008B0F60"/>
    <w:rsid w:val="008B13ED"/>
    <w:rsid w:val="008D6E5B"/>
    <w:rsid w:val="008E661B"/>
    <w:rsid w:val="008F0EA9"/>
    <w:rsid w:val="00911046"/>
    <w:rsid w:val="00922D59"/>
    <w:rsid w:val="00923564"/>
    <w:rsid w:val="00923960"/>
    <w:rsid w:val="009369BD"/>
    <w:rsid w:val="00940465"/>
    <w:rsid w:val="009459D1"/>
    <w:rsid w:val="00956D14"/>
    <w:rsid w:val="00963274"/>
    <w:rsid w:val="0096638A"/>
    <w:rsid w:val="00972FBF"/>
    <w:rsid w:val="00977910"/>
    <w:rsid w:val="009840DB"/>
    <w:rsid w:val="009D1FDC"/>
    <w:rsid w:val="009F6536"/>
    <w:rsid w:val="009F71DB"/>
    <w:rsid w:val="009F7EF8"/>
    <w:rsid w:val="009F7F54"/>
    <w:rsid w:val="00A00E0A"/>
    <w:rsid w:val="00A02FD3"/>
    <w:rsid w:val="00A224EB"/>
    <w:rsid w:val="00A2513B"/>
    <w:rsid w:val="00A2644A"/>
    <w:rsid w:val="00A2678F"/>
    <w:rsid w:val="00A3222A"/>
    <w:rsid w:val="00A35BB1"/>
    <w:rsid w:val="00A4321E"/>
    <w:rsid w:val="00A47E10"/>
    <w:rsid w:val="00A5037C"/>
    <w:rsid w:val="00A50B5A"/>
    <w:rsid w:val="00A603E4"/>
    <w:rsid w:val="00A73230"/>
    <w:rsid w:val="00A755A6"/>
    <w:rsid w:val="00A816C0"/>
    <w:rsid w:val="00A83FE5"/>
    <w:rsid w:val="00A84826"/>
    <w:rsid w:val="00A954D2"/>
    <w:rsid w:val="00AA1C17"/>
    <w:rsid w:val="00AA5ABB"/>
    <w:rsid w:val="00AA703F"/>
    <w:rsid w:val="00AC23A5"/>
    <w:rsid w:val="00AC261E"/>
    <w:rsid w:val="00AC529E"/>
    <w:rsid w:val="00AD0933"/>
    <w:rsid w:val="00AD6BBE"/>
    <w:rsid w:val="00AE3A0D"/>
    <w:rsid w:val="00AF0516"/>
    <w:rsid w:val="00AF3809"/>
    <w:rsid w:val="00B108AB"/>
    <w:rsid w:val="00B124DD"/>
    <w:rsid w:val="00B13B20"/>
    <w:rsid w:val="00B23607"/>
    <w:rsid w:val="00B250D1"/>
    <w:rsid w:val="00B324F8"/>
    <w:rsid w:val="00B36224"/>
    <w:rsid w:val="00B40F39"/>
    <w:rsid w:val="00B44BA6"/>
    <w:rsid w:val="00B61132"/>
    <w:rsid w:val="00B6223A"/>
    <w:rsid w:val="00B6468A"/>
    <w:rsid w:val="00B65ED3"/>
    <w:rsid w:val="00B75693"/>
    <w:rsid w:val="00B80FC5"/>
    <w:rsid w:val="00B8261F"/>
    <w:rsid w:val="00B96A3B"/>
    <w:rsid w:val="00BA158E"/>
    <w:rsid w:val="00BA5296"/>
    <w:rsid w:val="00BB2429"/>
    <w:rsid w:val="00BB3993"/>
    <w:rsid w:val="00BB6BA5"/>
    <w:rsid w:val="00BB6D85"/>
    <w:rsid w:val="00BB7A99"/>
    <w:rsid w:val="00BC2861"/>
    <w:rsid w:val="00BC7ECC"/>
    <w:rsid w:val="00BD1AA3"/>
    <w:rsid w:val="00BE66FB"/>
    <w:rsid w:val="00BE7418"/>
    <w:rsid w:val="00BF144F"/>
    <w:rsid w:val="00C03123"/>
    <w:rsid w:val="00C15841"/>
    <w:rsid w:val="00C20683"/>
    <w:rsid w:val="00C25E53"/>
    <w:rsid w:val="00C26BB3"/>
    <w:rsid w:val="00C271C6"/>
    <w:rsid w:val="00C31BB3"/>
    <w:rsid w:val="00C36ABA"/>
    <w:rsid w:val="00C37EFE"/>
    <w:rsid w:val="00C409E8"/>
    <w:rsid w:val="00C439F8"/>
    <w:rsid w:val="00C457D8"/>
    <w:rsid w:val="00C62DB8"/>
    <w:rsid w:val="00C70DBC"/>
    <w:rsid w:val="00C872D3"/>
    <w:rsid w:val="00CA2701"/>
    <w:rsid w:val="00CA750E"/>
    <w:rsid w:val="00CB4524"/>
    <w:rsid w:val="00CD2EAF"/>
    <w:rsid w:val="00CE6F94"/>
    <w:rsid w:val="00CF1687"/>
    <w:rsid w:val="00CF397C"/>
    <w:rsid w:val="00D00CE5"/>
    <w:rsid w:val="00D01690"/>
    <w:rsid w:val="00D04475"/>
    <w:rsid w:val="00D0556B"/>
    <w:rsid w:val="00D112CB"/>
    <w:rsid w:val="00D12463"/>
    <w:rsid w:val="00D26904"/>
    <w:rsid w:val="00D376A9"/>
    <w:rsid w:val="00D5446F"/>
    <w:rsid w:val="00D60E10"/>
    <w:rsid w:val="00D627B5"/>
    <w:rsid w:val="00D648DB"/>
    <w:rsid w:val="00D74BB7"/>
    <w:rsid w:val="00D93DDC"/>
    <w:rsid w:val="00DA16CD"/>
    <w:rsid w:val="00DA4897"/>
    <w:rsid w:val="00DA4F83"/>
    <w:rsid w:val="00DA6DED"/>
    <w:rsid w:val="00DB0D06"/>
    <w:rsid w:val="00DC1E8F"/>
    <w:rsid w:val="00DD06ED"/>
    <w:rsid w:val="00DD4798"/>
    <w:rsid w:val="00E0227E"/>
    <w:rsid w:val="00E16575"/>
    <w:rsid w:val="00E16768"/>
    <w:rsid w:val="00E25F08"/>
    <w:rsid w:val="00E33CFA"/>
    <w:rsid w:val="00E43D9F"/>
    <w:rsid w:val="00E54566"/>
    <w:rsid w:val="00E5539F"/>
    <w:rsid w:val="00E55575"/>
    <w:rsid w:val="00E57D19"/>
    <w:rsid w:val="00E67048"/>
    <w:rsid w:val="00E73666"/>
    <w:rsid w:val="00E76576"/>
    <w:rsid w:val="00EA17C2"/>
    <w:rsid w:val="00EA307E"/>
    <w:rsid w:val="00EA43FF"/>
    <w:rsid w:val="00EA49DF"/>
    <w:rsid w:val="00EA73B4"/>
    <w:rsid w:val="00EB0CB3"/>
    <w:rsid w:val="00EB1EE9"/>
    <w:rsid w:val="00EC781F"/>
    <w:rsid w:val="00ED1EC8"/>
    <w:rsid w:val="00ED3155"/>
    <w:rsid w:val="00ED3D63"/>
    <w:rsid w:val="00ED5DA4"/>
    <w:rsid w:val="00EF183A"/>
    <w:rsid w:val="00F04D50"/>
    <w:rsid w:val="00F066E2"/>
    <w:rsid w:val="00F20013"/>
    <w:rsid w:val="00F220F2"/>
    <w:rsid w:val="00F34E97"/>
    <w:rsid w:val="00F74CCC"/>
    <w:rsid w:val="00F77558"/>
    <w:rsid w:val="00F8080F"/>
    <w:rsid w:val="00F83474"/>
    <w:rsid w:val="00F92872"/>
    <w:rsid w:val="00F9291C"/>
    <w:rsid w:val="00F9455A"/>
    <w:rsid w:val="00F97623"/>
    <w:rsid w:val="00FA2308"/>
    <w:rsid w:val="00FA33E0"/>
    <w:rsid w:val="00FB0C99"/>
    <w:rsid w:val="00FB1476"/>
    <w:rsid w:val="00FC39CA"/>
    <w:rsid w:val="00FD0112"/>
    <w:rsid w:val="00FD7FBA"/>
    <w:rsid w:val="00FE3EEB"/>
    <w:rsid w:val="00FE5D1A"/>
    <w:rsid w:val="00FE7719"/>
    <w:rsid w:val="00FF2169"/>
    <w:rsid w:val="00FF3D0A"/>
    <w:rsid w:val="00FF47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89ED61"/>
  <w15:docId w15:val="{35843B69-B69C-4346-A5D8-21717F9A7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F2169"/>
    <w:pPr>
      <w:spacing w:after="40" w:line="360" w:lineRule="auto"/>
      <w:jc w:val="both"/>
    </w:pPr>
    <w:rPr>
      <w:rFonts w:ascii="Times New Roman" w:eastAsia="Times New Roman" w:hAnsi="Times New Roman" w:cs="Times New Roman"/>
      <w:bCs/>
      <w:lang w:eastAsia="it-IT"/>
    </w:rPr>
  </w:style>
  <w:style w:type="paragraph" w:styleId="Heading1">
    <w:name w:val="heading 1"/>
    <w:basedOn w:val="Normal"/>
    <w:next w:val="Normal"/>
    <w:link w:val="Heading1Char"/>
    <w:autoRedefine/>
    <w:uiPriority w:val="9"/>
    <w:qFormat/>
    <w:rsid w:val="00FF2169"/>
    <w:pPr>
      <w:keepNext/>
      <w:keepLines/>
      <w:spacing w:before="240" w:after="160" w:line="259" w:lineRule="auto"/>
      <w:jc w:val="left"/>
      <w:outlineLvl w:val="0"/>
    </w:pPr>
    <w:rPr>
      <w:rFonts w:eastAsiaTheme="majorEastAsia"/>
      <w:b/>
      <w:bCs w:val="0"/>
      <w:color w:val="000000" w:themeColor="text1"/>
      <w:sz w:val="32"/>
      <w:lang w:val="en-US" w:eastAsia="en-US"/>
    </w:rPr>
  </w:style>
  <w:style w:type="paragraph" w:styleId="Heading2">
    <w:name w:val="heading 2"/>
    <w:basedOn w:val="Normal"/>
    <w:next w:val="Normal"/>
    <w:link w:val="Heading2Char"/>
    <w:autoRedefine/>
    <w:uiPriority w:val="9"/>
    <w:unhideWhenUsed/>
    <w:qFormat/>
    <w:rsid w:val="003E231F"/>
    <w:pPr>
      <w:keepNext/>
      <w:keepLines/>
      <w:spacing w:before="240" w:after="120"/>
      <w:outlineLvl w:val="1"/>
    </w:pPr>
    <w:rPr>
      <w:rFonts w:eastAsiaTheme="majorEastAsia" w:cstheme="majorBidi"/>
      <w:b/>
      <w:bCs w:val="0"/>
      <w:color w:val="000000" w:themeColor="text1"/>
      <w:szCs w:val="26"/>
      <w:lang w:val="en-US" w:eastAsia="en-US"/>
    </w:rPr>
  </w:style>
  <w:style w:type="paragraph" w:styleId="Heading3">
    <w:name w:val="heading 3"/>
    <w:basedOn w:val="Normal"/>
    <w:next w:val="Normal"/>
    <w:link w:val="Heading3Char"/>
    <w:autoRedefine/>
    <w:uiPriority w:val="9"/>
    <w:unhideWhenUsed/>
    <w:qFormat/>
    <w:rsid w:val="00FF2169"/>
    <w:pPr>
      <w:keepNext/>
      <w:keepLines/>
      <w:spacing w:before="120" w:after="0"/>
      <w:outlineLvl w:val="2"/>
    </w:pPr>
    <w:rPr>
      <w:rFonts w:asciiTheme="majorHAnsi" w:eastAsiaTheme="majorEastAsia" w:hAnsiTheme="majorHAnsi" w:cstheme="majorBidi"/>
      <w:i/>
      <w:color w:val="000000" w:themeColor="text1"/>
      <w:lang w:eastAsia="en-US"/>
    </w:rPr>
  </w:style>
  <w:style w:type="paragraph" w:styleId="Heading4">
    <w:name w:val="heading 4"/>
    <w:basedOn w:val="Normal"/>
    <w:next w:val="Normal"/>
    <w:link w:val="Heading4Char"/>
    <w:autoRedefine/>
    <w:uiPriority w:val="9"/>
    <w:unhideWhenUsed/>
    <w:qFormat/>
    <w:rsid w:val="00FF2169"/>
    <w:pPr>
      <w:keepNext/>
      <w:keepLines/>
      <w:spacing w:before="80" w:after="0"/>
      <w:outlineLvl w:val="3"/>
    </w:pPr>
    <w:rPr>
      <w:rFonts w:asciiTheme="majorHAnsi" w:eastAsiaTheme="majorEastAsia" w:hAnsiTheme="majorHAnsi" w:cstheme="majorBidi"/>
      <w:bCs w:val="0"/>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169"/>
    <w:rPr>
      <w:rFonts w:ascii="Times New Roman" w:eastAsiaTheme="majorEastAsia" w:hAnsi="Times New Roman" w:cs="Times New Roman"/>
      <w:b/>
      <w:color w:val="000000" w:themeColor="text1"/>
      <w:sz w:val="32"/>
      <w:lang w:val="en-US"/>
    </w:rPr>
  </w:style>
  <w:style w:type="character" w:customStyle="1" w:styleId="Heading2Char">
    <w:name w:val="Heading 2 Char"/>
    <w:basedOn w:val="DefaultParagraphFont"/>
    <w:link w:val="Heading2"/>
    <w:uiPriority w:val="9"/>
    <w:rsid w:val="003E231F"/>
    <w:rPr>
      <w:rFonts w:ascii="Times New Roman" w:eastAsiaTheme="majorEastAsia" w:hAnsi="Times New Roman" w:cstheme="majorBidi"/>
      <w:b/>
      <w:color w:val="000000" w:themeColor="text1"/>
      <w:szCs w:val="26"/>
      <w:lang w:val="en-US"/>
    </w:rPr>
  </w:style>
  <w:style w:type="character" w:customStyle="1" w:styleId="Heading3Char">
    <w:name w:val="Heading 3 Char"/>
    <w:basedOn w:val="DefaultParagraphFont"/>
    <w:link w:val="Heading3"/>
    <w:uiPriority w:val="9"/>
    <w:rsid w:val="00FF2169"/>
    <w:rPr>
      <w:rFonts w:asciiTheme="majorHAnsi" w:eastAsiaTheme="majorEastAsia" w:hAnsiTheme="majorHAnsi" w:cstheme="majorBidi"/>
      <w:bCs/>
      <w:i/>
      <w:color w:val="000000" w:themeColor="text1"/>
    </w:rPr>
  </w:style>
  <w:style w:type="paragraph" w:styleId="Title">
    <w:name w:val="Title"/>
    <w:basedOn w:val="Normal"/>
    <w:next w:val="Normal"/>
    <w:link w:val="TitleChar"/>
    <w:autoRedefine/>
    <w:uiPriority w:val="10"/>
    <w:qFormat/>
    <w:rsid w:val="008B0F60"/>
    <w:pPr>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uiPriority w:val="10"/>
    <w:rsid w:val="008B0F60"/>
    <w:rPr>
      <w:rFonts w:asciiTheme="majorHAnsi" w:eastAsiaTheme="majorEastAsia" w:hAnsiTheme="majorHAnsi" w:cstheme="majorBidi"/>
      <w:spacing w:val="-10"/>
      <w:kern w:val="28"/>
      <w:sz w:val="44"/>
      <w:szCs w:val="56"/>
      <w:lang w:eastAsia="it-IT"/>
    </w:rPr>
  </w:style>
  <w:style w:type="character" w:customStyle="1" w:styleId="Heading4Char">
    <w:name w:val="Heading 4 Char"/>
    <w:basedOn w:val="DefaultParagraphFont"/>
    <w:link w:val="Heading4"/>
    <w:uiPriority w:val="9"/>
    <w:rsid w:val="00FF2169"/>
    <w:rPr>
      <w:rFonts w:asciiTheme="majorHAnsi" w:eastAsiaTheme="majorEastAsia" w:hAnsiTheme="majorHAnsi" w:cstheme="majorBidi"/>
      <w:bCs/>
      <w:i/>
      <w:iCs/>
      <w:color w:val="2F5496" w:themeColor="accent1" w:themeShade="BF"/>
      <w:lang w:eastAsia="it-IT"/>
    </w:rPr>
  </w:style>
  <w:style w:type="paragraph" w:styleId="Footer">
    <w:name w:val="footer"/>
    <w:basedOn w:val="Normal"/>
    <w:link w:val="FooterChar"/>
    <w:uiPriority w:val="99"/>
    <w:unhideWhenUsed/>
    <w:rsid w:val="002B66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2B66E0"/>
    <w:rPr>
      <w:rFonts w:ascii="Times New Roman" w:eastAsia="Times New Roman" w:hAnsi="Times New Roman" w:cs="Times New Roman"/>
      <w:bCs/>
      <w:lang w:eastAsia="it-IT"/>
    </w:rPr>
  </w:style>
  <w:style w:type="character" w:styleId="PageNumber">
    <w:name w:val="page number"/>
    <w:basedOn w:val="DefaultParagraphFont"/>
    <w:uiPriority w:val="99"/>
    <w:semiHidden/>
    <w:unhideWhenUsed/>
    <w:rsid w:val="002B66E0"/>
  </w:style>
  <w:style w:type="paragraph" w:styleId="TOCHeading">
    <w:name w:val="TOC Heading"/>
    <w:basedOn w:val="Heading1"/>
    <w:next w:val="Normal"/>
    <w:uiPriority w:val="39"/>
    <w:unhideWhenUsed/>
    <w:qFormat/>
    <w:rsid w:val="007359AD"/>
    <w:pPr>
      <w:spacing w:before="480" w:after="0" w:line="276" w:lineRule="auto"/>
      <w:outlineLvl w:val="9"/>
    </w:pPr>
    <w:rPr>
      <w:rFonts w:asciiTheme="majorHAnsi" w:hAnsiTheme="majorHAnsi" w:cstheme="majorBidi"/>
      <w:bCs/>
      <w:color w:val="2F5496" w:themeColor="accent1" w:themeShade="BF"/>
      <w:sz w:val="28"/>
      <w:szCs w:val="28"/>
    </w:rPr>
  </w:style>
  <w:style w:type="paragraph" w:styleId="TOC1">
    <w:name w:val="toc 1"/>
    <w:basedOn w:val="Normal"/>
    <w:next w:val="Normal"/>
    <w:autoRedefine/>
    <w:uiPriority w:val="39"/>
    <w:unhideWhenUsed/>
    <w:rsid w:val="007359AD"/>
    <w:pPr>
      <w:spacing w:before="120" w:after="0"/>
      <w:jc w:val="left"/>
    </w:pPr>
    <w:rPr>
      <w:rFonts w:asciiTheme="minorHAnsi" w:hAnsiTheme="minorHAnsi" w:cstheme="minorHAnsi"/>
      <w:b/>
      <w:i/>
      <w:iCs/>
    </w:rPr>
  </w:style>
  <w:style w:type="paragraph" w:styleId="TOC2">
    <w:name w:val="toc 2"/>
    <w:basedOn w:val="Normal"/>
    <w:next w:val="Normal"/>
    <w:autoRedefine/>
    <w:uiPriority w:val="39"/>
    <w:unhideWhenUsed/>
    <w:rsid w:val="007359AD"/>
    <w:pPr>
      <w:spacing w:before="120" w:after="0"/>
      <w:ind w:left="240"/>
      <w:jc w:val="left"/>
    </w:pPr>
    <w:rPr>
      <w:rFonts w:asciiTheme="minorHAnsi" w:hAnsiTheme="minorHAnsi" w:cstheme="minorHAnsi"/>
      <w:b/>
      <w:sz w:val="22"/>
      <w:szCs w:val="22"/>
    </w:rPr>
  </w:style>
  <w:style w:type="paragraph" w:styleId="TOC3">
    <w:name w:val="toc 3"/>
    <w:basedOn w:val="Normal"/>
    <w:next w:val="Normal"/>
    <w:autoRedefine/>
    <w:uiPriority w:val="39"/>
    <w:unhideWhenUsed/>
    <w:rsid w:val="007359AD"/>
    <w:pPr>
      <w:spacing w:after="0"/>
      <w:ind w:left="480"/>
      <w:jc w:val="left"/>
    </w:pPr>
    <w:rPr>
      <w:rFonts w:asciiTheme="minorHAnsi" w:hAnsiTheme="minorHAnsi" w:cstheme="minorHAnsi"/>
      <w:bCs w:val="0"/>
      <w:sz w:val="20"/>
      <w:szCs w:val="20"/>
    </w:rPr>
  </w:style>
  <w:style w:type="character" w:styleId="Hyperlink">
    <w:name w:val="Hyperlink"/>
    <w:basedOn w:val="DefaultParagraphFont"/>
    <w:uiPriority w:val="99"/>
    <w:unhideWhenUsed/>
    <w:rsid w:val="007359AD"/>
    <w:rPr>
      <w:color w:val="0563C1" w:themeColor="hyperlink"/>
      <w:u w:val="single"/>
    </w:rPr>
  </w:style>
  <w:style w:type="paragraph" w:styleId="TOC4">
    <w:name w:val="toc 4"/>
    <w:basedOn w:val="Normal"/>
    <w:next w:val="Normal"/>
    <w:autoRedefine/>
    <w:uiPriority w:val="39"/>
    <w:semiHidden/>
    <w:unhideWhenUsed/>
    <w:rsid w:val="007359AD"/>
    <w:pPr>
      <w:spacing w:after="0"/>
      <w:ind w:left="720"/>
      <w:jc w:val="left"/>
    </w:pPr>
    <w:rPr>
      <w:rFonts w:asciiTheme="minorHAnsi" w:hAnsiTheme="minorHAnsi" w:cstheme="minorHAnsi"/>
      <w:bCs w:val="0"/>
      <w:sz w:val="20"/>
      <w:szCs w:val="20"/>
    </w:rPr>
  </w:style>
  <w:style w:type="paragraph" w:styleId="TOC5">
    <w:name w:val="toc 5"/>
    <w:basedOn w:val="Normal"/>
    <w:next w:val="Normal"/>
    <w:autoRedefine/>
    <w:uiPriority w:val="39"/>
    <w:semiHidden/>
    <w:unhideWhenUsed/>
    <w:rsid w:val="007359AD"/>
    <w:pPr>
      <w:spacing w:after="0"/>
      <w:ind w:left="960"/>
      <w:jc w:val="left"/>
    </w:pPr>
    <w:rPr>
      <w:rFonts w:asciiTheme="minorHAnsi" w:hAnsiTheme="minorHAnsi" w:cstheme="minorHAnsi"/>
      <w:bCs w:val="0"/>
      <w:sz w:val="20"/>
      <w:szCs w:val="20"/>
    </w:rPr>
  </w:style>
  <w:style w:type="paragraph" w:styleId="TOC6">
    <w:name w:val="toc 6"/>
    <w:basedOn w:val="Normal"/>
    <w:next w:val="Normal"/>
    <w:autoRedefine/>
    <w:uiPriority w:val="39"/>
    <w:semiHidden/>
    <w:unhideWhenUsed/>
    <w:rsid w:val="007359AD"/>
    <w:pPr>
      <w:spacing w:after="0"/>
      <w:ind w:left="1200"/>
      <w:jc w:val="left"/>
    </w:pPr>
    <w:rPr>
      <w:rFonts w:asciiTheme="minorHAnsi" w:hAnsiTheme="minorHAnsi" w:cstheme="minorHAnsi"/>
      <w:bCs w:val="0"/>
      <w:sz w:val="20"/>
      <w:szCs w:val="20"/>
    </w:rPr>
  </w:style>
  <w:style w:type="paragraph" w:styleId="TOC7">
    <w:name w:val="toc 7"/>
    <w:basedOn w:val="Normal"/>
    <w:next w:val="Normal"/>
    <w:autoRedefine/>
    <w:uiPriority w:val="39"/>
    <w:semiHidden/>
    <w:unhideWhenUsed/>
    <w:rsid w:val="007359AD"/>
    <w:pPr>
      <w:spacing w:after="0"/>
      <w:ind w:left="1440"/>
      <w:jc w:val="left"/>
    </w:pPr>
    <w:rPr>
      <w:rFonts w:asciiTheme="minorHAnsi" w:hAnsiTheme="minorHAnsi" w:cstheme="minorHAnsi"/>
      <w:bCs w:val="0"/>
      <w:sz w:val="20"/>
      <w:szCs w:val="20"/>
    </w:rPr>
  </w:style>
  <w:style w:type="paragraph" w:styleId="TOC8">
    <w:name w:val="toc 8"/>
    <w:basedOn w:val="Normal"/>
    <w:next w:val="Normal"/>
    <w:autoRedefine/>
    <w:uiPriority w:val="39"/>
    <w:semiHidden/>
    <w:unhideWhenUsed/>
    <w:rsid w:val="007359AD"/>
    <w:pPr>
      <w:spacing w:after="0"/>
      <w:ind w:left="1680"/>
      <w:jc w:val="left"/>
    </w:pPr>
    <w:rPr>
      <w:rFonts w:asciiTheme="minorHAnsi" w:hAnsiTheme="minorHAnsi" w:cstheme="minorHAnsi"/>
      <w:bCs w:val="0"/>
      <w:sz w:val="20"/>
      <w:szCs w:val="20"/>
    </w:rPr>
  </w:style>
  <w:style w:type="paragraph" w:styleId="TOC9">
    <w:name w:val="toc 9"/>
    <w:basedOn w:val="Normal"/>
    <w:next w:val="Normal"/>
    <w:autoRedefine/>
    <w:uiPriority w:val="39"/>
    <w:semiHidden/>
    <w:unhideWhenUsed/>
    <w:rsid w:val="007359AD"/>
    <w:pPr>
      <w:spacing w:after="0"/>
      <w:ind w:left="1920"/>
      <w:jc w:val="left"/>
    </w:pPr>
    <w:rPr>
      <w:rFonts w:asciiTheme="minorHAnsi" w:hAnsiTheme="minorHAnsi" w:cstheme="minorHAnsi"/>
      <w:bCs w:val="0"/>
      <w:sz w:val="20"/>
      <w:szCs w:val="20"/>
    </w:rPr>
  </w:style>
  <w:style w:type="character" w:styleId="LineNumber">
    <w:name w:val="line number"/>
    <w:basedOn w:val="DefaultParagraphFont"/>
    <w:uiPriority w:val="99"/>
    <w:semiHidden/>
    <w:unhideWhenUsed/>
    <w:rsid w:val="00AE3A0D"/>
  </w:style>
  <w:style w:type="character" w:styleId="CommentReference">
    <w:name w:val="annotation reference"/>
    <w:basedOn w:val="DefaultParagraphFont"/>
    <w:uiPriority w:val="99"/>
    <w:semiHidden/>
    <w:unhideWhenUsed/>
    <w:rsid w:val="00923960"/>
    <w:rPr>
      <w:sz w:val="16"/>
      <w:szCs w:val="16"/>
    </w:rPr>
  </w:style>
  <w:style w:type="paragraph" w:styleId="CommentText">
    <w:name w:val="annotation text"/>
    <w:basedOn w:val="Normal"/>
    <w:link w:val="CommentTextChar"/>
    <w:uiPriority w:val="99"/>
    <w:unhideWhenUsed/>
    <w:rsid w:val="00923960"/>
    <w:pPr>
      <w:spacing w:before="60" w:after="120" w:line="240" w:lineRule="auto"/>
    </w:pPr>
    <w:rPr>
      <w:bCs w:val="0"/>
      <w:sz w:val="20"/>
      <w:szCs w:val="20"/>
      <w:lang w:val="en-US" w:eastAsia="en-US"/>
    </w:rPr>
  </w:style>
  <w:style w:type="character" w:customStyle="1" w:styleId="CommentTextChar">
    <w:name w:val="Comment Text Char"/>
    <w:basedOn w:val="DefaultParagraphFont"/>
    <w:link w:val="CommentText"/>
    <w:uiPriority w:val="99"/>
    <w:rsid w:val="00923960"/>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923960"/>
    <w:pPr>
      <w:spacing w:after="0" w:line="240" w:lineRule="auto"/>
    </w:pPr>
    <w:rPr>
      <w:sz w:val="18"/>
      <w:szCs w:val="18"/>
    </w:rPr>
  </w:style>
  <w:style w:type="character" w:customStyle="1" w:styleId="BalloonTextChar">
    <w:name w:val="Balloon Text Char"/>
    <w:basedOn w:val="DefaultParagraphFont"/>
    <w:link w:val="BalloonText"/>
    <w:uiPriority w:val="99"/>
    <w:semiHidden/>
    <w:rsid w:val="00923960"/>
    <w:rPr>
      <w:rFonts w:ascii="Times New Roman" w:eastAsia="Times New Roman" w:hAnsi="Times New Roman" w:cs="Times New Roman"/>
      <w:bCs/>
      <w:sz w:val="18"/>
      <w:szCs w:val="18"/>
      <w:lang w:eastAsia="it-IT"/>
    </w:rPr>
  </w:style>
  <w:style w:type="paragraph" w:styleId="CommentSubject">
    <w:name w:val="annotation subject"/>
    <w:basedOn w:val="CommentText"/>
    <w:next w:val="CommentText"/>
    <w:link w:val="CommentSubjectChar"/>
    <w:uiPriority w:val="99"/>
    <w:semiHidden/>
    <w:unhideWhenUsed/>
    <w:rsid w:val="00CB4524"/>
    <w:pPr>
      <w:spacing w:before="0" w:after="40"/>
    </w:pPr>
    <w:rPr>
      <w:b/>
      <w:bCs/>
      <w:lang w:val="it-IT" w:eastAsia="it-IT"/>
    </w:rPr>
  </w:style>
  <w:style w:type="character" w:customStyle="1" w:styleId="CommentSubjectChar">
    <w:name w:val="Comment Subject Char"/>
    <w:basedOn w:val="CommentTextChar"/>
    <w:link w:val="CommentSubject"/>
    <w:uiPriority w:val="99"/>
    <w:semiHidden/>
    <w:rsid w:val="00CB4524"/>
    <w:rPr>
      <w:rFonts w:ascii="Times New Roman" w:eastAsia="Times New Roman" w:hAnsi="Times New Roman" w:cs="Times New Roman"/>
      <w:b/>
      <w:bCs/>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817464">
      <w:bodyDiv w:val="1"/>
      <w:marLeft w:val="0"/>
      <w:marRight w:val="0"/>
      <w:marTop w:val="0"/>
      <w:marBottom w:val="0"/>
      <w:divBdr>
        <w:top w:val="none" w:sz="0" w:space="0" w:color="auto"/>
        <w:left w:val="none" w:sz="0" w:space="0" w:color="auto"/>
        <w:bottom w:val="none" w:sz="0" w:space="0" w:color="auto"/>
        <w:right w:val="none" w:sz="0" w:space="0" w:color="auto"/>
      </w:divBdr>
    </w:div>
    <w:div w:id="1311055349">
      <w:bodyDiv w:val="1"/>
      <w:marLeft w:val="0"/>
      <w:marRight w:val="0"/>
      <w:marTop w:val="0"/>
      <w:marBottom w:val="0"/>
      <w:divBdr>
        <w:top w:val="none" w:sz="0" w:space="0" w:color="auto"/>
        <w:left w:val="none" w:sz="0" w:space="0" w:color="auto"/>
        <w:bottom w:val="none" w:sz="0" w:space="0" w:color="auto"/>
        <w:right w:val="none" w:sz="0" w:space="0" w:color="auto"/>
      </w:divBdr>
    </w:div>
    <w:div w:id="1528564480">
      <w:bodyDiv w:val="1"/>
      <w:marLeft w:val="0"/>
      <w:marRight w:val="0"/>
      <w:marTop w:val="0"/>
      <w:marBottom w:val="0"/>
      <w:divBdr>
        <w:top w:val="none" w:sz="0" w:space="0" w:color="auto"/>
        <w:left w:val="none" w:sz="0" w:space="0" w:color="auto"/>
        <w:bottom w:val="none" w:sz="0" w:space="0" w:color="auto"/>
        <w:right w:val="none" w:sz="0" w:space="0" w:color="auto"/>
      </w:divBdr>
    </w:div>
    <w:div w:id="16975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tif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6A1E5-E2F5-5040-AE39-BF454B7BB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6751</Words>
  <Characters>38482</Characters>
  <Application>Microsoft Office Word</Application>
  <DocSecurity>0</DocSecurity>
  <Lines>320</Lines>
  <Paragraphs>90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Lonati</dc:creator>
  <cp:keywords/>
  <dc:description/>
  <cp:lastModifiedBy>Caterina Lonati</cp:lastModifiedBy>
  <cp:revision>4</cp:revision>
  <dcterms:created xsi:type="dcterms:W3CDTF">2023-08-21T08:43:00Z</dcterms:created>
  <dcterms:modified xsi:type="dcterms:W3CDTF">2023-08-21T08:44:00Z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http://www.zotero.org/styles/harvard-cite-them-right</vt:lpwstr>
  </property>
  <property fmtid="{D5CDD505-2E9C-101B-9397-08002B2CF9AE}" pid="3" name="Mendeley Recent Style Name 0_1">
    <vt:lpwstr>Cite Them Right 10th edition - Harvard</vt:lpwstr>
  </property>
  <property fmtid="{D5CDD505-2E9C-101B-9397-08002B2CF9AE}" pid="4" name="Mendeley Recent Style Id 1_1">
    <vt:lpwstr>http://www.zotero.org/styles/journal-of-hepatology</vt:lpwstr>
  </property>
  <property fmtid="{D5CDD505-2E9C-101B-9397-08002B2CF9AE}" pid="5" name="Mendeley Recent Style Name 1_1">
    <vt:lpwstr>Journal of Hepatology</vt:lpwstr>
  </property>
  <property fmtid="{D5CDD505-2E9C-101B-9397-08002B2CF9AE}" pid="6" name="Mendeley Recent Style Id 2_1">
    <vt:lpwstr>http://www.zotero.org/styles/nature-communications</vt:lpwstr>
  </property>
  <property fmtid="{D5CDD505-2E9C-101B-9397-08002B2CF9AE}" pid="7" name="Mendeley Recent Style Name 2_1">
    <vt:lpwstr>Nature Communications</vt:lpwstr>
  </property>
  <property fmtid="{D5CDD505-2E9C-101B-9397-08002B2CF9AE}" pid="8" name="Mendeley Recent Style Id 3_1">
    <vt:lpwstr>http://www.zotero.org/styles/nephrology-dialysis-transplantation</vt:lpwstr>
  </property>
  <property fmtid="{D5CDD505-2E9C-101B-9397-08002B2CF9AE}" pid="9" name="Mendeley Recent Style Name 3_1">
    <vt:lpwstr>Nephrology Dialysis Transplantation</vt:lpwstr>
  </property>
  <property fmtid="{D5CDD505-2E9C-101B-9397-08002B2CF9AE}" pid="10" name="Mendeley Recent Style Id 4_1">
    <vt:lpwstr>http://www.zotero.org/styles/plos-one</vt:lpwstr>
  </property>
  <property fmtid="{D5CDD505-2E9C-101B-9397-08002B2CF9AE}" pid="11" name="Mendeley Recent Style Name 4_1">
    <vt:lpwstr>PLOS ONE</vt:lpwstr>
  </property>
  <property fmtid="{D5CDD505-2E9C-101B-9397-08002B2CF9AE}" pid="12" name="Mendeley Recent Style Id 5_1">
    <vt:lpwstr>http://www.zotero.org/styles/peptides</vt:lpwstr>
  </property>
  <property fmtid="{D5CDD505-2E9C-101B-9397-08002B2CF9AE}" pid="13" name="Mendeley Recent Style Name 5_1">
    <vt:lpwstr>Peptides</vt:lpwstr>
  </property>
  <property fmtid="{D5CDD505-2E9C-101B-9397-08002B2CF9AE}" pid="14" name="Mendeley Recent Style Id 6_1">
    <vt:lpwstr>http://www.zotero.org/styles/quality-of-life-research</vt:lpwstr>
  </property>
  <property fmtid="{D5CDD505-2E9C-101B-9397-08002B2CF9AE}" pid="15" name="Mendeley Recent Style Name 6_1">
    <vt:lpwstr>Quality of Life Research</vt:lpwstr>
  </property>
  <property fmtid="{D5CDD505-2E9C-101B-9397-08002B2CF9AE}" pid="16" name="Mendeley Recent Style Id 7_1">
    <vt:lpwstr>http://www.zotero.org/styles/the-embo-journal</vt:lpwstr>
  </property>
  <property fmtid="{D5CDD505-2E9C-101B-9397-08002B2CF9AE}" pid="17" name="Mendeley Recent Style Name 7_1">
    <vt:lpwstr>The EMBO Journal</vt:lpwstr>
  </property>
  <property fmtid="{D5CDD505-2E9C-101B-9397-08002B2CF9AE}" pid="18" name="Mendeley Recent Style Id 8_1">
    <vt:lpwstr>http://www.zotero.org/styles/trends-in-endocrinology-and-metabolism</vt:lpwstr>
  </property>
  <property fmtid="{D5CDD505-2E9C-101B-9397-08002B2CF9AE}" pid="19" name="Mendeley Recent Style Name 8_1">
    <vt:lpwstr>Trends in Endocrinology &amp; Metabolism</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2cf7c499-918a-39f3-a84c-28b90235621c</vt:lpwstr>
  </property>
  <property fmtid="{D5CDD505-2E9C-101B-9397-08002B2CF9AE}" pid="24" name="Mendeley Citation Style_1">
    <vt:lpwstr>http://www.zotero.org/styles/nature-communications</vt:lpwstr>
  </property>
</Properties>
</file>