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1A2E7" w14:textId="77777777" w:rsidR="00E80F61" w:rsidRDefault="00E80F61" w:rsidP="00E80F61">
      <w:pPr>
        <w:pStyle w:val="MDPI41tablecaption"/>
        <w:spacing w:before="0" w:after="0" w:line="360" w:lineRule="auto"/>
        <w:ind w:left="0"/>
        <w:jc w:val="lef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Supplementary materials</w:t>
      </w:r>
    </w:p>
    <w:p w14:paraId="33E33715" w14:textId="77777777" w:rsidR="00E80F61" w:rsidRDefault="00E80F61" w:rsidP="00E80F61">
      <w:pPr>
        <w:pStyle w:val="MDPI41tablecaption"/>
        <w:spacing w:before="0" w:after="0" w:line="360" w:lineRule="auto"/>
        <w:ind w:left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S1.</w:t>
      </w:r>
      <w:r>
        <w:rPr>
          <w:rFonts w:ascii="Times New Roman" w:hAnsi="Times New Roman" w:cs="Times New Roman"/>
          <w:sz w:val="20"/>
          <w:szCs w:val="20"/>
        </w:rPr>
        <w:t xml:space="preserve"> The stability analysis of reference genes in different tissues.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2724"/>
        <w:gridCol w:w="852"/>
        <w:gridCol w:w="850"/>
        <w:gridCol w:w="1022"/>
        <w:gridCol w:w="1020"/>
        <w:gridCol w:w="1020"/>
        <w:gridCol w:w="850"/>
      </w:tblGrid>
      <w:tr w:rsidR="00E80F61" w14:paraId="239C1AE6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C4FF3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Tissues</w:t>
            </w:r>
          </w:p>
        </w:tc>
        <w:tc>
          <w:tcPr>
            <w:tcW w:w="145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7EC29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Methods</w:t>
            </w:r>
          </w:p>
        </w:tc>
        <w:tc>
          <w:tcPr>
            <w:tcW w:w="3000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D185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Ranking orders (Better--Good--Average)</w:t>
            </w:r>
          </w:p>
        </w:tc>
      </w:tr>
      <w:tr w:rsidR="00E80F61" w14:paraId="5E436FE2" w14:textId="77777777" w:rsidTr="00E80F61">
        <w:trPr>
          <w:trHeight w:val="34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C0BA1A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B05B67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AF3DB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E01B6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89256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6C9D1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D419F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F49D4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E80F61" w14:paraId="14C9B5BC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813E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Heart</w:t>
            </w:r>
          </w:p>
        </w:tc>
        <w:tc>
          <w:tcPr>
            <w:tcW w:w="14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9181B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29B3F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EA52A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7128B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346EE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8EFC5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7280F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74A66369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D9D67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C436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3594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F65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5ED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8516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73E8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6625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4C2D31BE" w14:textId="77777777" w:rsidTr="00E80F61">
        <w:trPr>
          <w:trHeight w:val="32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0B6DF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4491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4435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8D1A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B41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D51B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5A90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19A6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276682DA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A1512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7459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52A4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4257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DEBE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07E4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A00F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448B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618A9458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6AE07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F0B4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14AC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DE0C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3EB5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8F87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7006F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79AC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49960D12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69E71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Brain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D21B4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6DD4D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8B896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234F4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A5DB7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E161A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6C6CC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4445EA03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05245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0D5A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1C83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B416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7C45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4D80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FB5B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B2A6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1D8A5C10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F4AF5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B78F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D4F8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1B8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8EA8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9D52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3BF3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A9C4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08049B7E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A867D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64E7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DEC8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7A5B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D8A5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072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CD51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880D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3E40FCC5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DF842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9BA6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073E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C56F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2067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F0C4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6BBB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D012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02105406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DEAB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Muscle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92E79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CC708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0542C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E0C45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D9CA0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272DE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18D0D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01D43CE3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741929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0F7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C235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4BC0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D9F2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F496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FB62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653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6520BF0B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089A3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CFC6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B98C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15F0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6E9E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224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40CC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BF19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03040004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DECE0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52C1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124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DD4F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F54D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722A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83C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1A06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43FB65D9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15672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E27B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648D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ef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i/>
              </w:rPr>
              <w:t>α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5EE4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3B34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254B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8856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1F47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1AA0CB51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F04A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Gill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E27E2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0F08F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D8DC2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82A2E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AF5BF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68F95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323ED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</w:tr>
      <w:tr w:rsidR="00E80F61" w14:paraId="7654DF7E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4B1C7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4E07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4A99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A2C8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B968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990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B954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A09C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4FC5A3ED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ECF53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4620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1C8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F4DA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3539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9AF3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41DD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9657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</w:tr>
      <w:tr w:rsidR="00E80F61" w14:paraId="588AD004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E88F2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8A18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A7EF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5439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EAF6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AE69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29B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8E73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</w:tr>
      <w:tr w:rsidR="00E80F61" w14:paraId="7A11DAE2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B1BA4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05BE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1F03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ef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i/>
              </w:rPr>
              <w:t>α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9B5F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0696D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6060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B23CC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21F9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</w:tr>
      <w:tr w:rsidR="00E80F61" w14:paraId="43298E72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70EC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Liver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CFD4AC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1E8A2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A7A2F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237D3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86F27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103FA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67D37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</w:tr>
      <w:tr w:rsidR="00E80F61" w14:paraId="24A8D553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A870E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BDD2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1174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22B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C709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953E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DF4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460F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</w:tr>
      <w:tr w:rsidR="00E80F61" w14:paraId="772D47FA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C92B6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54DD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84FE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D409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45A4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8BCE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297B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440F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7CDDE73A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F3284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1AC9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8323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B5BE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13A0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C169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B052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19DC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</w:tr>
      <w:tr w:rsidR="00E80F61" w14:paraId="411765B2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C8E69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0332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827C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gapdh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BD73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D0AF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B5ED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A2D45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822A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</w:tr>
      <w:tr w:rsidR="00E80F61" w14:paraId="2BB14040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A53A8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Kidney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C21C5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C6E9C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03A13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4D2CC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BB87B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514A2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974EA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1CB6F7F5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A9A16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618B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F967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D7AC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CDD3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E8F0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1941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A6DE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</w:tr>
      <w:tr w:rsidR="00E80F61" w14:paraId="60A625D2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33EF5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3056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26C47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093F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86E9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D81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D5E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A9F1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74306767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5DBC7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D501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734D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1E5F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FAC0A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7D2C5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DD94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599F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392FA31D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BCFFA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66A9D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FBA2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ef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i/>
              </w:rPr>
              <w:t>α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E685B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5E71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E92F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8665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A1CCB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4A5C5179" w14:textId="77777777" w:rsidTr="00E80F61">
        <w:trPr>
          <w:trHeight w:val="333"/>
          <w:jc w:val="center"/>
        </w:trPr>
        <w:tc>
          <w:tcPr>
            <w:tcW w:w="546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39163AD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Intestines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A9E36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Delta CT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84B9B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D53AC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3DD9D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D9C66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9CF59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87A1F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2B9053F7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AE6E44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9025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BestKeeper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BA311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B866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F5B2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9DE0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CF7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E098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</w:tr>
      <w:tr w:rsidR="00E80F61" w14:paraId="305A4E79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F1EEFD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A4BF6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Normfinder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0CCF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280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E7D9F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6231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EE0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1118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79C2DFE5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81370D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99EF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Genorm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3B71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35C33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4D38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3314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5CE0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DB19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E80F61" w14:paraId="54F50870" w14:textId="77777777" w:rsidTr="00E80F61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143F90" w14:textId="77777777" w:rsidR="00E80F61" w:rsidRDefault="00E80F61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D75C64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ranking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C004370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β-actin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281B1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ef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i/>
              </w:rPr>
              <w:t>α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A447D9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α-actin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6551C2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gapdh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FE57F8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tubaα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0818C6E" w14:textId="77777777" w:rsidR="00E80F61" w:rsidRDefault="00E80F61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rpl</w:t>
            </w:r>
            <w:r>
              <w:rPr>
                <w:rFonts w:ascii="Times New Roman" w:hAnsi="Times New Roman"/>
              </w:rPr>
              <w:t>13</w:t>
            </w:r>
          </w:p>
        </w:tc>
      </w:tr>
    </w:tbl>
    <w:p w14:paraId="57519E88" w14:textId="77777777" w:rsidR="00E80F61" w:rsidRDefault="00E80F61" w:rsidP="00E80F61">
      <w:pPr>
        <w:pStyle w:val="MDPI31text"/>
        <w:spacing w:line="360" w:lineRule="auto"/>
        <w:ind w:left="0" w:firstLine="0"/>
        <w:rPr>
          <w:rFonts w:ascii="Times New Roman" w:hAnsi="Times New Roman"/>
          <w:szCs w:val="20"/>
        </w:rPr>
      </w:pPr>
    </w:p>
    <w:p w14:paraId="713BAC2F" w14:textId="77777777" w:rsidR="00E80F61" w:rsidRDefault="00E80F61" w:rsidP="00E80F61">
      <w:pPr>
        <w:spacing w:line="360" w:lineRule="auto"/>
        <w:jc w:val="left"/>
        <w:rPr>
          <w:rFonts w:ascii="Times New Roman" w:eastAsia="Times New Roman" w:hAnsi="Times New Roman"/>
          <w:noProof w:val="0"/>
          <w:snapToGrid w:val="0"/>
          <w:color w:val="auto"/>
          <w:lang w:eastAsia="de-DE" w:bidi="en-US"/>
        </w:rPr>
      </w:pPr>
      <w:r>
        <w:rPr>
          <w:rFonts w:ascii="Times New Roman" w:hAnsi="Times New Roman"/>
          <w:color w:val="auto"/>
        </w:rPr>
        <w:br w:type="page"/>
      </w:r>
    </w:p>
    <w:p w14:paraId="19496CAE" w14:textId="77777777" w:rsidR="00E80F61" w:rsidRDefault="00E80F61" w:rsidP="00E80F61">
      <w:pPr>
        <w:spacing w:line="360" w:lineRule="auto"/>
        <w:jc w:val="left"/>
        <w:rPr>
          <w:rFonts w:ascii="Times New Roman" w:eastAsia="Times New Roman" w:hAnsi="Times New Roman"/>
          <w:lang w:eastAsia="de-DE" w:bidi="en-US"/>
        </w:rPr>
      </w:pPr>
    </w:p>
    <w:p w14:paraId="30DB0E60" w14:textId="374915D9" w:rsidR="00E80F61" w:rsidRDefault="00E80F61" w:rsidP="00E80F61">
      <w:pPr>
        <w:pStyle w:val="MDPI31text"/>
        <w:spacing w:line="360" w:lineRule="auto"/>
        <w:ind w:left="0" w:firstLine="0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Cs w:val="20"/>
          <w:lang w:eastAsia="zh-CN" w:bidi="ar-SA"/>
        </w:rPr>
        <w:drawing>
          <wp:inline distT="0" distB="0" distL="0" distR="0" wp14:anchorId="74ABE3DE" wp14:editId="097A6388">
            <wp:extent cx="5276850" cy="7918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3576F" w14:textId="77777777" w:rsidR="00E80F61" w:rsidRDefault="00E80F61" w:rsidP="00E80F61">
      <w:pPr>
        <w:pStyle w:val="MDPI31text"/>
        <w:spacing w:line="360" w:lineRule="auto"/>
        <w:ind w:left="0" w:firstLine="0"/>
        <w:jc w:val="left"/>
        <w:rPr>
          <w:rFonts w:ascii="Times New Roman" w:hAnsi="Times New Roman"/>
          <w:b/>
          <w:color w:val="auto"/>
          <w:szCs w:val="20"/>
          <w:lang w:eastAsia="en-US"/>
        </w:rPr>
      </w:pPr>
      <w:r>
        <w:rPr>
          <w:rFonts w:ascii="Times New Roman" w:hAnsi="Times New Roman"/>
          <w:b/>
          <w:szCs w:val="20"/>
        </w:rPr>
        <w:lastRenderedPageBreak/>
        <w:t>Fig. S1</w:t>
      </w:r>
      <w:r>
        <w:rPr>
          <w:rFonts w:ascii="Times New Roman" w:hAnsi="Times New Roman"/>
          <w:szCs w:val="20"/>
        </w:rPr>
        <w:t xml:space="preserve"> Alignment of the amino acid sequences of AsHif1α (A) and AsFih1 (B).</w:t>
      </w:r>
      <w:bookmarkStart w:id="0" w:name="page2"/>
      <w:bookmarkStart w:id="1" w:name="_Hlk60054323"/>
      <w:bookmarkEnd w:id="0"/>
    </w:p>
    <w:bookmarkEnd w:id="1"/>
    <w:p w14:paraId="06FE2002" w14:textId="77777777" w:rsidR="00E80F61" w:rsidRDefault="00E80F61" w:rsidP="00E80F61">
      <w:pPr>
        <w:pStyle w:val="MDPI21heading1"/>
        <w:spacing w:before="0" w:after="0" w:line="360" w:lineRule="auto"/>
        <w:ind w:left="0"/>
        <w:outlineLvl w:val="9"/>
        <w:rPr>
          <w:rFonts w:ascii="Times New Roman" w:hAnsi="Times New Roman"/>
          <w:b w:val="0"/>
          <w:color w:val="auto"/>
          <w:szCs w:val="20"/>
        </w:rPr>
      </w:pPr>
    </w:p>
    <w:p w14:paraId="2415EF1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61"/>
    <w:rsid w:val="00AD1398"/>
    <w:rsid w:val="00E8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99EBF"/>
  <w15:chartTrackingRefBased/>
  <w15:docId w15:val="{F65C2700-3153-4267-B334-CD1A622D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F61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E80F6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E80F6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21heading1">
    <w:name w:val="MDPI_2.1_heading1"/>
    <w:qFormat/>
    <w:rsid w:val="00E80F61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1830</Characters>
  <Application>Microsoft Office Word</Application>
  <DocSecurity>0</DocSecurity>
  <Lines>15</Lines>
  <Paragraphs>4</Paragraphs>
  <ScaleCrop>false</ScaleCrop>
  <Company>Springer Nature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2023-09-01T06:50:00Z</dcterms:created>
  <dcterms:modified xsi:type="dcterms:W3CDTF">2023-09-01T06:50:00Z</dcterms:modified>
</cp:coreProperties>
</file>