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59A" w:rsidRPr="00616CCF" w:rsidRDefault="00D5359A" w:rsidP="00616CCF">
      <w:pPr>
        <w:rPr>
          <w:rFonts w:asciiTheme="minorHAnsi" w:hAnsiTheme="minorHAnsi" w:cstheme="minorHAnsi"/>
          <w:b/>
          <w:sz w:val="20"/>
          <w:szCs w:val="20"/>
        </w:rPr>
      </w:pPr>
      <w:r w:rsidRPr="00616CCF">
        <w:rPr>
          <w:rFonts w:asciiTheme="minorHAnsi" w:hAnsiTheme="minorHAnsi" w:cstheme="minorHAnsi"/>
          <w:b/>
          <w:sz w:val="20"/>
          <w:szCs w:val="20"/>
        </w:rPr>
        <w:t>SUPPLEMENTARY APPENDIX</w:t>
      </w:r>
    </w:p>
    <w:p w:rsidR="00D5359A" w:rsidRPr="00616CCF" w:rsidRDefault="00D5359A" w:rsidP="00616CCF">
      <w:pPr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</w:pPr>
      <w:r w:rsidRPr="00616CCF">
        <w:rPr>
          <w:rFonts w:asciiTheme="minorHAnsi" w:hAnsiTheme="minorHAnsi" w:cstheme="minorHAnsi"/>
          <w:sz w:val="20"/>
          <w:szCs w:val="20"/>
        </w:rPr>
        <w:t xml:space="preserve">Supplement to: </w:t>
      </w:r>
      <w:r w:rsidR="004A0DEE" w:rsidRPr="00616CCF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>Establishment and characterization of a patient-</w:t>
      </w:r>
      <w:r w:rsidR="002320D8" w:rsidRPr="00616CCF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>derived solitary fibrous tumor/</w:t>
      </w:r>
      <w:proofErr w:type="spellStart"/>
      <w:r w:rsidR="004A0DEE" w:rsidRPr="00616CCF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>hemangiopericytoma</w:t>
      </w:r>
      <w:proofErr w:type="spellEnd"/>
      <w:r w:rsidR="004A0DEE" w:rsidRPr="00616CCF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 xml:space="preserve"> cell line model</w:t>
      </w:r>
    </w:p>
    <w:p w:rsidR="00D5359A" w:rsidRPr="00616CCF" w:rsidRDefault="00D5359A" w:rsidP="00616CCF">
      <w:pPr>
        <w:rPr>
          <w:rFonts w:asciiTheme="minorHAnsi" w:hAnsiTheme="minorHAnsi" w:cstheme="minorHAnsi"/>
          <w:b/>
          <w:bCs/>
          <w:sz w:val="20"/>
          <w:szCs w:val="20"/>
          <w:shd w:val="clear" w:color="auto" w:fill="FFFFFF"/>
        </w:rPr>
      </w:pPr>
    </w:p>
    <w:p w:rsidR="00D5359A" w:rsidRPr="00616CCF" w:rsidRDefault="00D5359A" w:rsidP="00616CCF">
      <w:pPr>
        <w:rPr>
          <w:rFonts w:asciiTheme="minorHAnsi" w:hAnsiTheme="minorHAnsi" w:cstheme="minorHAnsi"/>
          <w:b/>
          <w:sz w:val="20"/>
          <w:szCs w:val="20"/>
        </w:rPr>
      </w:pPr>
      <w:r w:rsidRPr="00616CCF">
        <w:rPr>
          <w:rFonts w:asciiTheme="minorHAnsi" w:hAnsiTheme="minorHAnsi" w:cstheme="minorHAnsi"/>
          <w:b/>
          <w:sz w:val="20"/>
          <w:szCs w:val="20"/>
        </w:rPr>
        <w:t>CONTENTS</w:t>
      </w:r>
    </w:p>
    <w:p w:rsidR="00D5359A" w:rsidRPr="00616CCF" w:rsidRDefault="00D5359A" w:rsidP="00616CCF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16CCF">
        <w:rPr>
          <w:rFonts w:asciiTheme="minorHAnsi" w:eastAsia="Times New Roman" w:hAnsiTheme="minorHAnsi" w:cstheme="minorHAnsi"/>
          <w:b/>
          <w:bCs/>
          <w:sz w:val="20"/>
          <w:szCs w:val="20"/>
        </w:rPr>
        <w:t>Supplementary Figures</w:t>
      </w:r>
    </w:p>
    <w:p w:rsidR="00CD3990" w:rsidRPr="00616CCF" w:rsidRDefault="00CD3990" w:rsidP="00616CCF">
      <w:pPr>
        <w:rPr>
          <w:rFonts w:asciiTheme="minorHAnsi" w:hAnsiTheme="minorHAnsi" w:cstheme="minorHAnsi"/>
          <w:bCs/>
          <w:sz w:val="20"/>
          <w:szCs w:val="20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>Supplementary Figure S1. Overview of whole transcriptomic sequencing data in SFT-S1 cell lines treated with or without dasatinib.</w:t>
      </w:r>
    </w:p>
    <w:p w:rsidR="00CD3990" w:rsidRPr="00616CCF" w:rsidRDefault="00CD3990" w:rsidP="00616CCF">
      <w:pPr>
        <w:rPr>
          <w:rFonts w:asciiTheme="minorHAnsi" w:hAnsiTheme="minorHAnsi" w:cstheme="minorHAnsi"/>
          <w:bCs/>
          <w:sz w:val="20"/>
          <w:szCs w:val="20"/>
          <w:lang w:val="en-SG"/>
        </w:rPr>
      </w:pPr>
      <w:r w:rsidRPr="00616CCF">
        <w:rPr>
          <w:rFonts w:asciiTheme="minorHAnsi" w:hAnsiTheme="minorHAnsi" w:cstheme="minorHAnsi"/>
          <w:bCs/>
          <w:sz w:val="20"/>
          <w:szCs w:val="20"/>
          <w:lang w:val="en-SG"/>
        </w:rPr>
        <w:t>Supplementary Figure S2. Dose response curves for 10 of 14 targeted agents evaluated in the SFT-S1 cell line.</w:t>
      </w:r>
    </w:p>
    <w:p w:rsidR="00EC7175" w:rsidRPr="00616CCF" w:rsidRDefault="00CD3990" w:rsidP="00616CCF">
      <w:pPr>
        <w:rPr>
          <w:rFonts w:asciiTheme="minorHAnsi" w:hAnsiTheme="minorHAnsi" w:cstheme="minorHAnsi"/>
          <w:bCs/>
          <w:sz w:val="20"/>
          <w:szCs w:val="20"/>
          <w:lang w:val="en-SG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="00EC7175" w:rsidRPr="00616CCF">
        <w:rPr>
          <w:rFonts w:asciiTheme="minorHAnsi" w:hAnsiTheme="minorHAnsi" w:cstheme="minorHAnsi"/>
          <w:bCs/>
          <w:sz w:val="20"/>
          <w:szCs w:val="20"/>
        </w:rPr>
        <w:t xml:space="preserve">Supplementary Figure S3. </w:t>
      </w:r>
      <w:r w:rsidRPr="00616CCF">
        <w:rPr>
          <w:rFonts w:asciiTheme="minorHAnsi" w:hAnsiTheme="minorHAnsi" w:cstheme="minorHAnsi"/>
          <w:bCs/>
          <w:sz w:val="20"/>
          <w:szCs w:val="20"/>
        </w:rPr>
        <w:t>Differentially Methylated Regions and Loci in the SFT-S1 cell line model compared to normal tissue.</w:t>
      </w:r>
    </w:p>
    <w:p w:rsidR="001262B7" w:rsidRPr="00616CCF" w:rsidRDefault="001262B7" w:rsidP="00616CCF">
      <w:pPr>
        <w:rPr>
          <w:rFonts w:asciiTheme="minorHAnsi" w:hAnsiTheme="minorHAnsi" w:cstheme="minorHAnsi"/>
          <w:bCs/>
          <w:sz w:val="20"/>
          <w:szCs w:val="20"/>
          <w:lang w:val="en-SG"/>
        </w:rPr>
      </w:pPr>
    </w:p>
    <w:p w:rsidR="00D5359A" w:rsidRPr="00616CCF" w:rsidRDefault="00D5359A" w:rsidP="00616CCF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16CCF">
        <w:rPr>
          <w:rFonts w:asciiTheme="minorHAnsi" w:eastAsia="Times New Roman" w:hAnsiTheme="minorHAnsi" w:cstheme="minorHAnsi"/>
          <w:b/>
          <w:sz w:val="20"/>
          <w:szCs w:val="20"/>
        </w:rPr>
        <w:t>Supplementary Tables (excel file)</w:t>
      </w:r>
    </w:p>
    <w:p w:rsidR="00460AE9" w:rsidRPr="00616CCF" w:rsidRDefault="00460AE9" w:rsidP="00616CCF">
      <w:pPr>
        <w:rPr>
          <w:rFonts w:asciiTheme="minorHAnsi" w:hAnsiTheme="minorHAnsi" w:cstheme="minorHAnsi"/>
          <w:bCs/>
          <w:sz w:val="20"/>
          <w:szCs w:val="20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>Supplementary Table S1. Short tandem repeat (STR) genotyping of the SFT-S1 cell line</w:t>
      </w:r>
    </w:p>
    <w:p w:rsidR="00165B1F" w:rsidRPr="00616CCF" w:rsidRDefault="00165B1F" w:rsidP="00616CCF">
      <w:pPr>
        <w:rPr>
          <w:rFonts w:asciiTheme="minorHAnsi" w:hAnsiTheme="minorHAnsi" w:cstheme="minorHAnsi"/>
          <w:bCs/>
          <w:sz w:val="20"/>
          <w:szCs w:val="20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>Supplemental Table S</w:t>
      </w:r>
      <w:r w:rsidR="00460AE9" w:rsidRPr="00616CCF">
        <w:rPr>
          <w:rFonts w:asciiTheme="minorHAnsi" w:hAnsiTheme="minorHAnsi" w:cstheme="minorHAnsi"/>
          <w:bCs/>
          <w:sz w:val="20"/>
          <w:szCs w:val="20"/>
        </w:rPr>
        <w:t>2</w:t>
      </w:r>
      <w:r w:rsidRPr="00616CCF">
        <w:rPr>
          <w:rFonts w:asciiTheme="minorHAnsi" w:hAnsiTheme="minorHAnsi" w:cstheme="minorHAnsi"/>
          <w:bCs/>
          <w:sz w:val="20"/>
          <w:szCs w:val="20"/>
        </w:rPr>
        <w:t>. List of nonsynonymous somatic mutations identified from whole-genome sequencing Supplementary Table S</w:t>
      </w:r>
      <w:r w:rsidR="00460AE9" w:rsidRPr="00616CCF">
        <w:rPr>
          <w:rFonts w:asciiTheme="minorHAnsi" w:hAnsiTheme="minorHAnsi" w:cstheme="minorHAnsi"/>
          <w:bCs/>
          <w:sz w:val="20"/>
          <w:szCs w:val="20"/>
        </w:rPr>
        <w:t>3</w:t>
      </w:r>
      <w:r w:rsidRPr="00616CCF">
        <w:rPr>
          <w:rFonts w:asciiTheme="minorHAnsi" w:hAnsiTheme="minorHAnsi" w:cstheme="minorHAnsi"/>
          <w:bCs/>
          <w:sz w:val="20"/>
          <w:szCs w:val="20"/>
        </w:rPr>
        <w:t xml:space="preserve">. List of genes identified from somatic copy number alterations analysis </w:t>
      </w:r>
    </w:p>
    <w:p w:rsidR="00165B1F" w:rsidRPr="00616CCF" w:rsidRDefault="00165B1F" w:rsidP="00616CCF">
      <w:pPr>
        <w:rPr>
          <w:rFonts w:asciiTheme="minorHAnsi" w:hAnsiTheme="minorHAnsi" w:cstheme="minorHAnsi"/>
          <w:bCs/>
          <w:sz w:val="20"/>
          <w:szCs w:val="20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>Supplementary Table S</w:t>
      </w:r>
      <w:r w:rsidR="00460AE9" w:rsidRPr="00616CCF">
        <w:rPr>
          <w:rFonts w:asciiTheme="minorHAnsi" w:hAnsiTheme="minorHAnsi" w:cstheme="minorHAnsi"/>
          <w:bCs/>
          <w:sz w:val="20"/>
          <w:szCs w:val="20"/>
        </w:rPr>
        <w:t>4</w:t>
      </w:r>
      <w:r w:rsidRPr="00616CCF">
        <w:rPr>
          <w:rFonts w:asciiTheme="minorHAnsi" w:hAnsiTheme="minorHAnsi" w:cstheme="minorHAnsi"/>
          <w:bCs/>
          <w:sz w:val="20"/>
          <w:szCs w:val="20"/>
        </w:rPr>
        <w:t xml:space="preserve">. IC50 values of targeted agents in SFT-S1 cell line </w:t>
      </w:r>
    </w:p>
    <w:p w:rsidR="00165B1F" w:rsidRPr="00616CCF" w:rsidRDefault="00165B1F" w:rsidP="00616CCF">
      <w:pPr>
        <w:rPr>
          <w:rFonts w:asciiTheme="minorHAnsi" w:hAnsiTheme="minorHAnsi" w:cstheme="minorHAnsi"/>
          <w:bCs/>
          <w:sz w:val="20"/>
          <w:szCs w:val="20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>Supplementary Table S</w:t>
      </w:r>
      <w:r w:rsidR="00460AE9" w:rsidRPr="00616CCF">
        <w:rPr>
          <w:rFonts w:asciiTheme="minorHAnsi" w:hAnsiTheme="minorHAnsi" w:cstheme="minorHAnsi"/>
          <w:bCs/>
          <w:sz w:val="20"/>
          <w:szCs w:val="20"/>
        </w:rPr>
        <w:t>5</w:t>
      </w:r>
      <w:r w:rsidRPr="00616CCF">
        <w:rPr>
          <w:rFonts w:asciiTheme="minorHAnsi" w:hAnsiTheme="minorHAnsi" w:cstheme="minorHAnsi"/>
          <w:bCs/>
          <w:sz w:val="20"/>
          <w:szCs w:val="20"/>
        </w:rPr>
        <w:t xml:space="preserve">. List of transcripts in the tumor and matched adjacent normal tissue (expressed in transcripts per million) </w:t>
      </w:r>
    </w:p>
    <w:p w:rsidR="00D5359A" w:rsidRPr="00616CCF" w:rsidRDefault="00165B1F" w:rsidP="00616CCF">
      <w:pPr>
        <w:rPr>
          <w:rFonts w:asciiTheme="minorHAnsi" w:hAnsiTheme="minorHAnsi" w:cstheme="minorHAnsi"/>
          <w:bCs/>
          <w:sz w:val="20"/>
          <w:szCs w:val="20"/>
        </w:rPr>
      </w:pPr>
      <w:r w:rsidRPr="00616CCF">
        <w:rPr>
          <w:rFonts w:asciiTheme="minorHAnsi" w:hAnsiTheme="minorHAnsi" w:cstheme="minorHAnsi"/>
          <w:bCs/>
          <w:sz w:val="20"/>
          <w:szCs w:val="20"/>
        </w:rPr>
        <w:t>Supplementary Table S</w:t>
      </w:r>
      <w:r w:rsidR="00460AE9" w:rsidRPr="00616CCF">
        <w:rPr>
          <w:rFonts w:asciiTheme="minorHAnsi" w:hAnsiTheme="minorHAnsi" w:cstheme="minorHAnsi"/>
          <w:bCs/>
          <w:sz w:val="20"/>
          <w:szCs w:val="20"/>
        </w:rPr>
        <w:t>6</w:t>
      </w:r>
      <w:r w:rsidRPr="00616CCF">
        <w:rPr>
          <w:rFonts w:asciiTheme="minorHAnsi" w:hAnsiTheme="minorHAnsi" w:cstheme="minorHAnsi"/>
          <w:bCs/>
          <w:sz w:val="20"/>
          <w:szCs w:val="20"/>
        </w:rPr>
        <w:t>. Differentially-expressed genes between cell lines treated with and without dasatinib</w:t>
      </w:r>
    </w:p>
    <w:p w:rsidR="004A0DEE" w:rsidRPr="00616CCF" w:rsidRDefault="004A0DEE" w:rsidP="00616CCF">
      <w:pPr>
        <w:suppressAutoHyphens w:val="0"/>
        <w:jc w:val="left"/>
        <w:rPr>
          <w:rFonts w:asciiTheme="minorHAnsi" w:hAnsiTheme="minorHAnsi" w:cstheme="minorHAnsi"/>
          <w:b/>
          <w:sz w:val="20"/>
          <w:szCs w:val="20"/>
        </w:rPr>
      </w:pPr>
      <w:r w:rsidRPr="00616CCF">
        <w:rPr>
          <w:rFonts w:asciiTheme="minorHAnsi" w:hAnsiTheme="minorHAnsi" w:cstheme="minorHAnsi"/>
          <w:b/>
          <w:sz w:val="20"/>
          <w:szCs w:val="20"/>
        </w:rPr>
        <w:br w:type="page"/>
      </w:r>
    </w:p>
    <w:p w:rsidR="00D5359A" w:rsidRPr="002320D8" w:rsidRDefault="00D5359A" w:rsidP="00D5359A">
      <w:pPr>
        <w:rPr>
          <w:rFonts w:asciiTheme="minorHAnsi" w:hAnsiTheme="minorHAnsi" w:cstheme="minorHAnsi"/>
          <w:b/>
          <w:sz w:val="20"/>
          <w:szCs w:val="20"/>
        </w:rPr>
      </w:pPr>
      <w:r w:rsidRPr="002320D8">
        <w:rPr>
          <w:rFonts w:asciiTheme="minorHAnsi" w:hAnsiTheme="minorHAnsi" w:cstheme="minorHAnsi"/>
          <w:b/>
          <w:sz w:val="20"/>
          <w:szCs w:val="20"/>
        </w:rPr>
        <w:lastRenderedPageBreak/>
        <w:t>SUPPLEMENTARY FIGURES</w:t>
      </w:r>
    </w:p>
    <w:p w:rsidR="001262B7" w:rsidRPr="002320D8" w:rsidRDefault="00616CCF" w:rsidP="00616CCF">
      <w:pPr>
        <w:suppressAutoHyphens w:val="0"/>
        <w:spacing w:after="160" w:line="259" w:lineRule="auto"/>
        <w:jc w:val="center"/>
        <w:rPr>
          <w:rFonts w:asciiTheme="minorHAnsi" w:eastAsia="Calibr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lang w:val="en-SG" w:eastAsia="zh-CN"/>
        </w:rPr>
        <w:drawing>
          <wp:inline distT="0" distB="0" distL="0" distR="0">
            <wp:extent cx="5467350" cy="1990725"/>
            <wp:effectExtent l="0" t="0" r="0" b="9525"/>
            <wp:docPr id="1" name="Picture 1" descr="C:\Users\jason\AppData\Local\Microsoft\Windows\INetCache\Content.Word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son\AppData\Local\Microsoft\Windows\INetCache\Content.Word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990" w:rsidRPr="002320D8" w:rsidRDefault="00CD3990" w:rsidP="00CD3990">
      <w:pPr>
        <w:rPr>
          <w:rFonts w:asciiTheme="minorHAnsi" w:eastAsia="Calibri" w:hAnsiTheme="minorHAnsi" w:cstheme="minorHAnsi"/>
          <w:b/>
          <w:bCs/>
          <w:sz w:val="20"/>
          <w:szCs w:val="20"/>
          <w:lang w:val="en-SG"/>
        </w:rPr>
      </w:pPr>
      <w:r w:rsidRPr="002320D8">
        <w:rPr>
          <w:rFonts w:asciiTheme="minorHAnsi" w:eastAsia="Calibri" w:hAnsiTheme="minorHAnsi" w:cstheme="minorHAnsi"/>
          <w:b/>
          <w:bCs/>
          <w:sz w:val="20"/>
          <w:szCs w:val="20"/>
          <w:lang w:val="en-SG"/>
        </w:rPr>
        <w:t xml:space="preserve">Supplementary Figure S1. Overview of whole transcriptomic sequencing data in SFT-S1 cell lines treated with or without </w:t>
      </w:r>
      <w:proofErr w:type="spellStart"/>
      <w:r w:rsidRPr="002320D8">
        <w:rPr>
          <w:rFonts w:asciiTheme="minorHAnsi" w:eastAsia="Calibri" w:hAnsiTheme="minorHAnsi" w:cstheme="minorHAnsi"/>
          <w:b/>
          <w:bCs/>
          <w:sz w:val="20"/>
          <w:szCs w:val="20"/>
          <w:lang w:val="en-SG"/>
        </w:rPr>
        <w:t>dasatinib</w:t>
      </w:r>
      <w:proofErr w:type="spellEnd"/>
      <w:r w:rsidRPr="002320D8">
        <w:rPr>
          <w:rFonts w:asciiTheme="minorHAnsi" w:eastAsia="Calibri" w:hAnsiTheme="minorHAnsi" w:cstheme="minorHAnsi"/>
          <w:b/>
          <w:bCs/>
          <w:sz w:val="20"/>
          <w:szCs w:val="20"/>
          <w:lang w:val="en-SG"/>
        </w:rPr>
        <w:t>.</w:t>
      </w:r>
      <w:r w:rsidRPr="002320D8">
        <w:rPr>
          <w:rFonts w:asciiTheme="minorHAnsi" w:eastAsia="Calibri" w:hAnsiTheme="minorHAnsi" w:cstheme="minorHAnsi"/>
          <w:bCs/>
          <w:sz w:val="20"/>
          <w:szCs w:val="20"/>
          <w:lang w:val="en-SG"/>
        </w:rPr>
        <w:t xml:space="preserve"> a) Principal Component Analysis (PCA) plot showing that whole transcriptomic sequencing data clustered by treatment groups along PC1. b) Similar results were demonstrated on a distance plot.</w:t>
      </w:r>
    </w:p>
    <w:p w:rsidR="00CD3990" w:rsidRPr="002320D8" w:rsidRDefault="00CD3990" w:rsidP="004A0DEE">
      <w:pPr>
        <w:rPr>
          <w:rFonts w:asciiTheme="minorHAnsi" w:hAnsiTheme="minorHAnsi" w:cstheme="minorHAnsi"/>
          <w:sz w:val="20"/>
          <w:lang w:val="en-SG"/>
        </w:rPr>
      </w:pPr>
    </w:p>
    <w:p w:rsidR="00616CCF" w:rsidRDefault="00616CCF">
      <w:pPr>
        <w:suppressAutoHyphens w:val="0"/>
        <w:spacing w:after="160" w:line="259" w:lineRule="auto"/>
        <w:jc w:val="left"/>
        <w:rPr>
          <w:rFonts w:asciiTheme="minorHAnsi" w:hAnsiTheme="minorHAnsi" w:cstheme="minorHAnsi"/>
          <w:b/>
          <w:bCs/>
          <w:sz w:val="20"/>
          <w:lang w:val="en-SG"/>
        </w:rPr>
      </w:pPr>
      <w:r>
        <w:rPr>
          <w:rFonts w:asciiTheme="minorHAnsi" w:hAnsiTheme="minorHAnsi" w:cstheme="minorHAnsi"/>
          <w:b/>
          <w:bCs/>
          <w:sz w:val="20"/>
          <w:lang w:val="en-SG"/>
        </w:rPr>
        <w:br w:type="page"/>
      </w:r>
    </w:p>
    <w:p w:rsidR="00616CCF" w:rsidRDefault="00616CCF" w:rsidP="00616CCF">
      <w:pPr>
        <w:jc w:val="center"/>
        <w:rPr>
          <w:rFonts w:asciiTheme="minorHAnsi" w:hAnsiTheme="minorHAnsi" w:cstheme="minorHAnsi"/>
          <w:b/>
          <w:bCs/>
          <w:sz w:val="20"/>
          <w:lang w:val="en-SG"/>
        </w:rPr>
      </w:pPr>
      <w:r>
        <w:rPr>
          <w:rFonts w:asciiTheme="minorHAnsi" w:hAnsiTheme="minorHAnsi" w:cstheme="minorHAnsi"/>
          <w:b/>
          <w:bCs/>
          <w:sz w:val="20"/>
          <w:lang w:val="en-SG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5pt;height:428.25pt">
            <v:imagedata r:id="rId8" o:title="Figure S2"/>
          </v:shape>
        </w:pict>
      </w:r>
    </w:p>
    <w:p w:rsidR="00CD3990" w:rsidRPr="002320D8" w:rsidRDefault="00CD3990" w:rsidP="00CD3990">
      <w:pPr>
        <w:rPr>
          <w:rFonts w:asciiTheme="minorHAnsi" w:hAnsiTheme="minorHAnsi" w:cstheme="minorHAnsi"/>
          <w:sz w:val="20"/>
          <w:lang w:val="en-SG"/>
        </w:rPr>
      </w:pPr>
      <w:r w:rsidRPr="002320D8">
        <w:rPr>
          <w:rFonts w:asciiTheme="minorHAnsi" w:hAnsiTheme="minorHAnsi" w:cstheme="minorHAnsi"/>
          <w:b/>
          <w:bCs/>
          <w:sz w:val="20"/>
          <w:lang w:val="en-SG"/>
        </w:rPr>
        <w:t>Supplementary Figure S2. Dose response curves for 10 of 14 targeted agents evaluated in the SFT-S1 cell line.</w:t>
      </w:r>
    </w:p>
    <w:p w:rsidR="00616CCF" w:rsidRDefault="00616CCF">
      <w:pPr>
        <w:suppressAutoHyphens w:val="0"/>
        <w:spacing w:after="160" w:line="259" w:lineRule="auto"/>
        <w:jc w:val="left"/>
        <w:rPr>
          <w:rFonts w:asciiTheme="minorHAnsi" w:hAnsiTheme="minorHAnsi" w:cstheme="minorHAnsi"/>
          <w:sz w:val="20"/>
          <w:lang w:val="en-SG"/>
        </w:rPr>
      </w:pPr>
      <w:r>
        <w:rPr>
          <w:rFonts w:asciiTheme="minorHAnsi" w:hAnsiTheme="minorHAnsi" w:cstheme="minorHAnsi"/>
          <w:sz w:val="20"/>
          <w:lang w:val="en-SG"/>
        </w:rPr>
        <w:br w:type="page"/>
      </w:r>
    </w:p>
    <w:p w:rsidR="00CD3990" w:rsidRPr="002320D8" w:rsidRDefault="00616CCF" w:rsidP="00616CCF">
      <w:pPr>
        <w:jc w:val="center"/>
        <w:rPr>
          <w:rFonts w:asciiTheme="minorHAnsi" w:hAnsiTheme="minorHAnsi" w:cstheme="minorHAnsi"/>
          <w:sz w:val="20"/>
          <w:lang w:val="en-SG"/>
        </w:rPr>
      </w:pPr>
      <w:r>
        <w:rPr>
          <w:rFonts w:asciiTheme="minorHAnsi" w:hAnsiTheme="minorHAnsi" w:cstheme="minorHAnsi"/>
          <w:sz w:val="20"/>
          <w:lang w:val="en-SG"/>
        </w:rPr>
        <w:lastRenderedPageBreak/>
        <w:pict>
          <v:shape id="_x0000_i1026" type="#_x0000_t75" style="width:289.5pt;height:495pt">
            <v:imagedata r:id="rId9" o:title="Figure S3"/>
          </v:shape>
        </w:pict>
      </w:r>
    </w:p>
    <w:p w:rsidR="00CD3990" w:rsidRPr="00E423AF" w:rsidRDefault="00CD3990" w:rsidP="004A0DEE">
      <w:pPr>
        <w:rPr>
          <w:rFonts w:asciiTheme="minorHAnsi" w:hAnsiTheme="minorHAnsi" w:cstheme="minorHAnsi"/>
          <w:sz w:val="20"/>
        </w:rPr>
      </w:pPr>
      <w:r w:rsidRPr="002320D8">
        <w:rPr>
          <w:rFonts w:asciiTheme="minorHAnsi" w:hAnsiTheme="minorHAnsi" w:cstheme="minorHAnsi"/>
          <w:b/>
          <w:bCs/>
          <w:sz w:val="20"/>
          <w:lang w:val="en-SG"/>
        </w:rPr>
        <w:t xml:space="preserve">Supplementary Figure S3. </w:t>
      </w:r>
      <w:r w:rsidRPr="002320D8">
        <w:rPr>
          <w:rFonts w:asciiTheme="minorHAnsi" w:hAnsiTheme="minorHAnsi" w:cstheme="minorHAnsi"/>
          <w:b/>
          <w:bCs/>
          <w:sz w:val="20"/>
        </w:rPr>
        <w:t>Differentially Methylated Regions and</w:t>
      </w:r>
      <w:r w:rsidRPr="002320D8">
        <w:rPr>
          <w:rFonts w:asciiTheme="minorHAnsi" w:hAnsiTheme="minorHAnsi" w:cstheme="minorHAnsi"/>
          <w:b/>
          <w:bCs/>
          <w:sz w:val="20"/>
          <w:lang w:val="en-SG"/>
        </w:rPr>
        <w:t xml:space="preserve"> </w:t>
      </w:r>
      <w:r w:rsidRPr="002320D8">
        <w:rPr>
          <w:rFonts w:asciiTheme="minorHAnsi" w:hAnsiTheme="minorHAnsi" w:cstheme="minorHAnsi"/>
          <w:b/>
          <w:bCs/>
          <w:sz w:val="20"/>
        </w:rPr>
        <w:t>Loci</w:t>
      </w:r>
      <w:r w:rsidRPr="002320D8">
        <w:rPr>
          <w:rFonts w:asciiTheme="minorHAnsi" w:hAnsiTheme="minorHAnsi" w:cstheme="minorHAnsi"/>
          <w:b/>
          <w:bCs/>
          <w:sz w:val="20"/>
          <w:lang w:val="en-SG"/>
        </w:rPr>
        <w:t xml:space="preserve"> in the SFT-S1 cell line model compared to normal tissue. </w:t>
      </w:r>
      <w:r w:rsidRPr="002320D8">
        <w:rPr>
          <w:rFonts w:asciiTheme="minorHAnsi" w:hAnsiTheme="minorHAnsi" w:cstheme="minorHAnsi"/>
          <w:sz w:val="20"/>
          <w:lang w:val="en-SG"/>
        </w:rPr>
        <w:t xml:space="preserve">a-b) </w:t>
      </w:r>
      <w:r w:rsidRPr="002320D8">
        <w:rPr>
          <w:rFonts w:asciiTheme="minorHAnsi" w:hAnsiTheme="minorHAnsi" w:cstheme="minorHAnsi"/>
          <w:sz w:val="20"/>
        </w:rPr>
        <w:t xml:space="preserve">Percentage of the total Differentially Methylated Regions (DMRs) that are associated with a particular genomic location or </w:t>
      </w:r>
      <w:proofErr w:type="spellStart"/>
      <w:r w:rsidRPr="002320D8">
        <w:rPr>
          <w:rFonts w:asciiTheme="minorHAnsi" w:hAnsiTheme="minorHAnsi" w:cstheme="minorHAnsi"/>
          <w:sz w:val="20"/>
        </w:rPr>
        <w:t>CpG</w:t>
      </w:r>
      <w:proofErr w:type="spellEnd"/>
      <w:r w:rsidRPr="002320D8">
        <w:rPr>
          <w:rFonts w:asciiTheme="minorHAnsi" w:hAnsiTheme="minorHAnsi" w:cstheme="minorHAnsi"/>
          <w:sz w:val="20"/>
        </w:rPr>
        <w:t xml:space="preserve"> Islands (CGIs) in cell line vs normal tissue. </w:t>
      </w:r>
      <w:proofErr w:type="gramStart"/>
      <w:r w:rsidRPr="002320D8">
        <w:rPr>
          <w:rFonts w:asciiTheme="minorHAnsi" w:hAnsiTheme="minorHAnsi" w:cstheme="minorHAnsi"/>
          <w:sz w:val="20"/>
        </w:rPr>
        <w:t>c-</w:t>
      </w:r>
      <w:proofErr w:type="gramEnd"/>
      <w:r w:rsidRPr="002320D8">
        <w:rPr>
          <w:rFonts w:asciiTheme="minorHAnsi" w:hAnsiTheme="minorHAnsi" w:cstheme="minorHAnsi"/>
          <w:sz w:val="20"/>
        </w:rPr>
        <w:t xml:space="preserve">d) Percentage of the total Differentially Methylated Loci (DML) that are associated with a particular genomic location or </w:t>
      </w:r>
      <w:proofErr w:type="spellStart"/>
      <w:r w:rsidRPr="002320D8">
        <w:rPr>
          <w:rFonts w:asciiTheme="minorHAnsi" w:hAnsiTheme="minorHAnsi" w:cstheme="minorHAnsi"/>
          <w:sz w:val="20"/>
        </w:rPr>
        <w:t>CpG</w:t>
      </w:r>
      <w:proofErr w:type="spellEnd"/>
      <w:r w:rsidRPr="002320D8">
        <w:rPr>
          <w:rFonts w:asciiTheme="minorHAnsi" w:hAnsiTheme="minorHAnsi" w:cstheme="minorHAnsi"/>
          <w:sz w:val="20"/>
        </w:rPr>
        <w:t xml:space="preserve"> Islands (CGIs)</w:t>
      </w:r>
      <w:r w:rsidR="00E423AF">
        <w:rPr>
          <w:rFonts w:asciiTheme="minorHAnsi" w:hAnsiTheme="minorHAnsi" w:cstheme="minorHAnsi"/>
          <w:sz w:val="20"/>
        </w:rPr>
        <w:t xml:space="preserve"> in cell line vs normal tissue.</w:t>
      </w:r>
      <w:bookmarkStart w:id="0" w:name="_GoBack"/>
      <w:bookmarkEnd w:id="0"/>
    </w:p>
    <w:sectPr w:rsidR="00CD3990" w:rsidRPr="00E423AF" w:rsidSect="0080567E"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633" w:rsidRDefault="00ED3633">
      <w:pPr>
        <w:spacing w:line="240" w:lineRule="auto"/>
      </w:pPr>
      <w:r>
        <w:separator/>
      </w:r>
    </w:p>
  </w:endnote>
  <w:endnote w:type="continuationSeparator" w:id="0">
    <w:p w:rsidR="00ED3633" w:rsidRDefault="00ED36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24689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A5294" w:rsidRDefault="00D535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23A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A5294" w:rsidRDefault="00ED36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633" w:rsidRDefault="00ED3633">
      <w:pPr>
        <w:spacing w:line="240" w:lineRule="auto"/>
      </w:pPr>
      <w:r>
        <w:separator/>
      </w:r>
    </w:p>
  </w:footnote>
  <w:footnote w:type="continuationSeparator" w:id="0">
    <w:p w:rsidR="00ED3633" w:rsidRDefault="00ED36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65EFF"/>
    <w:multiLevelType w:val="multilevel"/>
    <w:tmpl w:val="5A04ACE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4D1B3C0B"/>
    <w:multiLevelType w:val="hybridMultilevel"/>
    <w:tmpl w:val="E326E13C"/>
    <w:lvl w:ilvl="0" w:tplc="4809000F">
      <w:start w:val="1"/>
      <w:numFmt w:val="decimal"/>
      <w:lvlText w:val="%1."/>
      <w:lvlJc w:val="left"/>
      <w:pPr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59A"/>
    <w:rsid w:val="0004288A"/>
    <w:rsid w:val="000873C8"/>
    <w:rsid w:val="00095F07"/>
    <w:rsid w:val="00096E93"/>
    <w:rsid w:val="000B5460"/>
    <w:rsid w:val="000C02E0"/>
    <w:rsid w:val="000F7EDA"/>
    <w:rsid w:val="001262B7"/>
    <w:rsid w:val="001637FE"/>
    <w:rsid w:val="00163D51"/>
    <w:rsid w:val="00163FAD"/>
    <w:rsid w:val="00165B1F"/>
    <w:rsid w:val="00194F11"/>
    <w:rsid w:val="0019644F"/>
    <w:rsid w:val="001C280B"/>
    <w:rsid w:val="00222C60"/>
    <w:rsid w:val="002320D8"/>
    <w:rsid w:val="00241407"/>
    <w:rsid w:val="00293746"/>
    <w:rsid w:val="002B1A90"/>
    <w:rsid w:val="002B34EB"/>
    <w:rsid w:val="002B7C34"/>
    <w:rsid w:val="002C110E"/>
    <w:rsid w:val="002E0A67"/>
    <w:rsid w:val="0030013C"/>
    <w:rsid w:val="00325C13"/>
    <w:rsid w:val="00354575"/>
    <w:rsid w:val="0036640D"/>
    <w:rsid w:val="00367661"/>
    <w:rsid w:val="00377C6F"/>
    <w:rsid w:val="003C056F"/>
    <w:rsid w:val="00407637"/>
    <w:rsid w:val="00421CB3"/>
    <w:rsid w:val="00443687"/>
    <w:rsid w:val="00460AE9"/>
    <w:rsid w:val="00463852"/>
    <w:rsid w:val="004A0DEE"/>
    <w:rsid w:val="004B21A1"/>
    <w:rsid w:val="004E1003"/>
    <w:rsid w:val="00543C56"/>
    <w:rsid w:val="005B0D56"/>
    <w:rsid w:val="005B1DDE"/>
    <w:rsid w:val="005B73F2"/>
    <w:rsid w:val="00603A31"/>
    <w:rsid w:val="00612F2C"/>
    <w:rsid w:val="00616CCF"/>
    <w:rsid w:val="00641A1D"/>
    <w:rsid w:val="006709F2"/>
    <w:rsid w:val="006806D4"/>
    <w:rsid w:val="00735D61"/>
    <w:rsid w:val="00737A22"/>
    <w:rsid w:val="007502EF"/>
    <w:rsid w:val="00772DFD"/>
    <w:rsid w:val="007755D4"/>
    <w:rsid w:val="00776C34"/>
    <w:rsid w:val="007A117A"/>
    <w:rsid w:val="007C63FF"/>
    <w:rsid w:val="007C7EF8"/>
    <w:rsid w:val="007D432A"/>
    <w:rsid w:val="008063B4"/>
    <w:rsid w:val="00812E79"/>
    <w:rsid w:val="0083319B"/>
    <w:rsid w:val="00853058"/>
    <w:rsid w:val="00884166"/>
    <w:rsid w:val="0090191C"/>
    <w:rsid w:val="00902DB1"/>
    <w:rsid w:val="0092015E"/>
    <w:rsid w:val="0092229B"/>
    <w:rsid w:val="00964610"/>
    <w:rsid w:val="009702A0"/>
    <w:rsid w:val="009B420C"/>
    <w:rsid w:val="009D0880"/>
    <w:rsid w:val="009D4421"/>
    <w:rsid w:val="00A129D1"/>
    <w:rsid w:val="00A210A3"/>
    <w:rsid w:val="00A43451"/>
    <w:rsid w:val="00A8611A"/>
    <w:rsid w:val="00B0331B"/>
    <w:rsid w:val="00B15FD6"/>
    <w:rsid w:val="00B30B4F"/>
    <w:rsid w:val="00B33815"/>
    <w:rsid w:val="00B362C5"/>
    <w:rsid w:val="00B42C98"/>
    <w:rsid w:val="00B47E3C"/>
    <w:rsid w:val="00B71C83"/>
    <w:rsid w:val="00BA48AA"/>
    <w:rsid w:val="00C3108E"/>
    <w:rsid w:val="00C43019"/>
    <w:rsid w:val="00C67E77"/>
    <w:rsid w:val="00C86D27"/>
    <w:rsid w:val="00CC2959"/>
    <w:rsid w:val="00CD3990"/>
    <w:rsid w:val="00D16E44"/>
    <w:rsid w:val="00D21FA9"/>
    <w:rsid w:val="00D230F5"/>
    <w:rsid w:val="00D5359A"/>
    <w:rsid w:val="00D70D33"/>
    <w:rsid w:val="00DB75B3"/>
    <w:rsid w:val="00E03DE5"/>
    <w:rsid w:val="00E23C61"/>
    <w:rsid w:val="00E423AF"/>
    <w:rsid w:val="00E6245C"/>
    <w:rsid w:val="00E72F14"/>
    <w:rsid w:val="00E94022"/>
    <w:rsid w:val="00EC7175"/>
    <w:rsid w:val="00ED3633"/>
    <w:rsid w:val="00EF537A"/>
    <w:rsid w:val="00EF7ADB"/>
    <w:rsid w:val="00F158AA"/>
    <w:rsid w:val="00F304FB"/>
    <w:rsid w:val="00F30608"/>
    <w:rsid w:val="00F554C4"/>
    <w:rsid w:val="00FA5BCC"/>
    <w:rsid w:val="00FD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FACE8A-B1DE-4DA9-A7F0-03CD32E6C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59A"/>
    <w:pPr>
      <w:suppressAutoHyphens/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535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59A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ListParagraph">
    <w:name w:val="List Paragraph"/>
    <w:basedOn w:val="Normal"/>
    <w:uiPriority w:val="34"/>
    <w:qFormat/>
    <w:rsid w:val="00D5359A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SG" w:eastAsia="en-US"/>
    </w:rPr>
  </w:style>
  <w:style w:type="paragraph" w:styleId="NormalWeb">
    <w:name w:val="Normal (Web)"/>
    <w:basedOn w:val="Normal"/>
    <w:uiPriority w:val="99"/>
    <w:semiHidden/>
    <w:unhideWhenUsed/>
    <w:rsid w:val="00641A1D"/>
    <w:pPr>
      <w:suppressAutoHyphens w:val="0"/>
      <w:spacing w:before="100" w:beforeAutospacing="1" w:after="100" w:afterAutospacing="1" w:line="240" w:lineRule="auto"/>
      <w:jc w:val="left"/>
    </w:pPr>
    <w:rPr>
      <w:lang w:val="en-SG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4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76</cp:revision>
  <cp:lastPrinted>2023-05-30T15:21:00Z</cp:lastPrinted>
  <dcterms:created xsi:type="dcterms:W3CDTF">2022-11-26T14:32:00Z</dcterms:created>
  <dcterms:modified xsi:type="dcterms:W3CDTF">2023-08-16T13:38:00Z</dcterms:modified>
</cp:coreProperties>
</file>