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A14A7" w14:textId="03909E96" w:rsidR="005B4F61" w:rsidRDefault="001C7463">
      <w:pPr>
        <w:rPr>
          <w:rFonts w:ascii="Arial" w:hAnsi="Arial" w:cs="Arial"/>
          <w:b/>
          <w:bCs/>
          <w:sz w:val="28"/>
          <w:szCs w:val="28"/>
          <w:lang w:val="en-US"/>
        </w:rPr>
      </w:pPr>
      <w:bookmarkStart w:id="0" w:name="_Hlk118932927"/>
      <w:bookmarkEnd w:id="0"/>
      <w:r w:rsidRPr="00A92552">
        <w:rPr>
          <w:rFonts w:ascii="Arial" w:hAnsi="Arial" w:cs="Arial"/>
          <w:b/>
          <w:bCs/>
          <w:sz w:val="28"/>
          <w:szCs w:val="28"/>
          <w:lang w:val="en-US"/>
        </w:rPr>
        <w:t>Supplementary information</w:t>
      </w:r>
    </w:p>
    <w:p w14:paraId="1D309D26" w14:textId="77777777" w:rsidR="00277D6F" w:rsidRPr="00277D6F" w:rsidRDefault="00277D6F" w:rsidP="00277D6F">
      <w:pPr>
        <w:rPr>
          <w:rFonts w:ascii="Arial" w:hAnsi="Arial" w:cs="Arial"/>
          <w:b/>
          <w:color w:val="000000"/>
          <w:sz w:val="28"/>
          <w:szCs w:val="28"/>
        </w:rPr>
      </w:pPr>
      <w:r w:rsidRPr="00277D6F">
        <w:rPr>
          <w:rFonts w:ascii="Arial" w:hAnsi="Arial" w:cs="Arial"/>
          <w:b/>
          <w:color w:val="000000"/>
          <w:sz w:val="28"/>
          <w:szCs w:val="28"/>
        </w:rPr>
        <w:t xml:space="preserve">Enhancement of Electrocatalysis through Magnetic Field Effects on Mass Transport </w:t>
      </w:r>
    </w:p>
    <w:p w14:paraId="6D098B20" w14:textId="77777777" w:rsidR="00277D6F" w:rsidRPr="00277D6F" w:rsidRDefault="00277D6F" w:rsidP="00277D6F">
      <w:pPr>
        <w:spacing w:before="120" w:after="120" w:line="360" w:lineRule="auto"/>
        <w:rPr>
          <w:rFonts w:ascii="Arial" w:hAnsi="Arial" w:cs="Arial"/>
          <w:sz w:val="20"/>
          <w:szCs w:val="20"/>
        </w:rPr>
      </w:pPr>
      <w:r w:rsidRPr="00277D6F">
        <w:rPr>
          <w:rFonts w:ascii="Arial" w:hAnsi="Arial" w:cs="Arial"/>
          <w:sz w:val="20"/>
          <w:szCs w:val="20"/>
        </w:rPr>
        <w:t>Priscila Vensaus,</w:t>
      </w:r>
      <w:r w:rsidRPr="00277D6F">
        <w:rPr>
          <w:rFonts w:ascii="Arial" w:hAnsi="Arial" w:cs="Arial"/>
          <w:sz w:val="20"/>
          <w:szCs w:val="20"/>
          <w:vertAlign w:val="superscript"/>
        </w:rPr>
        <w:t>1,2,</w:t>
      </w:r>
      <w:proofErr w:type="gramStart"/>
      <w:r w:rsidRPr="00277D6F">
        <w:rPr>
          <w:rFonts w:ascii="Arial" w:hAnsi="Arial" w:cs="Arial"/>
          <w:sz w:val="20"/>
          <w:szCs w:val="20"/>
          <w:vertAlign w:val="superscript"/>
        </w:rPr>
        <w:t>3,*</w:t>
      </w:r>
      <w:proofErr w:type="gramEnd"/>
      <w:r w:rsidRPr="00277D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7D6F">
        <w:rPr>
          <w:rFonts w:ascii="Arial" w:hAnsi="Arial" w:cs="Arial"/>
          <w:sz w:val="20"/>
          <w:szCs w:val="20"/>
        </w:rPr>
        <w:t>Yunchang</w:t>
      </w:r>
      <w:proofErr w:type="spellEnd"/>
      <w:r w:rsidRPr="00277D6F">
        <w:rPr>
          <w:rFonts w:ascii="Arial" w:hAnsi="Arial" w:cs="Arial"/>
          <w:sz w:val="20"/>
          <w:szCs w:val="20"/>
        </w:rPr>
        <w:t xml:space="preserve"> Liang,</w:t>
      </w:r>
      <w:r w:rsidRPr="00277D6F">
        <w:rPr>
          <w:rFonts w:ascii="Arial" w:hAnsi="Arial" w:cs="Arial"/>
          <w:sz w:val="20"/>
          <w:szCs w:val="20"/>
          <w:vertAlign w:val="superscript"/>
        </w:rPr>
        <w:t>1,2,*</w:t>
      </w:r>
      <w:r w:rsidRPr="00277D6F">
        <w:rPr>
          <w:rFonts w:ascii="Arial" w:hAnsi="Arial" w:cs="Arial"/>
          <w:sz w:val="20"/>
          <w:szCs w:val="20"/>
        </w:rPr>
        <w:t xml:space="preserve"> Jean-Philippe Ansermet,</w:t>
      </w:r>
      <w:r w:rsidRPr="00277D6F">
        <w:rPr>
          <w:rFonts w:ascii="Arial" w:hAnsi="Arial" w:cs="Arial"/>
          <w:sz w:val="20"/>
          <w:szCs w:val="20"/>
          <w:vertAlign w:val="superscript"/>
        </w:rPr>
        <w:t>2</w:t>
      </w:r>
      <w:r w:rsidRPr="00277D6F">
        <w:rPr>
          <w:rFonts w:ascii="Arial" w:hAnsi="Arial" w:cs="Arial"/>
          <w:sz w:val="20"/>
          <w:szCs w:val="20"/>
        </w:rPr>
        <w:t xml:space="preserve"> Galo J. A. A. Soler-Illia,</w:t>
      </w:r>
      <w:r w:rsidRPr="00277D6F">
        <w:rPr>
          <w:rFonts w:ascii="Arial" w:hAnsi="Arial" w:cs="Arial"/>
          <w:sz w:val="20"/>
          <w:szCs w:val="20"/>
          <w:vertAlign w:val="superscript"/>
        </w:rPr>
        <w:t>3</w:t>
      </w:r>
      <w:r w:rsidRPr="00277D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7D6F">
        <w:rPr>
          <w:rFonts w:ascii="Arial" w:hAnsi="Arial" w:cs="Arial"/>
          <w:color w:val="202124"/>
          <w:sz w:val="20"/>
          <w:szCs w:val="20"/>
        </w:rPr>
        <w:t>Magalí</w:t>
      </w:r>
      <w:proofErr w:type="spellEnd"/>
      <w:r w:rsidRPr="00277D6F">
        <w:rPr>
          <w:rFonts w:ascii="Arial" w:hAnsi="Arial" w:cs="Arial"/>
          <w:color w:val="202124"/>
          <w:sz w:val="20"/>
          <w:szCs w:val="20"/>
        </w:rPr>
        <w:t xml:space="preserve"> Lingenfelder</w:t>
      </w:r>
      <w:r w:rsidRPr="00277D6F">
        <w:rPr>
          <w:rFonts w:ascii="Arial" w:hAnsi="Arial" w:cs="Arial"/>
          <w:color w:val="202124"/>
          <w:sz w:val="20"/>
          <w:szCs w:val="20"/>
          <w:vertAlign w:val="superscript"/>
        </w:rPr>
        <w:t>1,2,#</w:t>
      </w:r>
    </w:p>
    <w:p w14:paraId="491E6086" w14:textId="77777777" w:rsidR="00277D6F" w:rsidRPr="00277D6F" w:rsidRDefault="00277D6F">
      <w:pPr>
        <w:rPr>
          <w:rFonts w:ascii="Arial" w:hAnsi="Arial" w:cs="Arial"/>
          <w:b/>
          <w:bCs/>
          <w:sz w:val="28"/>
          <w:szCs w:val="28"/>
        </w:rPr>
      </w:pPr>
    </w:p>
    <w:p w14:paraId="7CF814FD" w14:textId="77777777" w:rsidR="001C7463" w:rsidRDefault="001C7463" w:rsidP="001C7463">
      <w:pPr>
        <w:keepNext/>
      </w:pPr>
      <w:r>
        <w:rPr>
          <w:noProof/>
          <w:lang w:val="en-US"/>
        </w:rPr>
        <w:drawing>
          <wp:inline distT="0" distB="0" distL="0" distR="0" wp14:anchorId="2B55D1F5" wp14:editId="3532EB72">
            <wp:extent cx="5622817" cy="30002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5739" cy="30018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4E0749" w14:textId="1C58BFEB" w:rsidR="001C7463" w:rsidRDefault="001C7463" w:rsidP="001C7463">
      <w:pPr>
        <w:pStyle w:val="Caption"/>
        <w:rPr>
          <w:b/>
          <w:bCs/>
          <w:color w:val="000000" w:themeColor="text1"/>
          <w:lang w:val="en-US"/>
        </w:rPr>
      </w:pPr>
      <w:r w:rsidRPr="001C7463">
        <w:rPr>
          <w:b/>
          <w:bCs/>
          <w:color w:val="000000" w:themeColor="text1"/>
        </w:rPr>
        <w:t xml:space="preserve">Supplementary Figure </w:t>
      </w:r>
      <w:r w:rsidR="00493F91">
        <w:rPr>
          <w:b/>
          <w:bCs/>
          <w:color w:val="000000" w:themeColor="text1"/>
        </w:rPr>
        <w:t>1</w:t>
      </w:r>
      <w:r w:rsidR="00327E08" w:rsidRPr="001C7463">
        <w:rPr>
          <w:b/>
          <w:bCs/>
          <w:color w:val="000000" w:themeColor="text1"/>
          <w:lang w:val="en-US"/>
        </w:rPr>
        <w:t xml:space="preserve"> </w:t>
      </w:r>
      <w:r w:rsidRPr="001C7463">
        <w:rPr>
          <w:b/>
          <w:bCs/>
          <w:color w:val="000000" w:themeColor="text1"/>
          <w:lang w:val="en-US"/>
        </w:rPr>
        <w:t>| Photos of the H</w:t>
      </w:r>
      <w:r w:rsidRPr="001C7463">
        <w:rPr>
          <w:b/>
          <w:bCs/>
          <w:color w:val="000000" w:themeColor="text1"/>
          <w:vertAlign w:val="subscript"/>
          <w:lang w:val="en-US"/>
        </w:rPr>
        <w:t>2</w:t>
      </w:r>
      <w:r w:rsidRPr="001C7463">
        <w:rPr>
          <w:b/>
          <w:bCs/>
          <w:color w:val="000000" w:themeColor="text1"/>
          <w:lang w:val="en-US"/>
        </w:rPr>
        <w:t xml:space="preserve"> and O</w:t>
      </w:r>
      <w:r w:rsidRPr="001C7463">
        <w:rPr>
          <w:b/>
          <w:bCs/>
          <w:color w:val="000000" w:themeColor="text1"/>
          <w:vertAlign w:val="subscript"/>
          <w:lang w:val="en-US"/>
        </w:rPr>
        <w:t>2</w:t>
      </w:r>
      <w:r w:rsidRPr="001C7463">
        <w:rPr>
          <w:b/>
          <w:bCs/>
          <w:color w:val="000000" w:themeColor="text1"/>
          <w:lang w:val="en-US"/>
        </w:rPr>
        <w:t xml:space="preserve"> bubble movements under different magnetic fields.</w:t>
      </w:r>
      <w:r w:rsidR="000E4778">
        <w:rPr>
          <w:b/>
          <w:bCs/>
          <w:color w:val="000000" w:themeColor="text1"/>
          <w:lang w:val="en-US"/>
        </w:rPr>
        <w:t xml:space="preserve"> </w:t>
      </w:r>
      <w:r w:rsidR="000E4778" w:rsidRPr="00A92552">
        <w:rPr>
          <w:color w:val="000000" w:themeColor="text1"/>
          <w:lang w:val="en-US"/>
        </w:rPr>
        <w:t>The fine line emanating from the electrode is a tight string of bubbles.</w:t>
      </w:r>
      <w:r w:rsidR="00860975">
        <w:rPr>
          <w:color w:val="000000" w:themeColor="text1"/>
          <w:lang w:val="en-US"/>
        </w:rPr>
        <w:t xml:space="preserve"> Hydrogen bubbles are typically smaller and are seen as a straight line in the images. Oxygen bubbles tend to evolve as larger bubbles and can be seen separately.  </w:t>
      </w:r>
    </w:p>
    <w:p w14:paraId="49D292B8" w14:textId="2E538A77" w:rsidR="00E706D2" w:rsidRDefault="00E706D2" w:rsidP="00E706D2">
      <w:pPr>
        <w:rPr>
          <w:lang w:val="en-US"/>
        </w:rPr>
      </w:pPr>
    </w:p>
    <w:p w14:paraId="55F3C71A" w14:textId="1D5DAB1F" w:rsidR="00E706D2" w:rsidRDefault="00E706D2" w:rsidP="00E706D2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2F18FE34" wp14:editId="6467BE16">
            <wp:extent cx="5670684" cy="3027746"/>
            <wp:effectExtent l="0" t="0" r="635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684" cy="3027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C8783" w14:textId="642F9F65" w:rsidR="00E706D2" w:rsidRPr="003C5E09" w:rsidRDefault="00E706D2" w:rsidP="00E706D2">
      <w:pPr>
        <w:pStyle w:val="Caption"/>
        <w:jc w:val="both"/>
        <w:rPr>
          <w:lang w:val="en-US"/>
        </w:rPr>
      </w:pPr>
      <w:r w:rsidRPr="001C7463">
        <w:rPr>
          <w:b/>
          <w:bCs/>
          <w:color w:val="000000" w:themeColor="text1"/>
        </w:rPr>
        <w:t xml:space="preserve">Supplementary Figure </w:t>
      </w:r>
      <w:r w:rsidR="00493F91">
        <w:rPr>
          <w:b/>
          <w:bCs/>
          <w:color w:val="000000" w:themeColor="text1"/>
        </w:rPr>
        <w:t>2</w:t>
      </w:r>
      <w:r w:rsidR="00327E08" w:rsidRPr="00E706D2">
        <w:rPr>
          <w:b/>
          <w:bCs/>
          <w:color w:val="000000" w:themeColor="text1"/>
        </w:rPr>
        <w:t xml:space="preserve"> </w:t>
      </w:r>
      <w:r w:rsidRPr="00E706D2">
        <w:rPr>
          <w:b/>
          <w:bCs/>
          <w:color w:val="000000" w:themeColor="text1"/>
        </w:rPr>
        <w:t xml:space="preserve">| Estimated </w:t>
      </w:r>
      <w:r>
        <w:rPr>
          <w:b/>
          <w:bCs/>
          <w:color w:val="000000" w:themeColor="text1"/>
        </w:rPr>
        <w:t>OH</w:t>
      </w:r>
      <w:r w:rsidRPr="00E706D2">
        <w:rPr>
          <w:b/>
          <w:bCs/>
          <w:color w:val="000000" w:themeColor="text1"/>
          <w:vertAlign w:val="superscript"/>
        </w:rPr>
        <w:t>-</w:t>
      </w:r>
      <w:r>
        <w:rPr>
          <w:b/>
          <w:bCs/>
          <w:color w:val="000000" w:themeColor="text1"/>
        </w:rPr>
        <w:t xml:space="preserve"> c</w:t>
      </w:r>
      <w:r w:rsidRPr="00E706D2">
        <w:rPr>
          <w:b/>
          <w:bCs/>
          <w:color w:val="000000" w:themeColor="text1"/>
        </w:rPr>
        <w:t xml:space="preserve">oncentration profiles under </w:t>
      </w:r>
      <w:r>
        <w:rPr>
          <w:b/>
          <w:bCs/>
          <w:color w:val="000000" w:themeColor="text1"/>
        </w:rPr>
        <w:t xml:space="preserve">different magnetic </w:t>
      </w:r>
      <w:r w:rsidRPr="00E706D2">
        <w:rPr>
          <w:b/>
          <w:bCs/>
          <w:color w:val="000000" w:themeColor="text1"/>
        </w:rPr>
        <w:t xml:space="preserve">conditions </w:t>
      </w:r>
      <w:r w:rsidR="00C336F9">
        <w:rPr>
          <w:b/>
          <w:bCs/>
          <w:color w:val="000000" w:themeColor="text1"/>
        </w:rPr>
        <w:t xml:space="preserve">(a – c) </w:t>
      </w:r>
      <w:r w:rsidRPr="00E706D2">
        <w:rPr>
          <w:b/>
          <w:bCs/>
          <w:lang w:val="en-US"/>
        </w:rPr>
        <w:t xml:space="preserve">and </w:t>
      </w:r>
      <w:r w:rsidR="00397C9E">
        <w:rPr>
          <w:b/>
          <w:bCs/>
          <w:lang w:val="en-US"/>
        </w:rPr>
        <w:t xml:space="preserve">their corresponding </w:t>
      </w:r>
      <w:r w:rsidRPr="00E706D2">
        <w:rPr>
          <w:b/>
          <w:bCs/>
          <w:lang w:val="en-US"/>
        </w:rPr>
        <w:t xml:space="preserve">fits with </w:t>
      </w:r>
      <w:proofErr w:type="spellStart"/>
      <w:r w:rsidRPr="00E706D2">
        <w:rPr>
          <w:b/>
          <w:bCs/>
          <w:lang w:val="en-US"/>
        </w:rPr>
        <w:t>equ</w:t>
      </w:r>
      <w:proofErr w:type="spellEnd"/>
      <w:r w:rsidRPr="00E706D2">
        <w:rPr>
          <w:b/>
          <w:bCs/>
          <w:lang w:val="en-US"/>
        </w:rPr>
        <w:t xml:space="preserve"> </w:t>
      </w:r>
      <w:r w:rsidR="000F7695">
        <w:rPr>
          <w:b/>
          <w:bCs/>
          <w:lang w:val="en-US"/>
        </w:rPr>
        <w:t>7</w:t>
      </w:r>
      <w:r w:rsidR="00C336F9" w:rsidRPr="00A92552">
        <w:rPr>
          <w:b/>
          <w:bCs/>
          <w:lang w:val="en-US"/>
        </w:rPr>
        <w:t xml:space="preserve"> for data in the range of 0 to 0.40 mM (d-f). </w:t>
      </w:r>
    </w:p>
    <w:p w14:paraId="51725B40" w14:textId="5E747B46" w:rsidR="00E706D2" w:rsidRDefault="00E706D2" w:rsidP="00E706D2">
      <w:pPr>
        <w:pStyle w:val="Caption"/>
        <w:rPr>
          <w:b/>
          <w:bCs/>
          <w:color w:val="000000" w:themeColor="text1"/>
          <w:lang w:val="en-US"/>
        </w:rPr>
      </w:pPr>
    </w:p>
    <w:p w14:paraId="35AA267D" w14:textId="6BA2CDEC" w:rsidR="005C6C99" w:rsidRDefault="005C6C99" w:rsidP="00110740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849EAE3" wp14:editId="427BFFE3">
            <wp:extent cx="2863843" cy="2252872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1" b="1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43" cy="2252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F82501" w14:textId="0EA2D445" w:rsidR="005C6C99" w:rsidRPr="003C5E09" w:rsidRDefault="005C6C99" w:rsidP="005C6C99">
      <w:pPr>
        <w:pStyle w:val="Caption"/>
        <w:jc w:val="both"/>
        <w:rPr>
          <w:lang w:val="en-US"/>
        </w:rPr>
      </w:pPr>
      <w:bookmarkStart w:id="1" w:name="_Hlk118972506"/>
      <w:r w:rsidRPr="001C7463">
        <w:rPr>
          <w:b/>
          <w:bCs/>
          <w:color w:val="000000" w:themeColor="text1"/>
        </w:rPr>
        <w:t xml:space="preserve">Supplementary Figure </w:t>
      </w:r>
      <w:r w:rsidR="00493F91">
        <w:rPr>
          <w:b/>
          <w:bCs/>
          <w:color w:val="000000" w:themeColor="text1"/>
        </w:rPr>
        <w:t>3</w:t>
      </w:r>
      <w:r w:rsidR="00327E08" w:rsidRPr="00E706D2">
        <w:rPr>
          <w:b/>
          <w:bCs/>
          <w:color w:val="000000" w:themeColor="text1"/>
        </w:rPr>
        <w:t xml:space="preserve"> </w:t>
      </w:r>
      <w:r w:rsidRPr="00E706D2">
        <w:rPr>
          <w:b/>
          <w:bCs/>
          <w:color w:val="000000" w:themeColor="text1"/>
        </w:rPr>
        <w:t xml:space="preserve">| </w:t>
      </w:r>
      <w:r>
        <w:rPr>
          <w:b/>
          <w:bCs/>
          <w:color w:val="000000" w:themeColor="text1"/>
        </w:rPr>
        <w:t>OH</w:t>
      </w:r>
      <w:r w:rsidRPr="00E706D2">
        <w:rPr>
          <w:b/>
          <w:bCs/>
          <w:color w:val="000000" w:themeColor="text1"/>
          <w:vertAlign w:val="superscript"/>
        </w:rPr>
        <w:t>-</w:t>
      </w:r>
      <w:r>
        <w:rPr>
          <w:b/>
          <w:bCs/>
          <w:color w:val="000000" w:themeColor="text1"/>
        </w:rPr>
        <w:t xml:space="preserve"> diffusion length (</w:t>
      </w:r>
      <w:r>
        <w:rPr>
          <w:rFonts w:cs="Arial"/>
          <w:b/>
          <w:bCs/>
          <w:color w:val="000000" w:themeColor="text1"/>
        </w:rPr>
        <w:t>λ</w:t>
      </w:r>
      <w:r>
        <w:rPr>
          <w:b/>
          <w:bCs/>
          <w:color w:val="000000" w:themeColor="text1"/>
        </w:rPr>
        <w:t xml:space="preserve">) </w:t>
      </w:r>
      <w:r w:rsidR="00EA70E5">
        <w:rPr>
          <w:b/>
          <w:bCs/>
          <w:color w:val="000000" w:themeColor="text1"/>
        </w:rPr>
        <w:t xml:space="preserve">vs </w:t>
      </w:r>
      <w:r w:rsidR="00FC04C4">
        <w:rPr>
          <w:b/>
          <w:bCs/>
          <w:color w:val="000000" w:themeColor="text1"/>
        </w:rPr>
        <w:t xml:space="preserve">the square root of </w:t>
      </w:r>
      <w:r w:rsidR="00EA70E5">
        <w:rPr>
          <w:b/>
          <w:bCs/>
          <w:color w:val="000000" w:themeColor="text1"/>
        </w:rPr>
        <w:t xml:space="preserve">time, </w:t>
      </w:r>
      <w:r>
        <w:rPr>
          <w:b/>
          <w:bCs/>
          <w:color w:val="000000" w:themeColor="text1"/>
        </w:rPr>
        <w:t xml:space="preserve">estimated from the fitting of the concentration profiles shown in </w:t>
      </w:r>
      <w:proofErr w:type="spellStart"/>
      <w:r>
        <w:rPr>
          <w:b/>
          <w:bCs/>
          <w:color w:val="000000" w:themeColor="text1"/>
        </w:rPr>
        <w:t>Suppl</w:t>
      </w:r>
      <w:proofErr w:type="spellEnd"/>
      <w:r w:rsidRPr="00E706D2">
        <w:rPr>
          <w:b/>
          <w:bCs/>
          <w:lang w:val="en-US"/>
        </w:rPr>
        <w:t>.</w:t>
      </w:r>
      <w:r>
        <w:rPr>
          <w:b/>
          <w:bCs/>
          <w:lang w:val="en-US"/>
        </w:rPr>
        <w:t xml:space="preserve"> Fig. 2. </w:t>
      </w:r>
      <w:bookmarkEnd w:id="1"/>
      <w:r>
        <w:rPr>
          <w:lang w:val="en-US"/>
        </w:rPr>
        <w:t xml:space="preserve">During the first 90 seconds of the reaction, the diffusion length follows a linear relationship with the square root of the time, as described by </w:t>
      </w:r>
      <w:proofErr w:type="spellStart"/>
      <w:r>
        <w:rPr>
          <w:lang w:val="en-US"/>
        </w:rPr>
        <w:t>fickian</w:t>
      </w:r>
      <w:proofErr w:type="spellEnd"/>
      <w:r>
        <w:rPr>
          <w:lang w:val="en-US"/>
        </w:rPr>
        <w:t xml:space="preserve"> diffusion (</w:t>
      </w:r>
      <m:oMath>
        <m:r>
          <m:rPr>
            <m:sty m:val="bi"/>
          </m:rPr>
          <w:rPr>
            <w:rFonts w:ascii="Cambria Math" w:hAnsi="Cambria Math"/>
            <w:noProof/>
            <w:lang w:val="en-US"/>
          </w:rPr>
          <m:t>λ=2</m:t>
        </m:r>
        <m:rad>
          <m:radPr>
            <m:degHide m:val="1"/>
            <m:ctrlPr>
              <w:rPr>
                <w:rFonts w:ascii="Cambria Math" w:hAnsi="Cambria Math"/>
                <w:b/>
                <w:bCs/>
                <w:i/>
                <w:iCs w:val="0"/>
                <w:noProof/>
                <w:lang w:val="en-US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noProof/>
                <w:lang w:val="en-US"/>
              </w:rPr>
              <m:t>Dt</m:t>
            </m:r>
          </m:e>
        </m:rad>
      </m:oMath>
      <w:r>
        <w:rPr>
          <w:lang w:val="en-US"/>
        </w:rPr>
        <w:t xml:space="preserve">). After this time, diffusion of hydronium ions </w:t>
      </w:r>
      <w:r w:rsidR="00A45678">
        <w:rPr>
          <w:lang w:val="en-US"/>
        </w:rPr>
        <w:t xml:space="preserve">towards the right side of the Pt electrode </w:t>
      </w:r>
      <w:r>
        <w:rPr>
          <w:lang w:val="en-US"/>
        </w:rPr>
        <w:t>seems to increase when the magnetic field is turned on towards the positive direction (slope</w:t>
      </w:r>
      <w:r w:rsidR="00A45678">
        <w:rPr>
          <w:lang w:val="en-US"/>
        </w:rPr>
        <w:t xml:space="preserve"> slightly</w:t>
      </w:r>
      <w:r>
        <w:rPr>
          <w:lang w:val="en-US"/>
        </w:rPr>
        <w:t xml:space="preserve"> increases), while it </w:t>
      </w:r>
      <w:r w:rsidR="00A45678">
        <w:rPr>
          <w:lang w:val="en-US"/>
        </w:rPr>
        <w:t>lean</w:t>
      </w:r>
      <w:r>
        <w:rPr>
          <w:lang w:val="en-US"/>
        </w:rPr>
        <w:t xml:space="preserve">s towards a plateau in the case of negative direction or when the magnetic field was turned off. </w:t>
      </w:r>
    </w:p>
    <w:p w14:paraId="61BAE536" w14:textId="6FB62FAB" w:rsidR="005C6C99" w:rsidRPr="005C6C99" w:rsidRDefault="005C6C99" w:rsidP="005C6C99">
      <w:pPr>
        <w:rPr>
          <w:lang w:val="en-US"/>
        </w:rPr>
      </w:pPr>
    </w:p>
    <w:p w14:paraId="2D7A8CA5" w14:textId="77777777" w:rsidR="00E706D2" w:rsidRPr="00E706D2" w:rsidRDefault="00E706D2" w:rsidP="00E706D2"/>
    <w:p w14:paraId="7A737531" w14:textId="3A63E48B" w:rsidR="001C7463" w:rsidRPr="00E706D2" w:rsidRDefault="001C7463" w:rsidP="001C7463"/>
    <w:p w14:paraId="5F7AFC16" w14:textId="77777777" w:rsidR="001C7463" w:rsidRDefault="001C7463" w:rsidP="001C7463">
      <w:pPr>
        <w:keepNext/>
      </w:pPr>
      <w:r>
        <w:rPr>
          <w:noProof/>
          <w:lang w:val="en-US"/>
        </w:rPr>
        <w:lastRenderedPageBreak/>
        <w:drawing>
          <wp:inline distT="0" distB="0" distL="0" distR="0" wp14:anchorId="78752C65" wp14:editId="5351C13F">
            <wp:extent cx="5400000" cy="217598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1759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437932" w14:textId="41219C18" w:rsidR="001C7463" w:rsidRPr="003C5E09" w:rsidRDefault="001C7463" w:rsidP="003C5E09">
      <w:pPr>
        <w:pStyle w:val="Caption"/>
        <w:jc w:val="both"/>
        <w:rPr>
          <w:lang w:val="en-US"/>
        </w:rPr>
      </w:pPr>
      <w:r w:rsidRPr="001C7463">
        <w:rPr>
          <w:b/>
          <w:bCs/>
        </w:rPr>
        <w:t xml:space="preserve">Supplementary Figure </w:t>
      </w:r>
      <w:r w:rsidR="00493F91">
        <w:rPr>
          <w:b/>
          <w:bCs/>
        </w:rPr>
        <w:t>4</w:t>
      </w:r>
      <w:r w:rsidR="00327E08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| OER at a Pt microelectrode.</w:t>
      </w:r>
      <w:r w:rsidR="003C5E09">
        <w:rPr>
          <w:b/>
          <w:bCs/>
          <w:lang w:val="en-US"/>
        </w:rPr>
        <w:t xml:space="preserve"> </w:t>
      </w:r>
      <w:r w:rsidR="003C5E09" w:rsidRPr="003C5E09">
        <w:rPr>
          <w:lang w:val="en-US"/>
        </w:rPr>
        <w:t xml:space="preserve">No </w:t>
      </w:r>
      <w:r w:rsidR="003C5E09">
        <w:rPr>
          <w:lang w:val="en-US"/>
        </w:rPr>
        <w:t>magnetic field effect can be seen when t</w:t>
      </w:r>
      <w:r w:rsidR="003C5E09" w:rsidRPr="003C5E09">
        <w:rPr>
          <w:lang w:val="en-US"/>
        </w:rPr>
        <w:t>he upper potential</w:t>
      </w:r>
      <w:r w:rsidR="003C5E09">
        <w:rPr>
          <w:lang w:val="en-US"/>
        </w:rPr>
        <w:t xml:space="preserve"> was 2.1 V vs. RHE in </w:t>
      </w:r>
      <w:r w:rsidR="003C5E09" w:rsidRPr="003C5E09">
        <w:rPr>
          <w:b/>
          <w:bCs/>
          <w:lang w:val="en-US"/>
        </w:rPr>
        <w:t>a</w:t>
      </w:r>
      <w:r w:rsidR="003C5E09" w:rsidRPr="003C5E09">
        <w:rPr>
          <w:lang w:val="en-US"/>
        </w:rPr>
        <w:t>.</w:t>
      </w:r>
      <w:r w:rsidR="003C5E09">
        <w:rPr>
          <w:lang w:val="en-US"/>
        </w:rPr>
        <w:t xml:space="preserve"> Higher overpotentials in </w:t>
      </w:r>
      <w:r w:rsidR="003C5E09" w:rsidRPr="003C5E09">
        <w:rPr>
          <w:b/>
          <w:bCs/>
          <w:lang w:val="en-US"/>
        </w:rPr>
        <w:t>b</w:t>
      </w:r>
      <w:r w:rsidR="003C5E09">
        <w:rPr>
          <w:lang w:val="en-US"/>
        </w:rPr>
        <w:t xml:space="preserve"> led to enhancement in the current.</w:t>
      </w:r>
    </w:p>
    <w:p w14:paraId="058B0CA2" w14:textId="427065EA" w:rsidR="003C5E09" w:rsidRDefault="003C5E09" w:rsidP="003C5E09">
      <w:pPr>
        <w:rPr>
          <w:lang w:val="en-US"/>
        </w:rPr>
      </w:pPr>
    </w:p>
    <w:p w14:paraId="197501CE" w14:textId="77777777" w:rsidR="003C5E09" w:rsidRDefault="003C5E09" w:rsidP="003C5E09">
      <w:pPr>
        <w:keepNext/>
        <w:jc w:val="center"/>
      </w:pPr>
      <w:r>
        <w:rPr>
          <w:noProof/>
          <w:lang w:val="en-US"/>
        </w:rPr>
        <w:drawing>
          <wp:inline distT="0" distB="0" distL="0" distR="0" wp14:anchorId="75854147" wp14:editId="7BE496D8">
            <wp:extent cx="3587182" cy="2530415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30" r="33537" b="2584"/>
                    <a:stretch/>
                  </pic:blipFill>
                  <pic:spPr bwMode="auto">
                    <a:xfrm>
                      <a:off x="0" y="0"/>
                      <a:ext cx="3588984" cy="2531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028B49" w14:textId="3A96CE9A" w:rsidR="003C5E09" w:rsidRDefault="003C5E09" w:rsidP="003C5E09">
      <w:pPr>
        <w:pStyle w:val="Caption"/>
        <w:jc w:val="both"/>
        <w:rPr>
          <w:lang w:val="en-US"/>
        </w:rPr>
      </w:pPr>
      <w:r w:rsidRPr="003C5E09">
        <w:rPr>
          <w:b/>
          <w:bCs/>
        </w:rPr>
        <w:t xml:space="preserve">Supplementary Figure </w:t>
      </w:r>
      <w:r w:rsidR="00493F91">
        <w:rPr>
          <w:b/>
          <w:bCs/>
        </w:rPr>
        <w:t>5</w:t>
      </w:r>
      <w:r w:rsidR="00327E08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 xml:space="preserve">| </w:t>
      </w:r>
      <w:bookmarkStart w:id="2" w:name="_Hlk118504970"/>
      <w:r>
        <w:rPr>
          <w:b/>
          <w:bCs/>
          <w:lang w:val="en-US"/>
        </w:rPr>
        <w:t>CV of a Pt wire in O</w:t>
      </w:r>
      <w:r w:rsidRPr="003C5E09">
        <w:rPr>
          <w:b/>
          <w:bCs/>
          <w:vertAlign w:val="subscript"/>
          <w:lang w:val="en-US"/>
        </w:rPr>
        <w:t>2</w:t>
      </w:r>
      <w:r w:rsidR="008C1AFE">
        <w:rPr>
          <w:b/>
          <w:bCs/>
          <w:lang w:val="en-US"/>
        </w:rPr>
        <w:t>-</w:t>
      </w:r>
      <w:r>
        <w:rPr>
          <w:b/>
          <w:bCs/>
          <w:lang w:val="en-US"/>
        </w:rPr>
        <w:t xml:space="preserve">saturated KOH. </w:t>
      </w:r>
      <w:r w:rsidRPr="003C5E09">
        <w:rPr>
          <w:lang w:val="en-US"/>
        </w:rPr>
        <w:t>The magnetic field was first switched to 0.43 T</w:t>
      </w:r>
      <w:r>
        <w:rPr>
          <w:lang w:val="en-US"/>
        </w:rPr>
        <w:t xml:space="preserve"> and </w:t>
      </w:r>
      <w:r w:rsidR="00E866B9">
        <w:rPr>
          <w:lang w:val="en-US"/>
        </w:rPr>
        <w:t>several scans were recorded. T</w:t>
      </w:r>
      <w:r>
        <w:rPr>
          <w:lang w:val="en-US"/>
        </w:rPr>
        <w:t>hen</w:t>
      </w:r>
      <w:r w:rsidR="00E866B9">
        <w:rPr>
          <w:lang w:val="en-US"/>
        </w:rPr>
        <w:t xml:space="preserve"> the magnetic field was</w:t>
      </w:r>
      <w:r>
        <w:rPr>
          <w:lang w:val="en-US"/>
        </w:rPr>
        <w:t xml:space="preserve"> turned off. </w:t>
      </w:r>
      <w:r w:rsidR="008C1AFE">
        <w:rPr>
          <w:lang w:val="en-US"/>
        </w:rPr>
        <w:t>The f</w:t>
      </w:r>
      <w:r>
        <w:rPr>
          <w:lang w:val="en-US"/>
        </w:rPr>
        <w:t>irst and last cycles in both cases are highlighted in bold.</w:t>
      </w:r>
      <w:bookmarkEnd w:id="2"/>
    </w:p>
    <w:p w14:paraId="54C16CFF" w14:textId="1B7F5B50" w:rsidR="003C5E09" w:rsidRDefault="003C5E09" w:rsidP="003C5E09">
      <w:pPr>
        <w:rPr>
          <w:lang w:val="en-US"/>
        </w:rPr>
      </w:pPr>
    </w:p>
    <w:p w14:paraId="5E2ADE5A" w14:textId="77777777" w:rsidR="003C5E09" w:rsidRDefault="003C5E09" w:rsidP="003C5E09">
      <w:pPr>
        <w:keepNext/>
        <w:jc w:val="center"/>
      </w:pPr>
      <w:r>
        <w:rPr>
          <w:noProof/>
          <w:lang w:val="en-US"/>
        </w:rPr>
        <w:lastRenderedPageBreak/>
        <w:drawing>
          <wp:inline distT="0" distB="0" distL="0" distR="0" wp14:anchorId="20FD1235" wp14:editId="253C3720">
            <wp:extent cx="2880000" cy="220079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2007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DEDC62" w14:textId="5420507C" w:rsidR="003C5E09" w:rsidRDefault="003C5E09" w:rsidP="003C5E09">
      <w:pPr>
        <w:pStyle w:val="Caption"/>
        <w:jc w:val="both"/>
        <w:rPr>
          <w:lang w:val="en-US"/>
        </w:rPr>
      </w:pPr>
      <w:r w:rsidRPr="003C5E09">
        <w:rPr>
          <w:b/>
          <w:bCs/>
        </w:rPr>
        <w:t xml:space="preserve">Supplementary Figure </w:t>
      </w:r>
      <w:r w:rsidR="00493F91">
        <w:rPr>
          <w:b/>
          <w:bCs/>
        </w:rPr>
        <w:t>6</w:t>
      </w:r>
      <w:r w:rsidR="00327E08" w:rsidRPr="003C5E09">
        <w:rPr>
          <w:b/>
          <w:bCs/>
          <w:lang w:val="en-US"/>
        </w:rPr>
        <w:t xml:space="preserve"> </w:t>
      </w:r>
      <w:r w:rsidRPr="003C5E09">
        <w:rPr>
          <w:b/>
          <w:bCs/>
          <w:lang w:val="en-US"/>
        </w:rPr>
        <w:t>| CVs of the Pt wire in N</w:t>
      </w:r>
      <w:r w:rsidRPr="003C5E09">
        <w:rPr>
          <w:b/>
          <w:bCs/>
          <w:vertAlign w:val="subscript"/>
          <w:lang w:val="en-US"/>
        </w:rPr>
        <w:t>2</w:t>
      </w:r>
      <w:r w:rsidRPr="003C5E09">
        <w:rPr>
          <w:b/>
          <w:bCs/>
          <w:lang w:val="en-US"/>
        </w:rPr>
        <w:t xml:space="preserve"> saturated electrolytes.</w:t>
      </w:r>
      <w:r>
        <w:rPr>
          <w:lang w:val="en-US"/>
        </w:rPr>
        <w:t xml:space="preserve"> Note that the surface area of the Pt wire depends on the immersed length of the wire in the electrolytes. </w:t>
      </w:r>
    </w:p>
    <w:p w14:paraId="199B332F" w14:textId="7207428D" w:rsidR="003C5E09" w:rsidRDefault="003C5E09" w:rsidP="003C5E09">
      <w:pPr>
        <w:rPr>
          <w:lang w:val="en-US"/>
        </w:rPr>
      </w:pPr>
    </w:p>
    <w:p w14:paraId="6293C2C5" w14:textId="77777777" w:rsidR="003C5E09" w:rsidRDefault="003C5E09" w:rsidP="003C5E09">
      <w:pPr>
        <w:keepNext/>
        <w:jc w:val="center"/>
      </w:pPr>
      <w:r>
        <w:rPr>
          <w:noProof/>
          <w:lang w:val="en-US"/>
        </w:rPr>
        <w:drawing>
          <wp:inline distT="0" distB="0" distL="0" distR="0" wp14:anchorId="29F7F6FD" wp14:editId="5CE692CD">
            <wp:extent cx="2880000" cy="220468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2046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C0836B" w14:textId="3A0BC8BD" w:rsidR="005718CE" w:rsidRDefault="003C5E09" w:rsidP="00FD6732">
      <w:pPr>
        <w:pStyle w:val="Caption"/>
        <w:jc w:val="both"/>
        <w:rPr>
          <w:lang w:val="en-US"/>
        </w:rPr>
      </w:pPr>
      <w:r w:rsidRPr="003C5E09">
        <w:rPr>
          <w:b/>
          <w:bCs/>
        </w:rPr>
        <w:t xml:space="preserve">Supplementary Figure </w:t>
      </w:r>
      <w:r w:rsidR="00493F91">
        <w:rPr>
          <w:b/>
          <w:bCs/>
        </w:rPr>
        <w:t>7</w:t>
      </w:r>
      <w:r w:rsidR="00327E08" w:rsidRPr="003C5E09">
        <w:rPr>
          <w:b/>
          <w:bCs/>
          <w:lang w:val="en-US"/>
        </w:rPr>
        <w:t xml:space="preserve"> </w:t>
      </w:r>
      <w:r w:rsidRPr="003C5E09">
        <w:rPr>
          <w:b/>
          <w:bCs/>
          <w:lang w:val="en-US"/>
        </w:rPr>
        <w:t>| CV</w:t>
      </w:r>
      <w:r>
        <w:rPr>
          <w:b/>
          <w:bCs/>
          <w:lang w:val="en-US"/>
        </w:rPr>
        <w:t>s</w:t>
      </w:r>
      <w:r w:rsidRPr="003C5E09">
        <w:rPr>
          <w:b/>
          <w:bCs/>
          <w:lang w:val="en-US"/>
        </w:rPr>
        <w:t xml:space="preserve"> of a Pt wire in O</w:t>
      </w:r>
      <w:r w:rsidRPr="003C5E09">
        <w:rPr>
          <w:b/>
          <w:bCs/>
          <w:vertAlign w:val="subscript"/>
          <w:lang w:val="en-US"/>
        </w:rPr>
        <w:t>2</w:t>
      </w:r>
      <w:r w:rsidR="005718CE">
        <w:rPr>
          <w:b/>
          <w:bCs/>
          <w:lang w:val="en-US"/>
        </w:rPr>
        <w:t>-</w:t>
      </w:r>
      <w:r w:rsidRPr="003C5E09">
        <w:rPr>
          <w:b/>
          <w:bCs/>
          <w:lang w:val="en-US"/>
        </w:rPr>
        <w:t xml:space="preserve">saturated </w:t>
      </w:r>
      <w:r>
        <w:rPr>
          <w:b/>
          <w:bCs/>
          <w:lang w:val="en-US"/>
        </w:rPr>
        <w:t>HClO</w:t>
      </w:r>
      <w:r w:rsidRPr="003C5E09">
        <w:rPr>
          <w:b/>
          <w:bCs/>
          <w:vertAlign w:val="subscript"/>
          <w:lang w:val="en-US"/>
        </w:rPr>
        <w:t>4</w:t>
      </w:r>
      <w:r w:rsidRPr="003C5E09">
        <w:rPr>
          <w:b/>
          <w:bCs/>
          <w:lang w:val="en-US"/>
        </w:rPr>
        <w:t>.</w:t>
      </w:r>
      <w:r w:rsidRPr="003C5E09">
        <w:rPr>
          <w:lang w:val="en-US"/>
        </w:rPr>
        <w:t xml:space="preserve"> The magnetic field was first switched </w:t>
      </w:r>
      <w:r>
        <w:rPr>
          <w:lang w:val="en-US"/>
        </w:rPr>
        <w:t xml:space="preserve">from 0 </w:t>
      </w:r>
      <w:r w:rsidRPr="003C5E09">
        <w:rPr>
          <w:lang w:val="en-US"/>
        </w:rPr>
        <w:t xml:space="preserve">T </w:t>
      </w:r>
      <w:r>
        <w:rPr>
          <w:lang w:val="en-US"/>
        </w:rPr>
        <w:t>(off) to 0.215 T</w:t>
      </w:r>
      <w:r w:rsidR="008C1AFE">
        <w:rPr>
          <w:lang w:val="en-US"/>
        </w:rPr>
        <w:t>,</w:t>
      </w:r>
      <w:r>
        <w:rPr>
          <w:lang w:val="en-US"/>
        </w:rPr>
        <w:t xml:space="preserve"> and finally</w:t>
      </w:r>
      <w:r w:rsidR="005718CE">
        <w:rPr>
          <w:lang w:val="en-US"/>
        </w:rPr>
        <w:t>,</w:t>
      </w:r>
      <w:r>
        <w:rPr>
          <w:lang w:val="en-US"/>
        </w:rPr>
        <w:t xml:space="preserve"> to 0.43 T. Only the last cycle</w:t>
      </w:r>
      <w:r w:rsidR="005718CE">
        <w:rPr>
          <w:lang w:val="en-US"/>
        </w:rPr>
        <w:t>s</w:t>
      </w:r>
      <w:r>
        <w:rPr>
          <w:lang w:val="en-US"/>
        </w:rPr>
        <w:t xml:space="preserve"> under each magnetic field are shown here.</w:t>
      </w:r>
    </w:p>
    <w:p w14:paraId="455BCA83" w14:textId="23B63A6E" w:rsidR="005718CE" w:rsidRDefault="005718CE" w:rsidP="005718CE">
      <w:pPr>
        <w:keepNext/>
        <w:jc w:val="center"/>
      </w:pPr>
      <w:r>
        <w:rPr>
          <w:noProof/>
          <w:lang w:val="en-US"/>
        </w:rPr>
        <w:drawing>
          <wp:inline distT="0" distB="0" distL="0" distR="0" wp14:anchorId="1B8C9E08" wp14:editId="0747EC85">
            <wp:extent cx="2880000" cy="2207386"/>
            <wp:effectExtent l="0" t="0" r="0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2073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99BEE9" w14:textId="12CD0C74" w:rsidR="00110740" w:rsidRDefault="005718CE" w:rsidP="005718CE">
      <w:pPr>
        <w:pStyle w:val="Caption"/>
        <w:jc w:val="both"/>
        <w:rPr>
          <w:b/>
          <w:bCs/>
          <w:color w:val="000000" w:themeColor="text1"/>
        </w:rPr>
      </w:pPr>
      <w:r w:rsidRPr="005718CE">
        <w:rPr>
          <w:b/>
        </w:rPr>
        <w:t xml:space="preserve">Supplementary Figure </w:t>
      </w:r>
      <w:r w:rsidR="00493F91">
        <w:rPr>
          <w:b/>
        </w:rPr>
        <w:t>8</w:t>
      </w:r>
      <w:r w:rsidR="00327E08" w:rsidRPr="005718CE">
        <w:rPr>
          <w:b/>
          <w:lang w:val="en-US"/>
        </w:rPr>
        <w:t xml:space="preserve"> </w:t>
      </w:r>
      <w:r w:rsidRPr="005718CE">
        <w:rPr>
          <w:b/>
          <w:lang w:val="en-US"/>
        </w:rPr>
        <w:t>| Potential and current at the Au WE next to the isolated Pt wire.</w:t>
      </w:r>
      <w:r w:rsidR="00110740" w:rsidRPr="00110740">
        <w:rPr>
          <w:b/>
          <w:bCs/>
          <w:color w:val="000000" w:themeColor="text1"/>
        </w:rPr>
        <w:t xml:space="preserve"> </w:t>
      </w:r>
    </w:p>
    <w:p w14:paraId="0DA6F985" w14:textId="77777777" w:rsidR="00110740" w:rsidRDefault="00110740" w:rsidP="005718CE">
      <w:pPr>
        <w:pStyle w:val="Caption"/>
        <w:jc w:val="both"/>
        <w:rPr>
          <w:b/>
          <w:bCs/>
          <w:color w:val="000000" w:themeColor="text1"/>
        </w:rPr>
      </w:pPr>
    </w:p>
    <w:p w14:paraId="75E13950" w14:textId="504654A9" w:rsidR="00C60796" w:rsidRDefault="00C60796" w:rsidP="00FD6732">
      <w:pPr>
        <w:pStyle w:val="Caption"/>
        <w:jc w:val="center"/>
        <w:rPr>
          <w:b/>
          <w:bCs/>
          <w:color w:val="000000" w:themeColor="text1"/>
        </w:rPr>
      </w:pPr>
      <w:r w:rsidRPr="00C60796">
        <w:rPr>
          <w:noProof/>
        </w:rPr>
        <w:lastRenderedPageBreak/>
        <w:drawing>
          <wp:inline distT="0" distB="0" distL="0" distR="0" wp14:anchorId="4494B596" wp14:editId="2816404E">
            <wp:extent cx="3538745" cy="2703443"/>
            <wp:effectExtent l="0" t="0" r="5080" b="19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896" cy="2705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8F7F3" w14:textId="044714DE" w:rsidR="00C60796" w:rsidRDefault="00C60796" w:rsidP="00C60796">
      <w:pPr>
        <w:pStyle w:val="Caption"/>
        <w:jc w:val="both"/>
        <w:rPr>
          <w:b/>
          <w:bCs/>
          <w:color w:val="000000" w:themeColor="text1"/>
        </w:rPr>
      </w:pPr>
      <w:r w:rsidRPr="001C7463">
        <w:rPr>
          <w:b/>
          <w:bCs/>
          <w:color w:val="000000" w:themeColor="text1"/>
        </w:rPr>
        <w:t xml:space="preserve">Supplementary Figure </w:t>
      </w:r>
      <w:r w:rsidR="00493F91">
        <w:rPr>
          <w:b/>
          <w:bCs/>
          <w:color w:val="000000" w:themeColor="text1"/>
        </w:rPr>
        <w:t>9</w:t>
      </w:r>
      <w:r w:rsidR="00327E08" w:rsidRPr="00E706D2">
        <w:rPr>
          <w:b/>
          <w:bCs/>
          <w:color w:val="000000" w:themeColor="text1"/>
        </w:rPr>
        <w:t xml:space="preserve"> </w:t>
      </w:r>
      <w:r w:rsidRPr="00E706D2">
        <w:rPr>
          <w:b/>
          <w:bCs/>
          <w:color w:val="000000" w:themeColor="text1"/>
        </w:rPr>
        <w:t xml:space="preserve">| </w:t>
      </w:r>
      <w:r>
        <w:rPr>
          <w:b/>
          <w:bCs/>
          <w:color w:val="000000" w:themeColor="text1"/>
        </w:rPr>
        <w:t xml:space="preserve">Chronopotentiometries at -0.2 mA of Pt foil WE during the recording of Supplementary Video 3. </w:t>
      </w:r>
    </w:p>
    <w:p w14:paraId="34B37A38" w14:textId="77777777" w:rsidR="00740342" w:rsidRDefault="00740342" w:rsidP="00740342"/>
    <w:p w14:paraId="38F2BC95" w14:textId="77777777" w:rsidR="00740342" w:rsidRDefault="00740342" w:rsidP="00740342">
      <w:pPr>
        <w:pStyle w:val="Caption"/>
        <w:jc w:val="both"/>
        <w:rPr>
          <w:b/>
          <w:bCs/>
          <w:color w:val="000000" w:themeColor="text1"/>
        </w:rPr>
      </w:pPr>
      <w:r>
        <w:rPr>
          <w:b/>
          <w:bCs/>
          <w:noProof/>
          <w:color w:val="000000" w:themeColor="text1"/>
        </w:rPr>
        <w:drawing>
          <wp:inline distT="0" distB="0" distL="0" distR="0" wp14:anchorId="5C59EFAC" wp14:editId="014C8CBA">
            <wp:extent cx="5667768" cy="2267107"/>
            <wp:effectExtent l="0" t="0" r="9525" b="0"/>
            <wp:docPr id="1250736025" name="Graphic 1250736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910" cy="2271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9680F" w14:textId="10D695E7" w:rsidR="00740342" w:rsidRDefault="00740342" w:rsidP="00740342">
      <w:pPr>
        <w:pStyle w:val="Caption"/>
        <w:jc w:val="both"/>
        <w:rPr>
          <w:b/>
          <w:bCs/>
          <w:color w:val="000000" w:themeColor="text1"/>
        </w:rPr>
      </w:pPr>
      <w:r w:rsidRPr="001C7463">
        <w:rPr>
          <w:b/>
          <w:bCs/>
          <w:color w:val="000000" w:themeColor="text1"/>
        </w:rPr>
        <w:t xml:space="preserve">Supplementary Figure </w:t>
      </w:r>
      <w:r>
        <w:rPr>
          <w:b/>
          <w:bCs/>
          <w:color w:val="000000" w:themeColor="text1"/>
        </w:rPr>
        <w:t>1</w:t>
      </w:r>
      <w:r w:rsidR="00493F91">
        <w:rPr>
          <w:b/>
          <w:bCs/>
          <w:color w:val="000000" w:themeColor="text1"/>
        </w:rPr>
        <w:t>0</w:t>
      </w:r>
      <w:r w:rsidRPr="00E706D2">
        <w:rPr>
          <w:b/>
          <w:bCs/>
          <w:color w:val="000000" w:themeColor="text1"/>
        </w:rPr>
        <w:t xml:space="preserve"> | </w:t>
      </w:r>
      <w:r>
        <w:rPr>
          <w:b/>
          <w:bCs/>
          <w:color w:val="000000" w:themeColor="text1"/>
        </w:rPr>
        <w:t>a, OH</w:t>
      </w:r>
      <w:r w:rsidRPr="00E706D2">
        <w:rPr>
          <w:b/>
          <w:bCs/>
          <w:color w:val="000000" w:themeColor="text1"/>
          <w:vertAlign w:val="superscript"/>
        </w:rPr>
        <w:t>-</w:t>
      </w:r>
      <w:r>
        <w:rPr>
          <w:b/>
          <w:bCs/>
          <w:color w:val="000000" w:themeColor="text1"/>
        </w:rPr>
        <w:t xml:space="preserve"> diffusion length (</w:t>
      </w:r>
      <w:r>
        <w:rPr>
          <w:rFonts w:cs="Arial"/>
          <w:b/>
          <w:bCs/>
          <w:color w:val="000000" w:themeColor="text1"/>
        </w:rPr>
        <w:t>λ</w:t>
      </w:r>
      <w:r>
        <w:rPr>
          <w:b/>
          <w:bCs/>
          <w:color w:val="000000" w:themeColor="text1"/>
        </w:rPr>
        <w:t xml:space="preserve">) vs. time, estimated by taking the value where luma = 200 in b. </w:t>
      </w:r>
    </w:p>
    <w:p w14:paraId="516FEE56" w14:textId="77777777" w:rsidR="00740342" w:rsidRPr="00A92552" w:rsidRDefault="00740342" w:rsidP="00A92552"/>
    <w:p w14:paraId="7841A522" w14:textId="77777777" w:rsidR="00C60796" w:rsidRPr="00C60796" w:rsidRDefault="00C60796" w:rsidP="00C60796">
      <w:pPr>
        <w:rPr>
          <w:lang w:val="en-US"/>
        </w:rPr>
      </w:pPr>
    </w:p>
    <w:p w14:paraId="721FD811" w14:textId="77777777" w:rsidR="00110740" w:rsidRPr="00110740" w:rsidRDefault="00110740" w:rsidP="00110740">
      <w:pPr>
        <w:rPr>
          <w:lang w:val="en-US"/>
        </w:rPr>
      </w:pPr>
    </w:p>
    <w:sectPr w:rsidR="00110740" w:rsidRPr="001107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KxMDUwtzAxMTIyMjBW0lEKTi0uzszPAykwqgUA6mMaeywAAAA="/>
  </w:docVars>
  <w:rsids>
    <w:rsidRoot w:val="001C7463"/>
    <w:rsid w:val="000B3809"/>
    <w:rsid w:val="000E4778"/>
    <w:rsid w:val="000F7695"/>
    <w:rsid w:val="00110740"/>
    <w:rsid w:val="001C7463"/>
    <w:rsid w:val="00277D6F"/>
    <w:rsid w:val="002A11ED"/>
    <w:rsid w:val="002B224F"/>
    <w:rsid w:val="0030374B"/>
    <w:rsid w:val="0031626D"/>
    <w:rsid w:val="00327E08"/>
    <w:rsid w:val="00397C9E"/>
    <w:rsid w:val="003C5E09"/>
    <w:rsid w:val="00432C65"/>
    <w:rsid w:val="00493F91"/>
    <w:rsid w:val="00496FA7"/>
    <w:rsid w:val="00503119"/>
    <w:rsid w:val="005718CE"/>
    <w:rsid w:val="005C6C99"/>
    <w:rsid w:val="00624E1F"/>
    <w:rsid w:val="006B3D40"/>
    <w:rsid w:val="00740342"/>
    <w:rsid w:val="00860975"/>
    <w:rsid w:val="008972EB"/>
    <w:rsid w:val="008A43E4"/>
    <w:rsid w:val="008C1AFE"/>
    <w:rsid w:val="009B59B8"/>
    <w:rsid w:val="00A45678"/>
    <w:rsid w:val="00A92552"/>
    <w:rsid w:val="00AB7FC1"/>
    <w:rsid w:val="00BB4153"/>
    <w:rsid w:val="00C336F9"/>
    <w:rsid w:val="00C60796"/>
    <w:rsid w:val="00C7160B"/>
    <w:rsid w:val="00CB0016"/>
    <w:rsid w:val="00E22C08"/>
    <w:rsid w:val="00E706D2"/>
    <w:rsid w:val="00E866B9"/>
    <w:rsid w:val="00EA70E5"/>
    <w:rsid w:val="00F47711"/>
    <w:rsid w:val="00FC04C4"/>
    <w:rsid w:val="00FD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A03AC"/>
  <w15:chartTrackingRefBased/>
  <w15:docId w15:val="{ED5173C4-19B1-48DF-AF40-65C29329A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C7463"/>
    <w:pPr>
      <w:spacing w:after="200" w:line="240" w:lineRule="auto"/>
    </w:pPr>
    <w:rPr>
      <w:rFonts w:ascii="Arial" w:hAnsi="Arial"/>
      <w:iCs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607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07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07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07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079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D673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6097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09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sv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sv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A6941-3CA6-4F5F-BEFF-E608C3E01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5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 Yunchang</dc:creator>
  <cp:keywords/>
  <dc:description/>
  <cp:lastModifiedBy>Priscila Vensaus</cp:lastModifiedBy>
  <cp:revision>31</cp:revision>
  <dcterms:created xsi:type="dcterms:W3CDTF">2022-11-04T14:57:00Z</dcterms:created>
  <dcterms:modified xsi:type="dcterms:W3CDTF">2023-07-28T17:43:00Z</dcterms:modified>
</cp:coreProperties>
</file>