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80" w:lineRule="auto"/>
        <w:jc w:val="center"/>
        <w:rPr>
          <w:rFonts w:ascii="Helvetica" w:hAnsi="Helvetica"/>
          <w:b/>
          <w:sz w:val="36"/>
          <w:szCs w:val="36"/>
          <w:u w:val="single"/>
        </w:rPr>
      </w:pPr>
      <w:bookmarkStart w:id="0" w:name="_Hlk105875116"/>
      <w:bookmarkEnd w:id="0"/>
      <w:r>
        <w:rPr>
          <w:rFonts w:ascii="Helvetica" w:hAnsi="Helvetica"/>
          <w:b/>
          <w:sz w:val="36"/>
          <w:szCs w:val="36"/>
          <w:u w:val="single"/>
        </w:rPr>
        <w:t>Supplementary Material for</w:t>
      </w:r>
    </w:p>
    <w:p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A theoretical study on toluene oxidization by OH radical</w:t>
      </w:r>
    </w:p>
    <w:p>
      <w:pPr>
        <w:adjustRightInd w:val="0"/>
        <w:snapToGrid w:val="0"/>
        <w:spacing w:line="300" w:lineRule="auto"/>
        <w:ind w:firstLine="420" w:firstLineChars="200"/>
        <w:rPr>
          <w:rFonts w:ascii="Times New Roman" w:hAnsi="Times New Roman" w:cs="Times New Roman"/>
          <w:color w:val="00B050"/>
        </w:rPr>
      </w:pPr>
      <w:bookmarkStart w:id="2" w:name="_GoBack"/>
      <w:bookmarkEnd w:id="2"/>
      <w:r>
        <w:rPr>
          <w:rFonts w:hint="eastAsia" w:ascii="Times New Roman" w:hAnsi="Times New Roman" w:cs="Times New Roman"/>
          <w:color w:val="00B050"/>
        </w:rPr>
        <w:drawing>
          <wp:inline distT="0" distB="0" distL="0" distR="0">
            <wp:extent cx="5274310" cy="2579370"/>
            <wp:effectExtent l="0" t="0" r="2540" b="0"/>
            <wp:docPr id="1784755945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755945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</w:rPr>
        <w:t>S</w:t>
      </w:r>
      <w:r>
        <w:rPr>
          <w:rFonts w:hint="eastAsia"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Flow chart of experimental reaction of toluene degradation</w:t>
      </w:r>
      <w:r>
        <w:rPr>
          <w:rFonts w:ascii="Times New Roman" w:hAnsi="Times New Roman" w:cs="Times New Roman"/>
          <w:color w:val="00B050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919"/>
        <w:gridCol w:w="2137"/>
        <w:gridCol w:w="325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Number </w:t>
            </w:r>
          </w:p>
        </w:tc>
        <w:tc>
          <w:tcPr>
            <w:tcW w:w="191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Instrument Name</w:t>
            </w:r>
          </w:p>
        </w:tc>
        <w:tc>
          <w:tcPr>
            <w:tcW w:w="213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Instrument Model</w:t>
            </w:r>
          </w:p>
        </w:tc>
        <w:tc>
          <w:tcPr>
            <w:tcW w:w="3253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Instrument Manufacturer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919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Gas chromatograph</w:t>
            </w:r>
          </w:p>
        </w:tc>
        <w:tc>
          <w:tcPr>
            <w:tcW w:w="2137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 9570</w:t>
            </w:r>
          </w:p>
        </w:tc>
        <w:tc>
          <w:tcPr>
            <w:tcW w:w="3253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Zhejiang Fuli Analytical Instrument Co., Ltd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9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 meter</w:t>
            </w:r>
          </w:p>
        </w:tc>
        <w:tc>
          <w:tcPr>
            <w:tcW w:w="213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PHS-3C</w:t>
            </w:r>
          </w:p>
        </w:tc>
        <w:tc>
          <w:tcPr>
            <w:tcW w:w="3253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Shanghai INESA Scientific Instrument Co., Ltd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9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Electric constant temperature water bath</w:t>
            </w:r>
          </w:p>
        </w:tc>
        <w:tc>
          <w:tcPr>
            <w:tcW w:w="213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DK-98-1</w:t>
            </w:r>
          </w:p>
        </w:tc>
        <w:tc>
          <w:tcPr>
            <w:tcW w:w="3253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Tianjin Teste Instrument Co., Ltd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9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Electronic balance</w:t>
            </w:r>
          </w:p>
        </w:tc>
        <w:tc>
          <w:tcPr>
            <w:tcW w:w="213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FR124CN</w:t>
            </w:r>
          </w:p>
        </w:tc>
        <w:tc>
          <w:tcPr>
            <w:tcW w:w="3253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Shanghai OHAUS Instrument Co., Ltd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9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Hydrogen generator</w:t>
            </w:r>
          </w:p>
        </w:tc>
        <w:tc>
          <w:tcPr>
            <w:tcW w:w="213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HGZ-300</w:t>
            </w:r>
          </w:p>
        </w:tc>
        <w:tc>
          <w:tcPr>
            <w:tcW w:w="3253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Shandong Huifen Instrument Co., Ltd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9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9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Gas Flow Indicator</w:t>
            </w:r>
          </w:p>
        </w:tc>
        <w:tc>
          <w:tcPr>
            <w:tcW w:w="213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D08-4F</w:t>
            </w:r>
          </w:p>
        </w:tc>
        <w:tc>
          <w:tcPr>
            <w:tcW w:w="3253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Beijing Qixing Huachuang Flow Meter Co., Ltd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9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Gas Flow Meter</w:t>
            </w:r>
          </w:p>
        </w:tc>
        <w:tc>
          <w:tcPr>
            <w:tcW w:w="213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D07</w:t>
            </w:r>
          </w:p>
        </w:tc>
        <w:tc>
          <w:tcPr>
            <w:tcW w:w="3253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Beijing Qixing Huachuang Flow Meter Co., Ltd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9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Electron Paramagnetic Resonance</w:t>
            </w:r>
          </w:p>
        </w:tc>
        <w:tc>
          <w:tcPr>
            <w:tcW w:w="213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MS-5000</w:t>
            </w:r>
          </w:p>
        </w:tc>
        <w:tc>
          <w:tcPr>
            <w:tcW w:w="3253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Magnettech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91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UV lamp  </w:t>
            </w:r>
          </w:p>
        </w:tc>
        <w:tc>
          <w:tcPr>
            <w:tcW w:w="2137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ZW10D</w:t>
            </w:r>
          </w:p>
        </w:tc>
        <w:tc>
          <w:tcPr>
            <w:tcW w:w="3253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Yiwu Jiacheng lighting appliances</w:t>
            </w:r>
          </w:p>
        </w:tc>
      </w:tr>
    </w:tbl>
    <w:p>
      <w:pPr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S2</w:t>
      </w:r>
      <w:r>
        <w:rPr>
          <w:rFonts w:ascii="Times New Roman" w:hAnsi="Times New Roman" w:cs="Times New Roman"/>
        </w:rPr>
        <w:t>(a)</w:t>
      </w:r>
      <w:r>
        <w:t xml:space="preserve"> </w:t>
      </w:r>
      <w:bookmarkStart w:id="1" w:name="_Hlk139576988"/>
      <w:r>
        <w:rPr>
          <w:rFonts w:ascii="Times New Roman" w:hAnsi="Times New Roman" w:cs="Times New Roman"/>
        </w:rPr>
        <w:t>Experimental instrument for degradation of toluene and model thereof</w:t>
      </w:r>
      <w:bookmarkEnd w:id="1"/>
    </w:p>
    <w:p>
      <w:pPr>
        <w:spacing w:line="300" w:lineRule="auto"/>
        <w:ind w:firstLine="420" w:firstLineChars="200"/>
        <w:jc w:val="center"/>
        <w:rPr>
          <w:rFonts w:ascii="Times New Roman" w:hAnsi="Times New Roman" w:cs="Times New Roman"/>
          <w:szCs w:val="21"/>
        </w:rPr>
      </w:pPr>
    </w:p>
    <w:tbl>
      <w:tblPr>
        <w:tblStyle w:val="5"/>
        <w:tblW w:w="852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536"/>
        <w:gridCol w:w="1136"/>
        <w:gridCol w:w="1132"/>
        <w:gridCol w:w="1825"/>
        <w:gridCol w:w="219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Number</w:t>
            </w:r>
          </w:p>
        </w:tc>
        <w:tc>
          <w:tcPr>
            <w:tcW w:w="153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Reagent name</w:t>
            </w:r>
          </w:p>
        </w:tc>
        <w:tc>
          <w:tcPr>
            <w:tcW w:w="113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Molecular formula</w:t>
            </w:r>
          </w:p>
        </w:tc>
        <w:tc>
          <w:tcPr>
            <w:tcW w:w="113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Molecular weight</w:t>
            </w:r>
          </w:p>
        </w:tc>
        <w:tc>
          <w:tcPr>
            <w:tcW w:w="182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specification</w:t>
            </w:r>
          </w:p>
        </w:tc>
        <w:tc>
          <w:tcPr>
            <w:tcW w:w="2194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supplier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36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Potassium bisulfate</w:t>
            </w:r>
          </w:p>
        </w:tc>
        <w:tc>
          <w:tcPr>
            <w:tcW w:w="1136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18</w:t>
            </w:r>
          </w:p>
        </w:tc>
        <w:tc>
          <w:tcPr>
            <w:tcW w:w="1132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614.76</w:t>
            </w:r>
          </w:p>
        </w:tc>
        <w:tc>
          <w:tcPr>
            <w:tcW w:w="1825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42%~46% KHSO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</w:p>
        </w:tc>
        <w:tc>
          <w:tcPr>
            <w:tcW w:w="2194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McLean chemical reagent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Sodium persulfate</w:t>
            </w:r>
          </w:p>
        </w:tc>
        <w:tc>
          <w:tcPr>
            <w:tcW w:w="11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8</w:t>
            </w:r>
          </w:p>
        </w:tc>
        <w:tc>
          <w:tcPr>
            <w:tcW w:w="1132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238.1</w:t>
            </w:r>
          </w:p>
        </w:tc>
        <w:tc>
          <w:tcPr>
            <w:tcW w:w="1825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≥99%，Analytically pure</w:t>
            </w:r>
          </w:p>
        </w:tc>
        <w:tc>
          <w:tcPr>
            <w:tcW w:w="2194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McLean chemical reagent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5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Phosphoric acid</w:t>
            </w:r>
          </w:p>
        </w:tc>
        <w:tc>
          <w:tcPr>
            <w:tcW w:w="11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PO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</w:p>
        </w:tc>
        <w:tc>
          <w:tcPr>
            <w:tcW w:w="1132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98.00</w:t>
            </w:r>
          </w:p>
        </w:tc>
        <w:tc>
          <w:tcPr>
            <w:tcW w:w="1825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≥85%，Analytically pure</w:t>
            </w:r>
          </w:p>
        </w:tc>
        <w:tc>
          <w:tcPr>
            <w:tcW w:w="2194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Tianjin Beichen Fangzheng reagent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Sodium hydroxide</w:t>
            </w:r>
          </w:p>
        </w:tc>
        <w:tc>
          <w:tcPr>
            <w:tcW w:w="11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NaOH</w:t>
            </w:r>
          </w:p>
        </w:tc>
        <w:tc>
          <w:tcPr>
            <w:tcW w:w="1132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1825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≥95%，Analytically pure</w:t>
            </w:r>
          </w:p>
        </w:tc>
        <w:tc>
          <w:tcPr>
            <w:tcW w:w="2194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McLean chemical reagent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Hydrogen peroxide</w:t>
            </w:r>
          </w:p>
        </w:tc>
        <w:tc>
          <w:tcPr>
            <w:tcW w:w="11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132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34.01</w:t>
            </w:r>
          </w:p>
        </w:tc>
        <w:tc>
          <w:tcPr>
            <w:tcW w:w="1825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30%，Analytically pure</w:t>
            </w:r>
          </w:p>
        </w:tc>
        <w:tc>
          <w:tcPr>
            <w:tcW w:w="2194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Tianjin Beichen Fangzheng reagent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5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Sodium hypochlorite</w:t>
            </w:r>
          </w:p>
        </w:tc>
        <w:tc>
          <w:tcPr>
            <w:tcW w:w="11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NaClO</w:t>
            </w:r>
          </w:p>
        </w:tc>
        <w:tc>
          <w:tcPr>
            <w:tcW w:w="1132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74.44</w:t>
            </w:r>
          </w:p>
        </w:tc>
        <w:tc>
          <w:tcPr>
            <w:tcW w:w="1825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Available chlorine≥30%</w:t>
            </w:r>
          </w:p>
        </w:tc>
        <w:tc>
          <w:tcPr>
            <w:tcW w:w="2194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McLean chemical reagent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5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Toluene</w:t>
            </w:r>
          </w:p>
        </w:tc>
        <w:tc>
          <w:tcPr>
            <w:tcW w:w="11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8</w:t>
            </w:r>
          </w:p>
        </w:tc>
        <w:tc>
          <w:tcPr>
            <w:tcW w:w="1132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92.14</w:t>
            </w:r>
          </w:p>
        </w:tc>
        <w:tc>
          <w:tcPr>
            <w:tcW w:w="1825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≥99.5%，Analytically pure</w:t>
            </w:r>
          </w:p>
        </w:tc>
        <w:tc>
          <w:tcPr>
            <w:tcW w:w="2194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Sinopharm Group chemical reagents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5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Tert-butanol</w:t>
            </w:r>
          </w:p>
        </w:tc>
        <w:tc>
          <w:tcPr>
            <w:tcW w:w="11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Cs w:val="21"/>
              </w:rPr>
              <w:t>O</w:t>
            </w:r>
          </w:p>
        </w:tc>
        <w:tc>
          <w:tcPr>
            <w:tcW w:w="1132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74.12</w:t>
            </w:r>
          </w:p>
        </w:tc>
        <w:tc>
          <w:tcPr>
            <w:tcW w:w="1825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≥99.5%，Analytically pure</w:t>
            </w:r>
          </w:p>
        </w:tc>
        <w:tc>
          <w:tcPr>
            <w:tcW w:w="2194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Tianjin City Damao chemical reagent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5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Anhydrous ethanol</w:t>
            </w:r>
          </w:p>
        </w:tc>
        <w:tc>
          <w:tcPr>
            <w:tcW w:w="11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O</w:t>
            </w:r>
          </w:p>
        </w:tc>
        <w:tc>
          <w:tcPr>
            <w:tcW w:w="1132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46.07</w:t>
            </w:r>
          </w:p>
        </w:tc>
        <w:tc>
          <w:tcPr>
            <w:tcW w:w="1825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≥99.5%，Analytically pure</w:t>
            </w:r>
          </w:p>
        </w:tc>
        <w:tc>
          <w:tcPr>
            <w:tcW w:w="2194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Tianjin City Damao chemical reagent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5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Furfuryl alcohol</w:t>
            </w:r>
          </w:p>
        </w:tc>
        <w:tc>
          <w:tcPr>
            <w:tcW w:w="1136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132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98.10</w:t>
            </w:r>
          </w:p>
        </w:tc>
        <w:tc>
          <w:tcPr>
            <w:tcW w:w="1825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≥98%，Analytically pure</w:t>
            </w:r>
          </w:p>
        </w:tc>
        <w:tc>
          <w:tcPr>
            <w:tcW w:w="2194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McLean chemical reagent</w:t>
            </w:r>
          </w:p>
        </w:tc>
      </w:tr>
    </w:tbl>
    <w:p>
      <w:pPr>
        <w:spacing w:line="300" w:lineRule="auto"/>
        <w:ind w:firstLine="420" w:firstLineChars="200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S2(b) </w:t>
      </w:r>
      <w:r>
        <w:rPr>
          <w:rFonts w:ascii="Times New Roman" w:hAnsi="Times New Roman" w:cs="Times New Roman"/>
        </w:rPr>
        <w:t xml:space="preserve">Experimental </w:t>
      </w:r>
      <w:r>
        <w:rPr>
          <w:rFonts w:ascii="Times New Roman" w:hAnsi="Times New Roman" w:cs="Times New Roman"/>
          <w:szCs w:val="21"/>
        </w:rPr>
        <w:t>Reagent specifications and supplier</w:t>
      </w:r>
      <w:r>
        <w:rPr>
          <w:rFonts w:ascii="Times New Roman" w:hAnsi="Times New Roman" w:cs="Times New Roman"/>
        </w:rPr>
        <w:t xml:space="preserve"> for degradation of toluene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</w:pPr>
    </w:p>
    <w:p>
      <w:r>
        <w:rPr>
          <w:rFonts w:ascii="Times New Roman" w:hAnsi="Times New Roman" w:cs="Times New Roman"/>
        </w:rPr>
        <w:drawing>
          <wp:inline distT="0" distB="0" distL="0" distR="0">
            <wp:extent cx="5139055" cy="3951605"/>
            <wp:effectExtent l="0" t="0" r="4445" b="0"/>
            <wp:docPr id="9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341" cy="395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drawing>
          <wp:inline distT="0" distB="0" distL="0" distR="0">
            <wp:extent cx="5092065" cy="3560445"/>
            <wp:effectExtent l="0" t="0" r="0" b="0"/>
            <wp:docPr id="92" name="图片 12" descr="图表, 气泡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12" descr="图表, 气泡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drawing>
          <wp:inline distT="0" distB="0" distL="0" distR="0">
            <wp:extent cx="5269865" cy="3679825"/>
            <wp:effectExtent l="0" t="0" r="0" b="0"/>
            <wp:docPr id="93" name="图片 5" descr="图表, 散点图, 气泡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5" descr="图表, 散点图, 气泡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S</w:t>
      </w:r>
      <w:r>
        <w:rPr>
          <w:rFonts w:hint="eastAsia" w:ascii="Times New Roman" w:hAnsi="Times New Roman" w:cs="Times New Roman"/>
          <w:szCs w:val="18"/>
        </w:rPr>
        <w:t>3-1</w:t>
      </w:r>
      <w:r>
        <w:rPr>
          <w:rFonts w:ascii="Times New Roman" w:hAnsi="Times New Roman" w:cs="Times New Roman"/>
          <w:szCs w:val="21"/>
        </w:rPr>
        <w:t>Geometric optimization results of</w:t>
      </w:r>
      <w:r>
        <w:rPr>
          <w:rFonts w:hint="eastAsia" w:ascii="Times New Roman" w:hAnsi="Times New Roman" w:cs="Times New Roman"/>
          <w:szCs w:val="21"/>
        </w:rPr>
        <w:t xml:space="preserve"> toluene-OH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18"/>
        </w:rPr>
        <w:t xml:space="preserve">complexes (COM1) and </w:t>
      </w:r>
      <w:r>
        <w:rPr>
          <w:rFonts w:ascii="Times New Roman" w:hAnsi="Times New Roman" w:cs="Times New Roman"/>
          <w:szCs w:val="18"/>
        </w:rPr>
        <w:t>path1 transition states</w:t>
      </w:r>
      <w:r>
        <w:rPr>
          <w:rFonts w:hint="eastAsia" w:ascii="Times New Roman" w:hAnsi="Times New Roman" w:cs="Times New Roman"/>
          <w:szCs w:val="18"/>
        </w:rPr>
        <w:t xml:space="preserve"> (TS1, TS2, TS3), intermediate products (IM1, IM2, IM3), and final products (FS1, FS2</w:t>
      </w:r>
      <w:r>
        <w:rPr>
          <w:rFonts w:ascii="Times New Roman" w:hAnsi="Times New Roman" w:cs="Times New Roman"/>
          <w:szCs w:val="18"/>
        </w:rPr>
        <w:t>, FS3).</w:t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18"/>
        </w:rPr>
      </w:pP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696460" cy="3597275"/>
            <wp:effectExtent l="0" t="0" r="8890" b="3175"/>
            <wp:docPr id="9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460" cy="359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522470" cy="3469640"/>
            <wp:effectExtent l="0" t="0" r="0" b="0"/>
            <wp:docPr id="100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2470" cy="346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282440" cy="3284855"/>
            <wp:effectExtent l="0" t="0" r="3810" b="0"/>
            <wp:docPr id="101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328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18"/>
        </w:rPr>
        <w:t>S</w:t>
      </w:r>
      <w:r>
        <w:rPr>
          <w:rFonts w:hint="eastAsia" w:ascii="Times New Roman" w:hAnsi="Times New Roman" w:cs="Times New Roman"/>
          <w:szCs w:val="18"/>
        </w:rPr>
        <w:t>3-2</w:t>
      </w:r>
      <w:r>
        <w:rPr>
          <w:rFonts w:ascii="Times New Roman" w:hAnsi="Times New Roman" w:cs="Times New Roman"/>
          <w:szCs w:val="18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Path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1Energy change graph</w:t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5274310" cy="4043680"/>
            <wp:effectExtent l="0" t="0" r="2540" b="0"/>
            <wp:docPr id="1334561157" name="图片 7" descr="图表, 气泡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561157" name="图片 7" descr="图表, 气泡图&#10;&#10;描述已自动生成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5274310" cy="4111625"/>
            <wp:effectExtent l="0" t="0" r="2540" b="3175"/>
            <wp:docPr id="667605208" name="图片 8" descr="图表, 气泡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605208" name="图片 8" descr="图表, 气泡图&#10;&#10;描述已自动生成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5274310" cy="2437130"/>
            <wp:effectExtent l="0" t="0" r="2540" b="1270"/>
            <wp:docPr id="1377330755" name="图片 9" descr="图片包含 照片, 男孩, 年轻, 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330755" name="图片 9" descr="图片包含 照片, 男孩, 年轻, 木&#10;&#10;描述已自动生成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5274310" cy="2218690"/>
            <wp:effectExtent l="0" t="0" r="2540" b="0"/>
            <wp:docPr id="776864774" name="图片 10" descr="图表, 气泡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864774" name="图片 10" descr="图表, 气泡图&#10;&#10;描述已自动生成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5274310" cy="4072255"/>
            <wp:effectExtent l="0" t="0" r="2540" b="4445"/>
            <wp:docPr id="894180520" name="图片 11" descr="图表, 气泡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180520" name="图片 11" descr="图表, 气泡图&#10;&#10;描述已自动生成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5274310" cy="4009390"/>
            <wp:effectExtent l="0" t="0" r="2540" b="0"/>
            <wp:docPr id="2140622589" name="图片 12" descr="图表, 气泡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622589" name="图片 12" descr="图表, 气泡图&#10;&#10;描述已自动生成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S</w:t>
      </w:r>
      <w:r>
        <w:rPr>
          <w:rFonts w:hint="eastAsia" w:ascii="Times New Roman" w:hAnsi="Times New Roman" w:cs="Times New Roman"/>
          <w:szCs w:val="18"/>
        </w:rPr>
        <w:t>4-1</w:t>
      </w:r>
      <w:r>
        <w:rPr>
          <w:rFonts w:ascii="Times New Roman" w:hAnsi="Times New Roman" w:cs="Times New Roman"/>
          <w:szCs w:val="18"/>
        </w:rPr>
        <w:t xml:space="preserve"> P</w:t>
      </w:r>
      <w:r>
        <w:rPr>
          <w:rFonts w:hint="eastAsia" w:ascii="Times New Roman" w:hAnsi="Times New Roman" w:cs="Times New Roman"/>
          <w:szCs w:val="18"/>
        </w:rPr>
        <w:t>ath2</w:t>
      </w:r>
      <w:r>
        <w:rPr>
          <w:rFonts w:ascii="Times New Roman" w:hAnsi="Times New Roman" w:cs="Times New Roman"/>
          <w:szCs w:val="18"/>
        </w:rPr>
        <w:t xml:space="preserve"> Geometric optimization results of transition</w:t>
      </w:r>
      <w:r>
        <w:rPr>
          <w:rFonts w:hint="eastAsia" w:ascii="Times New Roman" w:hAnsi="Times New Roman" w:cs="Times New Roman"/>
          <w:szCs w:val="18"/>
        </w:rPr>
        <w:t xml:space="preserve"> states (TS4-11), intermediate products (IM1-4) and end products (FS4-7).</w:t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drawing>
          <wp:inline distT="0" distB="0" distL="0" distR="0">
            <wp:extent cx="5274310" cy="4127500"/>
            <wp:effectExtent l="0" t="0" r="2540" b="6350"/>
            <wp:docPr id="656307318" name="图片 13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307318" name="图片 13" descr="图表, 折线图&#10;&#10;描述已自动生成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18"/>
        </w:rPr>
        <w:drawing>
          <wp:inline distT="0" distB="0" distL="0" distR="0">
            <wp:extent cx="5274310" cy="4102735"/>
            <wp:effectExtent l="0" t="0" r="2540" b="0"/>
            <wp:docPr id="1144562947" name="图片 14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562947" name="图片 14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18"/>
        </w:rPr>
        <w:drawing>
          <wp:inline distT="0" distB="0" distL="0" distR="0">
            <wp:extent cx="5274310" cy="3893820"/>
            <wp:effectExtent l="0" t="0" r="2540" b="0"/>
            <wp:docPr id="1516800792" name="图片 15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800792" name="图片 15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18"/>
        </w:rPr>
        <w:drawing>
          <wp:inline distT="0" distB="0" distL="0" distR="0">
            <wp:extent cx="5274310" cy="4097655"/>
            <wp:effectExtent l="0" t="0" r="2540" b="0"/>
            <wp:docPr id="1851315937" name="图片 16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315937" name="图片 16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18"/>
        </w:rPr>
        <w:t>S</w:t>
      </w:r>
      <w:r>
        <w:rPr>
          <w:rFonts w:hint="eastAsia" w:ascii="Times New Roman" w:hAnsi="Times New Roman" w:cs="Times New Roman"/>
          <w:szCs w:val="18"/>
        </w:rPr>
        <w:t>4-2</w:t>
      </w:r>
      <w:r>
        <w:rPr>
          <w:rFonts w:ascii="Times New Roman" w:hAnsi="Times New Roman" w:cs="Times New Roman"/>
          <w:szCs w:val="18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Path</w:t>
      </w:r>
      <w:r>
        <w:rPr>
          <w:rFonts w:ascii="Times New Roman" w:hAnsi="Times New Roman" w:cs="Times New Roman"/>
          <w:szCs w:val="21"/>
        </w:rPr>
        <w:t xml:space="preserve"> 2 </w:t>
      </w:r>
      <w:r>
        <w:rPr>
          <w:rFonts w:hint="eastAsia" w:ascii="Times New Roman" w:hAnsi="Times New Roman" w:cs="Times New Roman"/>
          <w:szCs w:val="21"/>
        </w:rPr>
        <w:t>Energy change graph</w:t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drawing>
          <wp:inline distT="0" distB="0" distL="0" distR="0">
            <wp:extent cx="5274310" cy="1588135"/>
            <wp:effectExtent l="0" t="0" r="2540" b="0"/>
            <wp:docPr id="488029028" name="图片 17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029028" name="图片 17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18"/>
        </w:rPr>
        <w:drawing>
          <wp:inline distT="0" distB="0" distL="0" distR="0">
            <wp:extent cx="5274310" cy="3143885"/>
            <wp:effectExtent l="0" t="0" r="2540" b="0"/>
            <wp:docPr id="1279168289" name="图片 18" descr="图表, 散点图, 气泡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168289" name="图片 18" descr="图表, 散点图, 气泡图&#10;&#10;描述已自动生成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18"/>
        </w:rPr>
        <w:drawing>
          <wp:inline distT="0" distB="0" distL="0" distR="0">
            <wp:extent cx="5274310" cy="3397250"/>
            <wp:effectExtent l="0" t="0" r="2540" b="0"/>
            <wp:docPr id="766119781" name="图片 19" descr="图表, 散点图, 气泡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119781" name="图片 19" descr="图表, 散点图, 气泡图&#10;&#10;描述已自动生成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18"/>
        </w:rPr>
        <w:drawing>
          <wp:inline distT="0" distB="0" distL="0" distR="0">
            <wp:extent cx="5274310" cy="1914525"/>
            <wp:effectExtent l="0" t="0" r="2540" b="9525"/>
            <wp:docPr id="1508269761" name="图片 20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69761" name="图片 20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S5</w:t>
      </w:r>
      <w:r>
        <w:rPr>
          <w:rFonts w:hint="eastAsia" w:ascii="Times New Roman" w:hAnsi="Times New Roman" w:cs="Times New Roman"/>
          <w:szCs w:val="18"/>
        </w:rPr>
        <w:t>-1</w:t>
      </w:r>
      <w:r>
        <w:rPr>
          <w:rFonts w:ascii="Times New Roman" w:hAnsi="Times New Roman" w:cs="Times New Roman"/>
          <w:szCs w:val="18"/>
        </w:rPr>
        <w:t xml:space="preserve"> P</w:t>
      </w:r>
      <w:r>
        <w:rPr>
          <w:rFonts w:hint="eastAsia" w:ascii="Times New Roman" w:hAnsi="Times New Roman" w:cs="Times New Roman"/>
          <w:szCs w:val="18"/>
        </w:rPr>
        <w:t>ath</w:t>
      </w:r>
      <w:r>
        <w:rPr>
          <w:rFonts w:ascii="Times New Roman" w:hAnsi="Times New Roman" w:cs="Times New Roman"/>
          <w:szCs w:val="18"/>
        </w:rPr>
        <w:t xml:space="preserve">3 </w:t>
      </w:r>
      <w:r>
        <w:rPr>
          <w:rFonts w:hint="eastAsia" w:ascii="Times New Roman" w:hAnsi="Times New Roman" w:cs="Times New Roman"/>
          <w:szCs w:val="18"/>
        </w:rPr>
        <w:t>Geometric optimization results of</w:t>
      </w:r>
      <w:r>
        <w:rPr>
          <w:rFonts w:ascii="Times New Roman" w:hAnsi="Times New Roman" w:cs="Times New Roman"/>
          <w:szCs w:val="18"/>
        </w:rPr>
        <w:t xml:space="preserve"> complexes (COM2), transition states (TS12-14</w:t>
      </w:r>
      <w:r>
        <w:rPr>
          <w:rFonts w:hint="eastAsia" w:ascii="Times New Roman" w:hAnsi="Times New Roman" w:cs="Times New Roman"/>
          <w:szCs w:val="18"/>
        </w:rPr>
        <w:t>), intermediate products (IM5-13), and end products (FS8).</w:t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drawing>
          <wp:inline distT="0" distB="0" distL="0" distR="0">
            <wp:extent cx="5274310" cy="4001770"/>
            <wp:effectExtent l="0" t="0" r="2540" b="0"/>
            <wp:docPr id="1692255857" name="图片 2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255857" name="图片 21" descr="图表, 折线图&#10;&#10;描述已自动生成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18"/>
        </w:rPr>
        <w:drawing>
          <wp:inline distT="0" distB="0" distL="0" distR="0">
            <wp:extent cx="5274310" cy="3928745"/>
            <wp:effectExtent l="0" t="0" r="2540" b="0"/>
            <wp:docPr id="46006455" name="图片 2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06455" name="图片 22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18"/>
        </w:rPr>
        <w:drawing>
          <wp:inline distT="0" distB="0" distL="0" distR="0">
            <wp:extent cx="5274310" cy="3896995"/>
            <wp:effectExtent l="0" t="0" r="2540" b="8255"/>
            <wp:docPr id="1614064444" name="图片 23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064444" name="图片 23" descr="图表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18"/>
        </w:rPr>
        <w:drawing>
          <wp:inline distT="0" distB="0" distL="0" distR="0">
            <wp:extent cx="5274310" cy="3978910"/>
            <wp:effectExtent l="0" t="0" r="2540" b="2540"/>
            <wp:docPr id="838224944" name="图片 24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224944" name="图片 24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18"/>
        </w:rPr>
        <w:t>S</w:t>
      </w:r>
      <w:r>
        <w:rPr>
          <w:rFonts w:hint="eastAsia" w:ascii="Times New Roman" w:hAnsi="Times New Roman" w:cs="Times New Roman"/>
          <w:szCs w:val="18"/>
        </w:rPr>
        <w:t>5-2</w:t>
      </w:r>
      <w:r>
        <w:rPr>
          <w:rFonts w:ascii="Times New Roman" w:hAnsi="Times New Roman" w:cs="Times New Roman"/>
          <w:szCs w:val="18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Path</w:t>
      </w:r>
      <w:r>
        <w:rPr>
          <w:rFonts w:ascii="Times New Roman" w:hAnsi="Times New Roman" w:cs="Times New Roman"/>
          <w:szCs w:val="21"/>
        </w:rPr>
        <w:t xml:space="preserve"> 3</w:t>
      </w:r>
      <w:r>
        <w:rPr>
          <w:rFonts w:hint="eastAsia" w:ascii="Times New Roman" w:hAnsi="Times New Roman" w:cs="Times New Roman"/>
          <w:szCs w:val="21"/>
        </w:rPr>
        <w:t>Energy change graph</w:t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drawing>
          <wp:inline distT="0" distB="0" distL="0" distR="0">
            <wp:extent cx="5274310" cy="2444115"/>
            <wp:effectExtent l="0" t="0" r="2540" b="0"/>
            <wp:docPr id="1485345273" name="图片 25" descr="桌子上放着许多苹果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345273" name="图片 25" descr="桌子上放着许多苹果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Cs w:val="21"/>
        </w:rPr>
        <w:drawing>
          <wp:inline distT="0" distB="0" distL="0" distR="0">
            <wp:extent cx="5274310" cy="3993515"/>
            <wp:effectExtent l="0" t="0" r="2540" b="6985"/>
            <wp:docPr id="833034791" name="图片 26" descr="图表, 气泡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034791" name="图片 26" descr="图表, 气泡图&#10;&#10;描述已自动生成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Cs w:val="21"/>
        </w:rPr>
        <w:drawing>
          <wp:inline distT="0" distB="0" distL="0" distR="0">
            <wp:extent cx="5274310" cy="4129405"/>
            <wp:effectExtent l="0" t="0" r="2540" b="4445"/>
            <wp:docPr id="1140819874" name="图片 27" descr="图表, 气泡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819874" name="图片 27" descr="图表, 气泡图&#10;&#10;描述已自动生成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2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Cs w:val="21"/>
        </w:rPr>
        <w:drawing>
          <wp:inline distT="0" distB="0" distL="0" distR="0">
            <wp:extent cx="5274310" cy="3553460"/>
            <wp:effectExtent l="0" t="0" r="2540" b="8890"/>
            <wp:docPr id="1891503075" name="图片 28" descr="图表, 气泡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503075" name="图片 28" descr="图表, 气泡图&#10;&#10;描述已自动生成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Cs w:val="21"/>
        </w:rPr>
        <w:drawing>
          <wp:inline distT="0" distB="0" distL="0" distR="0">
            <wp:extent cx="5274310" cy="2344420"/>
            <wp:effectExtent l="0" t="0" r="2540" b="0"/>
            <wp:docPr id="964053913" name="图片 29" descr="图表, 气泡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53913" name="图片 29" descr="图表, 气泡图&#10;&#10;描述已自动生成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Cs w:val="21"/>
        </w:rPr>
        <w:drawing>
          <wp:inline distT="0" distB="0" distL="0" distR="0">
            <wp:extent cx="5274310" cy="4062095"/>
            <wp:effectExtent l="0" t="0" r="2540" b="0"/>
            <wp:docPr id="339599940" name="图片 30" descr="图表, 气泡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99940" name="图片 30" descr="图表, 气泡图&#10;&#10;描述已自动生成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Cs w:val="21"/>
        </w:rPr>
        <w:drawing>
          <wp:inline distT="0" distB="0" distL="0" distR="0">
            <wp:extent cx="5274310" cy="3863975"/>
            <wp:effectExtent l="0" t="0" r="2540" b="3175"/>
            <wp:docPr id="1607741379" name="图片 31" descr="图表, 气泡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741379" name="图片 31" descr="图表, 气泡图&#10;&#10;描述已自动生成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S</w:t>
      </w:r>
      <w:r>
        <w:rPr>
          <w:rFonts w:hint="eastAsia" w:ascii="Times New Roman" w:hAnsi="Times New Roman" w:cs="Times New Roman"/>
          <w:szCs w:val="18"/>
        </w:rPr>
        <w:t>6-1</w:t>
      </w:r>
      <w:r>
        <w:rPr>
          <w:rFonts w:ascii="Times New Roman" w:hAnsi="Times New Roman" w:cs="Times New Roman"/>
          <w:szCs w:val="18"/>
        </w:rPr>
        <w:t xml:space="preserve"> P</w:t>
      </w:r>
      <w:r>
        <w:rPr>
          <w:rFonts w:hint="eastAsia" w:ascii="Times New Roman" w:hAnsi="Times New Roman" w:cs="Times New Roman"/>
          <w:szCs w:val="18"/>
        </w:rPr>
        <w:t>ath</w:t>
      </w:r>
      <w:r>
        <w:rPr>
          <w:rFonts w:ascii="Times New Roman" w:hAnsi="Times New Roman" w:cs="Times New Roman"/>
          <w:szCs w:val="18"/>
        </w:rPr>
        <w:t>4</w:t>
      </w:r>
      <w:r>
        <w:rPr>
          <w:rFonts w:hint="eastAsia" w:ascii="Times New Roman" w:hAnsi="Times New Roman" w:cs="Times New Roman"/>
          <w:szCs w:val="18"/>
        </w:rPr>
        <w:t>Geometric optimization results of</w:t>
      </w:r>
      <w:r>
        <w:rPr>
          <w:rFonts w:ascii="Times New Roman" w:hAnsi="Times New Roman" w:cs="Times New Roman"/>
          <w:szCs w:val="18"/>
        </w:rPr>
        <w:t xml:space="preserve"> complexes (COM3</w:t>
      </w:r>
      <w:r>
        <w:rPr>
          <w:rFonts w:hint="eastAsia" w:ascii="Times New Roman" w:hAnsi="Times New Roman" w:cs="Times New Roman"/>
          <w:szCs w:val="18"/>
        </w:rPr>
        <w:t>), transition states (TS15-22), intermediate products (IM14-17</w:t>
      </w:r>
      <w:r>
        <w:rPr>
          <w:rFonts w:ascii="Times New Roman" w:hAnsi="Times New Roman" w:cs="Times New Roman"/>
          <w:szCs w:val="18"/>
        </w:rPr>
        <w:t>), and end products (FS9-12).</w:t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drawing>
          <wp:inline distT="0" distB="0" distL="0" distR="0">
            <wp:extent cx="5274310" cy="3989070"/>
            <wp:effectExtent l="0" t="0" r="2540" b="0"/>
            <wp:docPr id="338950937" name="图片 32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950937" name="图片 32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18"/>
        </w:rPr>
        <w:drawing>
          <wp:inline distT="0" distB="0" distL="0" distR="0">
            <wp:extent cx="5274310" cy="3977640"/>
            <wp:effectExtent l="0" t="0" r="2540" b="3810"/>
            <wp:docPr id="1676409851" name="图片 3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409851" name="图片 33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18"/>
        </w:rPr>
        <w:drawing>
          <wp:inline distT="0" distB="0" distL="0" distR="0">
            <wp:extent cx="5274310" cy="3546475"/>
            <wp:effectExtent l="0" t="0" r="2540" b="0"/>
            <wp:docPr id="45071899" name="图片 3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71899" name="图片 34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18"/>
        </w:rPr>
        <w:drawing>
          <wp:inline distT="0" distB="0" distL="0" distR="0">
            <wp:extent cx="5274310" cy="3884295"/>
            <wp:effectExtent l="0" t="0" r="2540" b="1905"/>
            <wp:docPr id="1961919603" name="图片 35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919603" name="图片 35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18"/>
        </w:rPr>
        <w:t>S</w:t>
      </w:r>
      <w:r>
        <w:rPr>
          <w:rFonts w:hint="eastAsia" w:ascii="Times New Roman" w:hAnsi="Times New Roman" w:cs="Times New Roman"/>
          <w:szCs w:val="18"/>
        </w:rPr>
        <w:t>6-2</w:t>
      </w:r>
      <w:r>
        <w:rPr>
          <w:rFonts w:ascii="Times New Roman" w:hAnsi="Times New Roman" w:cs="Times New Roman"/>
          <w:szCs w:val="18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Path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4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Energy change graph</w:t>
      </w:r>
    </w:p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21"/>
        </w:rPr>
      </w:pPr>
    </w:p>
    <w:p>
      <w:pPr>
        <w:snapToGrid w:val="0"/>
        <w:spacing w:line="300" w:lineRule="auto"/>
        <w:jc w:val="center"/>
      </w:pPr>
    </w:p>
    <w:p>
      <w:pPr>
        <w:snapToGrid w:val="0"/>
        <w:spacing w:line="300" w:lineRule="auto"/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VlMDVhNmNlMTJlMGUyYmYyZWVkZTg1ZmY2ZTkifQ=="/>
  </w:docVars>
  <w:rsids>
    <w:rsidRoot w:val="00DC46D4"/>
    <w:rsid w:val="001150D9"/>
    <w:rsid w:val="00193BD4"/>
    <w:rsid w:val="003E41EA"/>
    <w:rsid w:val="004750B1"/>
    <w:rsid w:val="005103DB"/>
    <w:rsid w:val="00544CB6"/>
    <w:rsid w:val="006D3B34"/>
    <w:rsid w:val="0071090A"/>
    <w:rsid w:val="00750968"/>
    <w:rsid w:val="008B7406"/>
    <w:rsid w:val="009A5DA4"/>
    <w:rsid w:val="009C2AF4"/>
    <w:rsid w:val="00B23D7C"/>
    <w:rsid w:val="00D54F5B"/>
    <w:rsid w:val="00DC46D4"/>
    <w:rsid w:val="00E52254"/>
    <w:rsid w:val="00F0140E"/>
    <w:rsid w:val="00F4444E"/>
    <w:rsid w:val="122A2BFF"/>
    <w:rsid w:val="532D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0" Type="http://schemas.openxmlformats.org/officeDocument/2006/relationships/fontTable" Target="fontTable.xml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689</Words>
  <Characters>4298</Characters>
  <Lines>19</Lines>
  <Paragraphs>5</Paragraphs>
  <TotalTime>1</TotalTime>
  <ScaleCrop>false</ScaleCrop>
  <LinksUpToDate>false</LinksUpToDate>
  <CharactersWithSpaces>4565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2023-06-01T15:20:00Z</dcterms:created>
  <dc:creator>MA25395</dc:creator>
  <cp:lastModifiedBy>吴霜降</cp:lastModifiedBy>
  <dcterms:modified xsi:type="dcterms:W3CDTF">2023-08-25T11:22:07Z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47713C6C75D4400392ACF7F7E4A477F8_12</vt:lpwstr>
  </property>
</Properties>
</file>