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630CB" w14:textId="77777777" w:rsidR="00BC178C" w:rsidRPr="008223AE" w:rsidRDefault="008223AE">
      <w:pPr>
        <w:rPr>
          <w:rFonts w:ascii="Times New Roman" w:hAnsi="Times New Roman" w:cs="Times New Roman"/>
          <w:b/>
          <w:color w:val="0070C0"/>
          <w:sz w:val="28"/>
        </w:rPr>
      </w:pPr>
      <w:r w:rsidRPr="008223AE">
        <w:rPr>
          <w:rFonts w:ascii="Times New Roman" w:hAnsi="Times New Roman" w:cs="Times New Roman"/>
          <w:b/>
          <w:color w:val="0070C0"/>
          <w:sz w:val="28"/>
        </w:rPr>
        <w:t>SUPPLEMENTARY MATERIALS</w:t>
      </w:r>
    </w:p>
    <w:p w14:paraId="7EAF8C12" w14:textId="77777777" w:rsidR="00641B4E" w:rsidRPr="003C1DDE" w:rsidRDefault="00641B4E" w:rsidP="00641B4E">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Associations between s</w:t>
      </w:r>
      <w:r w:rsidRPr="003C1DDE">
        <w:rPr>
          <w:rFonts w:ascii="Times New Roman" w:hAnsi="Times New Roman" w:cs="Times New Roman"/>
          <w:b/>
          <w:sz w:val="24"/>
          <w:szCs w:val="24"/>
          <w:lang w:val="en-GB"/>
        </w:rPr>
        <w:t xml:space="preserve">erum </w:t>
      </w:r>
      <w:r w:rsidRPr="003C1DDE">
        <w:rPr>
          <w:rFonts w:ascii="Times New Roman" w:eastAsia="宋体" w:hAnsi="Times New Roman" w:cs="Times New Roman"/>
          <w:b/>
          <w:sz w:val="24"/>
          <w:szCs w:val="24"/>
          <w:lang w:val="en-GB"/>
        </w:rPr>
        <w:t>levels</w:t>
      </w:r>
      <w:r w:rsidRPr="003C1DDE">
        <w:rPr>
          <w:rFonts w:ascii="Times New Roman" w:hAnsi="Times New Roman" w:cs="Times New Roman"/>
          <w:b/>
          <w:sz w:val="24"/>
          <w:szCs w:val="24"/>
          <w:lang w:val="en-GB"/>
        </w:rPr>
        <w:t xml:space="preserve"> of liver function biomarkers </w:t>
      </w:r>
      <w:r>
        <w:rPr>
          <w:rFonts w:ascii="Times New Roman" w:hAnsi="Times New Roman" w:cs="Times New Roman"/>
          <w:b/>
          <w:sz w:val="24"/>
          <w:szCs w:val="24"/>
          <w:lang w:val="en-GB"/>
        </w:rPr>
        <w:t>and</w:t>
      </w:r>
      <w:r w:rsidRPr="003C1DDE">
        <w:rPr>
          <w:rFonts w:ascii="Times New Roman" w:hAnsi="Times New Roman" w:cs="Times New Roman"/>
          <w:b/>
          <w:sz w:val="24"/>
          <w:szCs w:val="24"/>
          <w:lang w:val="en-GB"/>
        </w:rPr>
        <w:t xml:space="preserve"> all-cause and cause</w:t>
      </w:r>
      <w:r w:rsidRPr="003C1DDE">
        <w:rPr>
          <w:rFonts w:ascii="Times New Roman" w:eastAsia="宋体" w:hAnsi="Times New Roman" w:cs="Times New Roman"/>
          <w:b/>
          <w:sz w:val="24"/>
          <w:szCs w:val="24"/>
          <w:lang w:val="en-GB"/>
        </w:rPr>
        <w:t>-</w:t>
      </w:r>
      <w:r w:rsidRPr="003C1DDE">
        <w:rPr>
          <w:rFonts w:ascii="Times New Roman" w:hAnsi="Times New Roman" w:cs="Times New Roman"/>
          <w:b/>
          <w:sz w:val="24"/>
          <w:szCs w:val="24"/>
          <w:lang w:val="en-GB"/>
        </w:rPr>
        <w:t>specific mortality: A prospective cohort study</w:t>
      </w:r>
    </w:p>
    <w:p w14:paraId="6CC2259F" w14:textId="77777777" w:rsidR="00A74CD9" w:rsidRPr="00641B4E" w:rsidRDefault="00A74CD9" w:rsidP="00A74CD9">
      <w:pPr>
        <w:spacing w:line="360" w:lineRule="auto"/>
        <w:rPr>
          <w:rFonts w:ascii="Times New Roman" w:hAnsi="Times New Roman" w:cs="Times New Roman"/>
          <w:sz w:val="24"/>
          <w:lang w:val="en-GB"/>
        </w:rPr>
      </w:pPr>
    </w:p>
    <w:p w14:paraId="6F2A24D1" w14:textId="77777777" w:rsidR="00BC178C" w:rsidRDefault="00BC178C">
      <w:pPr>
        <w:rPr>
          <w:rFonts w:ascii="Times New Roman" w:hAnsi="Times New Roman" w:cs="Times New Roman"/>
          <w:b/>
        </w:rPr>
      </w:pPr>
    </w:p>
    <w:sdt>
      <w:sdtPr>
        <w:rPr>
          <w:rFonts w:asciiTheme="minorHAnsi" w:eastAsiaTheme="minorEastAsia" w:hAnsiTheme="minorHAnsi" w:cstheme="minorBidi"/>
          <w:color w:val="auto"/>
          <w:kern w:val="2"/>
          <w:sz w:val="21"/>
          <w:szCs w:val="22"/>
          <w:lang w:val="zh-CN"/>
        </w:rPr>
        <w:id w:val="1707679524"/>
        <w:docPartObj>
          <w:docPartGallery w:val="Table of Contents"/>
          <w:docPartUnique/>
        </w:docPartObj>
      </w:sdtPr>
      <w:sdtEndPr>
        <w:rPr>
          <w:b/>
          <w:bCs/>
        </w:rPr>
      </w:sdtEndPr>
      <w:sdtContent>
        <w:p w14:paraId="3ED36109" w14:textId="77777777" w:rsidR="008918B0" w:rsidRDefault="008918B0">
          <w:pPr>
            <w:pStyle w:val="TOC"/>
          </w:pPr>
          <w:r w:rsidRPr="00851D0D">
            <w:rPr>
              <w:rFonts w:hint="eastAsia"/>
            </w:rPr>
            <w:t>C</w:t>
          </w:r>
          <w:r w:rsidRPr="00851D0D">
            <w:t>ontents</w:t>
          </w:r>
        </w:p>
        <w:p w14:paraId="4E3E5A87" w14:textId="77777777" w:rsidR="00851D0D" w:rsidRDefault="008918B0">
          <w:pPr>
            <w:pStyle w:val="TOC1"/>
            <w:tabs>
              <w:tab w:val="right" w:leader="dot" w:pos="8296"/>
            </w:tabs>
            <w:rPr>
              <w:noProof/>
            </w:rPr>
          </w:pPr>
          <w:r>
            <w:fldChar w:fldCharType="begin"/>
          </w:r>
          <w:r>
            <w:instrText xml:space="preserve"> TOC \o "1-3" \h \z \u </w:instrText>
          </w:r>
          <w:r>
            <w:fldChar w:fldCharType="separate"/>
          </w:r>
          <w:hyperlink w:anchor="_Toc45195064" w:history="1">
            <w:r w:rsidR="00851D0D" w:rsidRPr="00271674">
              <w:rPr>
                <w:rStyle w:val="a9"/>
                <w:rFonts w:ascii="Times New Roman" w:hAnsi="Times New Roman" w:cs="Times New Roman"/>
                <w:b/>
                <w:noProof/>
              </w:rPr>
              <w:t>Box 1. The processed procedures of six liver function biomarkers in the NHANES.</w:t>
            </w:r>
            <w:r w:rsidR="00851D0D">
              <w:rPr>
                <w:noProof/>
                <w:webHidden/>
              </w:rPr>
              <w:tab/>
            </w:r>
            <w:r w:rsidR="00851D0D">
              <w:rPr>
                <w:noProof/>
                <w:webHidden/>
              </w:rPr>
              <w:fldChar w:fldCharType="begin"/>
            </w:r>
            <w:r w:rsidR="00851D0D">
              <w:rPr>
                <w:noProof/>
                <w:webHidden/>
              </w:rPr>
              <w:instrText xml:space="preserve"> PAGEREF _Toc45195064 \h </w:instrText>
            </w:r>
            <w:r w:rsidR="00851D0D">
              <w:rPr>
                <w:noProof/>
                <w:webHidden/>
              </w:rPr>
            </w:r>
            <w:r w:rsidR="00851D0D">
              <w:rPr>
                <w:noProof/>
                <w:webHidden/>
              </w:rPr>
              <w:fldChar w:fldCharType="separate"/>
            </w:r>
            <w:r w:rsidR="008223AE">
              <w:rPr>
                <w:noProof/>
                <w:webHidden/>
              </w:rPr>
              <w:t>3</w:t>
            </w:r>
            <w:r w:rsidR="00851D0D">
              <w:rPr>
                <w:noProof/>
                <w:webHidden/>
              </w:rPr>
              <w:fldChar w:fldCharType="end"/>
            </w:r>
          </w:hyperlink>
        </w:p>
        <w:p w14:paraId="4923D917" w14:textId="77777777" w:rsidR="00851D0D" w:rsidRDefault="00976C8C">
          <w:pPr>
            <w:pStyle w:val="TOC1"/>
            <w:tabs>
              <w:tab w:val="right" w:leader="dot" w:pos="8296"/>
            </w:tabs>
            <w:rPr>
              <w:noProof/>
            </w:rPr>
          </w:pPr>
          <w:hyperlink w:anchor="_Toc45195065" w:history="1">
            <w:r w:rsidR="00851D0D" w:rsidRPr="00271674">
              <w:rPr>
                <w:rStyle w:val="a9"/>
                <w:rFonts w:ascii="Times New Roman" w:hAnsi="Times New Roman" w:cs="Times New Roman"/>
                <w:b/>
                <w:noProof/>
              </w:rPr>
              <w:t>Box 2. The mathematical details of additive Cox model.</w:t>
            </w:r>
            <w:r w:rsidR="00851D0D">
              <w:rPr>
                <w:noProof/>
                <w:webHidden/>
              </w:rPr>
              <w:tab/>
            </w:r>
            <w:r w:rsidR="00851D0D">
              <w:rPr>
                <w:noProof/>
                <w:webHidden/>
              </w:rPr>
              <w:fldChar w:fldCharType="begin"/>
            </w:r>
            <w:r w:rsidR="00851D0D">
              <w:rPr>
                <w:noProof/>
                <w:webHidden/>
              </w:rPr>
              <w:instrText xml:space="preserve"> PAGEREF _Toc45195065 \h </w:instrText>
            </w:r>
            <w:r w:rsidR="00851D0D">
              <w:rPr>
                <w:noProof/>
                <w:webHidden/>
              </w:rPr>
            </w:r>
            <w:r w:rsidR="00851D0D">
              <w:rPr>
                <w:noProof/>
                <w:webHidden/>
              </w:rPr>
              <w:fldChar w:fldCharType="separate"/>
            </w:r>
            <w:r w:rsidR="008223AE">
              <w:rPr>
                <w:noProof/>
                <w:webHidden/>
              </w:rPr>
              <w:t>4</w:t>
            </w:r>
            <w:r w:rsidR="00851D0D">
              <w:rPr>
                <w:noProof/>
                <w:webHidden/>
              </w:rPr>
              <w:fldChar w:fldCharType="end"/>
            </w:r>
          </w:hyperlink>
        </w:p>
        <w:p w14:paraId="7F4C1E58" w14:textId="77777777" w:rsidR="00851D0D" w:rsidRDefault="00976C8C">
          <w:pPr>
            <w:pStyle w:val="TOC1"/>
            <w:tabs>
              <w:tab w:val="right" w:leader="dot" w:pos="8296"/>
            </w:tabs>
            <w:rPr>
              <w:noProof/>
            </w:rPr>
          </w:pPr>
          <w:hyperlink w:anchor="_Toc45195066" w:history="1">
            <w:r w:rsidR="00851D0D" w:rsidRPr="00271674">
              <w:rPr>
                <w:rStyle w:val="a9"/>
                <w:rFonts w:ascii="Times New Roman" w:hAnsi="Times New Roman" w:cs="Times New Roman"/>
                <w:b/>
                <w:noProof/>
              </w:rPr>
              <w:t>Box 3. Details for smoothing hazard ratio curves</w:t>
            </w:r>
            <w:r w:rsidR="00851D0D">
              <w:rPr>
                <w:noProof/>
                <w:webHidden/>
              </w:rPr>
              <w:tab/>
            </w:r>
            <w:r w:rsidR="00851D0D">
              <w:rPr>
                <w:noProof/>
                <w:webHidden/>
              </w:rPr>
              <w:fldChar w:fldCharType="begin"/>
            </w:r>
            <w:r w:rsidR="00851D0D">
              <w:rPr>
                <w:noProof/>
                <w:webHidden/>
              </w:rPr>
              <w:instrText xml:space="preserve"> PAGEREF _Toc45195066 \h </w:instrText>
            </w:r>
            <w:r w:rsidR="00851D0D">
              <w:rPr>
                <w:noProof/>
                <w:webHidden/>
              </w:rPr>
            </w:r>
            <w:r w:rsidR="00851D0D">
              <w:rPr>
                <w:noProof/>
                <w:webHidden/>
              </w:rPr>
              <w:fldChar w:fldCharType="separate"/>
            </w:r>
            <w:r w:rsidR="008223AE">
              <w:rPr>
                <w:noProof/>
                <w:webHidden/>
              </w:rPr>
              <w:t>4</w:t>
            </w:r>
            <w:r w:rsidR="00851D0D">
              <w:rPr>
                <w:noProof/>
                <w:webHidden/>
              </w:rPr>
              <w:fldChar w:fldCharType="end"/>
            </w:r>
          </w:hyperlink>
        </w:p>
        <w:p w14:paraId="263511C1" w14:textId="77777777" w:rsidR="00851D0D" w:rsidRDefault="00976C8C">
          <w:pPr>
            <w:pStyle w:val="TOC1"/>
            <w:tabs>
              <w:tab w:val="right" w:leader="dot" w:pos="8296"/>
            </w:tabs>
            <w:rPr>
              <w:noProof/>
            </w:rPr>
          </w:pPr>
          <w:hyperlink w:anchor="_Toc45195067" w:history="1">
            <w:r w:rsidR="00851D0D" w:rsidRPr="00271674">
              <w:rPr>
                <w:rStyle w:val="a9"/>
                <w:rFonts w:ascii="Times New Roman" w:hAnsi="Times New Roman" w:cs="Times New Roman"/>
                <w:b/>
                <w:noProof/>
              </w:rPr>
              <w:t>Box 4. Details of the calculation of liver function risk score</w:t>
            </w:r>
            <w:r w:rsidR="00851D0D">
              <w:rPr>
                <w:noProof/>
                <w:webHidden/>
              </w:rPr>
              <w:tab/>
            </w:r>
            <w:r w:rsidR="00851D0D">
              <w:rPr>
                <w:noProof/>
                <w:webHidden/>
              </w:rPr>
              <w:fldChar w:fldCharType="begin"/>
            </w:r>
            <w:r w:rsidR="00851D0D">
              <w:rPr>
                <w:noProof/>
                <w:webHidden/>
              </w:rPr>
              <w:instrText xml:space="preserve"> PAGEREF _Toc45195067 \h </w:instrText>
            </w:r>
            <w:r w:rsidR="00851D0D">
              <w:rPr>
                <w:noProof/>
                <w:webHidden/>
              </w:rPr>
            </w:r>
            <w:r w:rsidR="00851D0D">
              <w:rPr>
                <w:noProof/>
                <w:webHidden/>
              </w:rPr>
              <w:fldChar w:fldCharType="separate"/>
            </w:r>
            <w:r w:rsidR="008223AE">
              <w:rPr>
                <w:noProof/>
                <w:webHidden/>
              </w:rPr>
              <w:t>4</w:t>
            </w:r>
            <w:r w:rsidR="00851D0D">
              <w:rPr>
                <w:noProof/>
                <w:webHidden/>
              </w:rPr>
              <w:fldChar w:fldCharType="end"/>
            </w:r>
          </w:hyperlink>
        </w:p>
        <w:p w14:paraId="5CF6CF49" w14:textId="77777777" w:rsidR="00851D0D" w:rsidRDefault="00976C8C">
          <w:pPr>
            <w:pStyle w:val="TOC1"/>
            <w:tabs>
              <w:tab w:val="right" w:leader="dot" w:pos="8296"/>
            </w:tabs>
            <w:rPr>
              <w:noProof/>
            </w:rPr>
          </w:pPr>
          <w:hyperlink w:anchor="_Toc45195068" w:history="1">
            <w:r w:rsidR="00851D0D" w:rsidRPr="00271674">
              <w:rPr>
                <w:rStyle w:val="a9"/>
                <w:rFonts w:ascii="Times New Roman" w:hAnsi="Times New Roman" w:cs="Times New Roman"/>
                <w:b/>
                <w:noProof/>
              </w:rPr>
              <w:t>Table S1. Associations of mortality with serum levels of liver function biomarkers across adulthood in NHANES 1988-2014.</w:t>
            </w:r>
            <w:r w:rsidR="00851D0D">
              <w:rPr>
                <w:noProof/>
                <w:webHidden/>
              </w:rPr>
              <w:tab/>
            </w:r>
            <w:r w:rsidR="00851D0D">
              <w:rPr>
                <w:noProof/>
                <w:webHidden/>
              </w:rPr>
              <w:fldChar w:fldCharType="begin"/>
            </w:r>
            <w:r w:rsidR="00851D0D">
              <w:rPr>
                <w:noProof/>
                <w:webHidden/>
              </w:rPr>
              <w:instrText xml:space="preserve"> PAGEREF _Toc45195068 \h </w:instrText>
            </w:r>
            <w:r w:rsidR="00851D0D">
              <w:rPr>
                <w:noProof/>
                <w:webHidden/>
              </w:rPr>
            </w:r>
            <w:r w:rsidR="00851D0D">
              <w:rPr>
                <w:noProof/>
                <w:webHidden/>
              </w:rPr>
              <w:fldChar w:fldCharType="separate"/>
            </w:r>
            <w:r w:rsidR="008223AE">
              <w:rPr>
                <w:noProof/>
                <w:webHidden/>
              </w:rPr>
              <w:t>5</w:t>
            </w:r>
            <w:r w:rsidR="00851D0D">
              <w:rPr>
                <w:noProof/>
                <w:webHidden/>
              </w:rPr>
              <w:fldChar w:fldCharType="end"/>
            </w:r>
          </w:hyperlink>
        </w:p>
        <w:p w14:paraId="037B09E0" w14:textId="77777777" w:rsidR="00851D0D" w:rsidRDefault="00976C8C">
          <w:pPr>
            <w:pStyle w:val="TOC1"/>
            <w:tabs>
              <w:tab w:val="right" w:leader="dot" w:pos="8296"/>
            </w:tabs>
            <w:rPr>
              <w:noProof/>
            </w:rPr>
          </w:pPr>
          <w:hyperlink w:anchor="_Toc45195069" w:history="1">
            <w:r w:rsidR="00851D0D" w:rsidRPr="00271674">
              <w:rPr>
                <w:rStyle w:val="a9"/>
                <w:rFonts w:ascii="Times New Roman" w:hAnsi="Times New Roman" w:cs="Times New Roman"/>
                <w:b/>
                <w:noProof/>
              </w:rPr>
              <w:t>Figure S1. The distributions of serum liver of liver function biomarkers by sex.</w:t>
            </w:r>
            <w:r w:rsidR="00851D0D">
              <w:rPr>
                <w:noProof/>
                <w:webHidden/>
              </w:rPr>
              <w:tab/>
            </w:r>
            <w:r w:rsidR="00851D0D">
              <w:rPr>
                <w:noProof/>
                <w:webHidden/>
              </w:rPr>
              <w:fldChar w:fldCharType="begin"/>
            </w:r>
            <w:r w:rsidR="00851D0D">
              <w:rPr>
                <w:noProof/>
                <w:webHidden/>
              </w:rPr>
              <w:instrText xml:space="preserve"> PAGEREF _Toc45195069 \h </w:instrText>
            </w:r>
            <w:r w:rsidR="00851D0D">
              <w:rPr>
                <w:noProof/>
                <w:webHidden/>
              </w:rPr>
            </w:r>
            <w:r w:rsidR="00851D0D">
              <w:rPr>
                <w:noProof/>
                <w:webHidden/>
              </w:rPr>
              <w:fldChar w:fldCharType="separate"/>
            </w:r>
            <w:r w:rsidR="008223AE">
              <w:rPr>
                <w:noProof/>
                <w:webHidden/>
              </w:rPr>
              <w:t>6</w:t>
            </w:r>
            <w:r w:rsidR="00851D0D">
              <w:rPr>
                <w:noProof/>
                <w:webHidden/>
              </w:rPr>
              <w:fldChar w:fldCharType="end"/>
            </w:r>
          </w:hyperlink>
        </w:p>
        <w:p w14:paraId="22368E80" w14:textId="77777777" w:rsidR="00851D0D" w:rsidRDefault="00976C8C">
          <w:pPr>
            <w:pStyle w:val="TOC1"/>
            <w:tabs>
              <w:tab w:val="right" w:leader="dot" w:pos="8296"/>
            </w:tabs>
            <w:rPr>
              <w:noProof/>
            </w:rPr>
          </w:pPr>
          <w:hyperlink w:anchor="_Toc45195070" w:history="1">
            <w:r w:rsidR="00851D0D" w:rsidRPr="00271674">
              <w:rPr>
                <w:rStyle w:val="a9"/>
                <w:rFonts w:ascii="Times New Roman" w:hAnsi="Times New Roman" w:cs="Times New Roman"/>
                <w:b/>
                <w:noProof/>
              </w:rPr>
              <w:t>Figure S2. The associations of serum levels of six liver function biomarkers with all-cause related deaths in males.</w:t>
            </w:r>
            <w:r w:rsidR="00851D0D">
              <w:rPr>
                <w:noProof/>
                <w:webHidden/>
              </w:rPr>
              <w:tab/>
            </w:r>
            <w:r w:rsidR="00851D0D">
              <w:rPr>
                <w:noProof/>
                <w:webHidden/>
              </w:rPr>
              <w:fldChar w:fldCharType="begin"/>
            </w:r>
            <w:r w:rsidR="00851D0D">
              <w:rPr>
                <w:noProof/>
                <w:webHidden/>
              </w:rPr>
              <w:instrText xml:space="preserve"> PAGEREF _Toc45195070 \h </w:instrText>
            </w:r>
            <w:r w:rsidR="00851D0D">
              <w:rPr>
                <w:noProof/>
                <w:webHidden/>
              </w:rPr>
            </w:r>
            <w:r w:rsidR="00851D0D">
              <w:rPr>
                <w:noProof/>
                <w:webHidden/>
              </w:rPr>
              <w:fldChar w:fldCharType="separate"/>
            </w:r>
            <w:r w:rsidR="008223AE">
              <w:rPr>
                <w:noProof/>
                <w:webHidden/>
              </w:rPr>
              <w:t>7</w:t>
            </w:r>
            <w:r w:rsidR="00851D0D">
              <w:rPr>
                <w:noProof/>
                <w:webHidden/>
              </w:rPr>
              <w:fldChar w:fldCharType="end"/>
            </w:r>
          </w:hyperlink>
        </w:p>
        <w:p w14:paraId="220579DA" w14:textId="77777777" w:rsidR="00851D0D" w:rsidRDefault="00976C8C">
          <w:pPr>
            <w:pStyle w:val="TOC1"/>
            <w:tabs>
              <w:tab w:val="right" w:leader="dot" w:pos="8296"/>
            </w:tabs>
            <w:rPr>
              <w:noProof/>
            </w:rPr>
          </w:pPr>
          <w:hyperlink w:anchor="_Toc45195071" w:history="1">
            <w:r w:rsidR="00851D0D" w:rsidRPr="00271674">
              <w:rPr>
                <w:rStyle w:val="a9"/>
                <w:rFonts w:ascii="Times New Roman" w:hAnsi="Times New Roman" w:cs="Times New Roman"/>
                <w:b/>
                <w:noProof/>
              </w:rPr>
              <w:t>Figure S3. The associations of serum levels of six liver function biomarkers with all-cause related deaths in females.</w:t>
            </w:r>
            <w:r w:rsidR="00851D0D">
              <w:rPr>
                <w:noProof/>
                <w:webHidden/>
              </w:rPr>
              <w:tab/>
            </w:r>
            <w:r w:rsidR="00851D0D">
              <w:rPr>
                <w:noProof/>
                <w:webHidden/>
              </w:rPr>
              <w:fldChar w:fldCharType="begin"/>
            </w:r>
            <w:r w:rsidR="00851D0D">
              <w:rPr>
                <w:noProof/>
                <w:webHidden/>
              </w:rPr>
              <w:instrText xml:space="preserve"> PAGEREF _Toc45195071 \h </w:instrText>
            </w:r>
            <w:r w:rsidR="00851D0D">
              <w:rPr>
                <w:noProof/>
                <w:webHidden/>
              </w:rPr>
            </w:r>
            <w:r w:rsidR="00851D0D">
              <w:rPr>
                <w:noProof/>
                <w:webHidden/>
              </w:rPr>
              <w:fldChar w:fldCharType="separate"/>
            </w:r>
            <w:r w:rsidR="008223AE">
              <w:rPr>
                <w:noProof/>
                <w:webHidden/>
              </w:rPr>
              <w:t>8</w:t>
            </w:r>
            <w:r w:rsidR="00851D0D">
              <w:rPr>
                <w:noProof/>
                <w:webHidden/>
              </w:rPr>
              <w:fldChar w:fldCharType="end"/>
            </w:r>
          </w:hyperlink>
        </w:p>
        <w:p w14:paraId="47206042" w14:textId="77777777" w:rsidR="00851D0D" w:rsidRDefault="00976C8C">
          <w:pPr>
            <w:pStyle w:val="TOC1"/>
            <w:tabs>
              <w:tab w:val="right" w:leader="dot" w:pos="8296"/>
            </w:tabs>
            <w:rPr>
              <w:noProof/>
            </w:rPr>
          </w:pPr>
          <w:hyperlink w:anchor="_Toc45195072" w:history="1">
            <w:r w:rsidR="00851D0D" w:rsidRPr="00271674">
              <w:rPr>
                <w:rStyle w:val="a9"/>
                <w:rFonts w:ascii="Times New Roman" w:hAnsi="Times New Roman" w:cs="Times New Roman"/>
                <w:b/>
                <w:noProof/>
              </w:rPr>
              <w:t>Figure S4. The associations of serum levels of six liver function biomarkers with heart and cerebrovascular diseases related deaths in NHANES population.</w:t>
            </w:r>
            <w:r w:rsidR="00851D0D">
              <w:rPr>
                <w:noProof/>
                <w:webHidden/>
              </w:rPr>
              <w:tab/>
            </w:r>
            <w:r w:rsidR="00851D0D">
              <w:rPr>
                <w:noProof/>
                <w:webHidden/>
              </w:rPr>
              <w:fldChar w:fldCharType="begin"/>
            </w:r>
            <w:r w:rsidR="00851D0D">
              <w:rPr>
                <w:noProof/>
                <w:webHidden/>
              </w:rPr>
              <w:instrText xml:space="preserve"> PAGEREF _Toc45195072 \h </w:instrText>
            </w:r>
            <w:r w:rsidR="00851D0D">
              <w:rPr>
                <w:noProof/>
                <w:webHidden/>
              </w:rPr>
            </w:r>
            <w:r w:rsidR="00851D0D">
              <w:rPr>
                <w:noProof/>
                <w:webHidden/>
              </w:rPr>
              <w:fldChar w:fldCharType="separate"/>
            </w:r>
            <w:r w:rsidR="008223AE">
              <w:rPr>
                <w:noProof/>
                <w:webHidden/>
              </w:rPr>
              <w:t>8</w:t>
            </w:r>
            <w:r w:rsidR="00851D0D">
              <w:rPr>
                <w:noProof/>
                <w:webHidden/>
              </w:rPr>
              <w:fldChar w:fldCharType="end"/>
            </w:r>
          </w:hyperlink>
        </w:p>
        <w:p w14:paraId="4019A96E" w14:textId="77777777" w:rsidR="00851D0D" w:rsidRDefault="00976C8C">
          <w:pPr>
            <w:pStyle w:val="TOC1"/>
            <w:tabs>
              <w:tab w:val="right" w:leader="dot" w:pos="8296"/>
            </w:tabs>
            <w:rPr>
              <w:noProof/>
            </w:rPr>
          </w:pPr>
          <w:hyperlink w:anchor="_Toc45195073" w:history="1">
            <w:r w:rsidR="00851D0D" w:rsidRPr="00271674">
              <w:rPr>
                <w:rStyle w:val="a9"/>
                <w:rFonts w:ascii="Times New Roman" w:hAnsi="Times New Roman" w:cs="Times New Roman"/>
                <w:b/>
                <w:noProof/>
              </w:rPr>
              <w:t>Figure S5. The associations of serum levels of six liver function biomarkers with cancer related deaths in NHANES population.</w:t>
            </w:r>
            <w:r w:rsidR="00851D0D">
              <w:rPr>
                <w:noProof/>
                <w:webHidden/>
              </w:rPr>
              <w:tab/>
            </w:r>
            <w:r w:rsidR="00851D0D">
              <w:rPr>
                <w:noProof/>
                <w:webHidden/>
              </w:rPr>
              <w:fldChar w:fldCharType="begin"/>
            </w:r>
            <w:r w:rsidR="00851D0D">
              <w:rPr>
                <w:noProof/>
                <w:webHidden/>
              </w:rPr>
              <w:instrText xml:space="preserve"> PAGEREF _Toc45195073 \h </w:instrText>
            </w:r>
            <w:r w:rsidR="00851D0D">
              <w:rPr>
                <w:noProof/>
                <w:webHidden/>
              </w:rPr>
            </w:r>
            <w:r w:rsidR="00851D0D">
              <w:rPr>
                <w:noProof/>
                <w:webHidden/>
              </w:rPr>
              <w:fldChar w:fldCharType="separate"/>
            </w:r>
            <w:r w:rsidR="008223AE">
              <w:rPr>
                <w:noProof/>
                <w:webHidden/>
              </w:rPr>
              <w:t>9</w:t>
            </w:r>
            <w:r w:rsidR="00851D0D">
              <w:rPr>
                <w:noProof/>
                <w:webHidden/>
              </w:rPr>
              <w:fldChar w:fldCharType="end"/>
            </w:r>
          </w:hyperlink>
        </w:p>
        <w:p w14:paraId="3385B88E" w14:textId="77777777" w:rsidR="00851D0D" w:rsidRDefault="00976C8C">
          <w:pPr>
            <w:pStyle w:val="TOC1"/>
            <w:tabs>
              <w:tab w:val="right" w:leader="dot" w:pos="8296"/>
            </w:tabs>
            <w:rPr>
              <w:noProof/>
            </w:rPr>
          </w:pPr>
          <w:hyperlink w:anchor="_Toc45195074" w:history="1">
            <w:r w:rsidR="00851D0D" w:rsidRPr="00271674">
              <w:rPr>
                <w:rStyle w:val="a9"/>
                <w:rFonts w:ascii="Times New Roman" w:hAnsi="Times New Roman" w:cs="Times New Roman"/>
                <w:b/>
                <w:noProof/>
              </w:rPr>
              <w:t>Figure S6. The associations of serum levels of six liver function biomarkers with other causes related deaths in NHANES population.</w:t>
            </w:r>
            <w:r w:rsidR="00851D0D">
              <w:rPr>
                <w:noProof/>
                <w:webHidden/>
              </w:rPr>
              <w:tab/>
            </w:r>
            <w:r w:rsidR="00851D0D">
              <w:rPr>
                <w:noProof/>
                <w:webHidden/>
              </w:rPr>
              <w:fldChar w:fldCharType="begin"/>
            </w:r>
            <w:r w:rsidR="00851D0D">
              <w:rPr>
                <w:noProof/>
                <w:webHidden/>
              </w:rPr>
              <w:instrText xml:space="preserve"> PAGEREF _Toc45195074 \h </w:instrText>
            </w:r>
            <w:r w:rsidR="00851D0D">
              <w:rPr>
                <w:noProof/>
                <w:webHidden/>
              </w:rPr>
            </w:r>
            <w:r w:rsidR="00851D0D">
              <w:rPr>
                <w:noProof/>
                <w:webHidden/>
              </w:rPr>
              <w:fldChar w:fldCharType="separate"/>
            </w:r>
            <w:r w:rsidR="008223AE">
              <w:rPr>
                <w:noProof/>
                <w:webHidden/>
              </w:rPr>
              <w:t>9</w:t>
            </w:r>
            <w:r w:rsidR="00851D0D">
              <w:rPr>
                <w:noProof/>
                <w:webHidden/>
              </w:rPr>
              <w:fldChar w:fldCharType="end"/>
            </w:r>
          </w:hyperlink>
        </w:p>
        <w:p w14:paraId="2C05E007" w14:textId="77777777" w:rsidR="00851D0D" w:rsidRDefault="00976C8C">
          <w:pPr>
            <w:pStyle w:val="TOC1"/>
            <w:tabs>
              <w:tab w:val="right" w:leader="dot" w:pos="8296"/>
            </w:tabs>
            <w:rPr>
              <w:noProof/>
            </w:rPr>
          </w:pPr>
          <w:hyperlink w:anchor="_Toc45195075" w:history="1">
            <w:r w:rsidR="00851D0D" w:rsidRPr="00271674">
              <w:rPr>
                <w:rStyle w:val="a9"/>
                <w:rFonts w:ascii="Times New Roman" w:hAnsi="Times New Roman" w:cs="Times New Roman"/>
                <w:b/>
                <w:noProof/>
              </w:rPr>
              <w:t>Figure S7. The effect estimates of discrete levels of liver function biomarkers on all-cause mortality (A) and the relative importance of the six biomarkers for all-cause mortality (B).</w:t>
            </w:r>
            <w:r w:rsidR="00851D0D">
              <w:rPr>
                <w:noProof/>
                <w:webHidden/>
              </w:rPr>
              <w:tab/>
            </w:r>
            <w:r w:rsidR="00851D0D">
              <w:rPr>
                <w:noProof/>
                <w:webHidden/>
              </w:rPr>
              <w:fldChar w:fldCharType="begin"/>
            </w:r>
            <w:r w:rsidR="00851D0D">
              <w:rPr>
                <w:noProof/>
                <w:webHidden/>
              </w:rPr>
              <w:instrText xml:space="preserve"> PAGEREF _Toc45195075 \h </w:instrText>
            </w:r>
            <w:r w:rsidR="00851D0D">
              <w:rPr>
                <w:noProof/>
                <w:webHidden/>
              </w:rPr>
            </w:r>
            <w:r w:rsidR="00851D0D">
              <w:rPr>
                <w:noProof/>
                <w:webHidden/>
              </w:rPr>
              <w:fldChar w:fldCharType="separate"/>
            </w:r>
            <w:r w:rsidR="008223AE">
              <w:rPr>
                <w:noProof/>
                <w:webHidden/>
              </w:rPr>
              <w:t>10</w:t>
            </w:r>
            <w:r w:rsidR="00851D0D">
              <w:rPr>
                <w:noProof/>
                <w:webHidden/>
              </w:rPr>
              <w:fldChar w:fldCharType="end"/>
            </w:r>
          </w:hyperlink>
        </w:p>
        <w:p w14:paraId="7870281C" w14:textId="77777777" w:rsidR="00851D0D" w:rsidRDefault="00976C8C">
          <w:pPr>
            <w:pStyle w:val="TOC1"/>
            <w:tabs>
              <w:tab w:val="right" w:leader="dot" w:pos="8296"/>
            </w:tabs>
            <w:rPr>
              <w:noProof/>
            </w:rPr>
          </w:pPr>
          <w:hyperlink w:anchor="_Toc45195076" w:history="1">
            <w:r w:rsidR="00851D0D" w:rsidRPr="00271674">
              <w:rPr>
                <w:rStyle w:val="a9"/>
                <w:rFonts w:ascii="Times New Roman" w:hAnsi="Times New Roman" w:cs="Times New Roman"/>
                <w:b/>
                <w:noProof/>
              </w:rPr>
              <w:t>Figure S8. The distribution of risk scores at log scale among heart and cerebrovascular diseases related deaths and alive people (A) and the survival curves of people with high and low risk scores (B).</w:t>
            </w:r>
            <w:r w:rsidR="00851D0D">
              <w:rPr>
                <w:noProof/>
                <w:webHidden/>
              </w:rPr>
              <w:tab/>
            </w:r>
            <w:r w:rsidR="00851D0D">
              <w:rPr>
                <w:noProof/>
                <w:webHidden/>
              </w:rPr>
              <w:fldChar w:fldCharType="begin"/>
            </w:r>
            <w:r w:rsidR="00851D0D">
              <w:rPr>
                <w:noProof/>
                <w:webHidden/>
              </w:rPr>
              <w:instrText xml:space="preserve"> PAGEREF _Toc45195076 \h </w:instrText>
            </w:r>
            <w:r w:rsidR="00851D0D">
              <w:rPr>
                <w:noProof/>
                <w:webHidden/>
              </w:rPr>
            </w:r>
            <w:r w:rsidR="00851D0D">
              <w:rPr>
                <w:noProof/>
                <w:webHidden/>
              </w:rPr>
              <w:fldChar w:fldCharType="separate"/>
            </w:r>
            <w:r w:rsidR="008223AE">
              <w:rPr>
                <w:noProof/>
                <w:webHidden/>
              </w:rPr>
              <w:t>11</w:t>
            </w:r>
            <w:r w:rsidR="00851D0D">
              <w:rPr>
                <w:noProof/>
                <w:webHidden/>
              </w:rPr>
              <w:fldChar w:fldCharType="end"/>
            </w:r>
          </w:hyperlink>
        </w:p>
        <w:p w14:paraId="01BFA386" w14:textId="77777777" w:rsidR="00851D0D" w:rsidRDefault="00976C8C">
          <w:pPr>
            <w:pStyle w:val="TOC1"/>
            <w:tabs>
              <w:tab w:val="right" w:leader="dot" w:pos="8296"/>
            </w:tabs>
            <w:rPr>
              <w:noProof/>
            </w:rPr>
          </w:pPr>
          <w:hyperlink w:anchor="_Toc45195077" w:history="1">
            <w:r w:rsidR="00851D0D" w:rsidRPr="00271674">
              <w:rPr>
                <w:rStyle w:val="a9"/>
                <w:rFonts w:ascii="Times New Roman" w:hAnsi="Times New Roman" w:cs="Times New Roman"/>
                <w:b/>
                <w:noProof/>
              </w:rPr>
              <w:t>Figure S9. The distribution of risk scores at log scale among cancer related deaths and alive people (A) and the survival curves of people with high and low risk scores (B).</w:t>
            </w:r>
            <w:r w:rsidR="00851D0D">
              <w:rPr>
                <w:noProof/>
                <w:webHidden/>
              </w:rPr>
              <w:tab/>
            </w:r>
            <w:r w:rsidR="00851D0D">
              <w:rPr>
                <w:noProof/>
                <w:webHidden/>
              </w:rPr>
              <w:fldChar w:fldCharType="begin"/>
            </w:r>
            <w:r w:rsidR="00851D0D">
              <w:rPr>
                <w:noProof/>
                <w:webHidden/>
              </w:rPr>
              <w:instrText xml:space="preserve"> PAGEREF _Toc45195077 \h </w:instrText>
            </w:r>
            <w:r w:rsidR="00851D0D">
              <w:rPr>
                <w:noProof/>
                <w:webHidden/>
              </w:rPr>
            </w:r>
            <w:r w:rsidR="00851D0D">
              <w:rPr>
                <w:noProof/>
                <w:webHidden/>
              </w:rPr>
              <w:fldChar w:fldCharType="separate"/>
            </w:r>
            <w:r w:rsidR="008223AE">
              <w:rPr>
                <w:noProof/>
                <w:webHidden/>
              </w:rPr>
              <w:t>11</w:t>
            </w:r>
            <w:r w:rsidR="00851D0D">
              <w:rPr>
                <w:noProof/>
                <w:webHidden/>
              </w:rPr>
              <w:fldChar w:fldCharType="end"/>
            </w:r>
          </w:hyperlink>
        </w:p>
        <w:p w14:paraId="2FF10E24" w14:textId="77777777" w:rsidR="00851D0D" w:rsidRDefault="00976C8C">
          <w:pPr>
            <w:pStyle w:val="TOC1"/>
            <w:tabs>
              <w:tab w:val="right" w:leader="dot" w:pos="8296"/>
            </w:tabs>
            <w:rPr>
              <w:noProof/>
            </w:rPr>
          </w:pPr>
          <w:hyperlink w:anchor="_Toc45195078" w:history="1">
            <w:r w:rsidR="00851D0D" w:rsidRPr="00271674">
              <w:rPr>
                <w:rStyle w:val="a9"/>
                <w:rFonts w:ascii="Times New Roman" w:hAnsi="Times New Roman" w:cs="Times New Roman"/>
                <w:b/>
                <w:noProof/>
              </w:rPr>
              <w:t>Figure S10. The distribution of risk scores at log scale among other causes related deaths and alive people (A) and the survival curves of people with high and low risk scores (B).</w:t>
            </w:r>
            <w:r w:rsidR="00851D0D">
              <w:rPr>
                <w:noProof/>
                <w:webHidden/>
              </w:rPr>
              <w:tab/>
            </w:r>
            <w:r w:rsidR="00851D0D">
              <w:rPr>
                <w:noProof/>
                <w:webHidden/>
              </w:rPr>
              <w:fldChar w:fldCharType="begin"/>
            </w:r>
            <w:r w:rsidR="00851D0D">
              <w:rPr>
                <w:noProof/>
                <w:webHidden/>
              </w:rPr>
              <w:instrText xml:space="preserve"> PAGEREF _Toc45195078 \h </w:instrText>
            </w:r>
            <w:r w:rsidR="00851D0D">
              <w:rPr>
                <w:noProof/>
                <w:webHidden/>
              </w:rPr>
            </w:r>
            <w:r w:rsidR="00851D0D">
              <w:rPr>
                <w:noProof/>
                <w:webHidden/>
              </w:rPr>
              <w:fldChar w:fldCharType="separate"/>
            </w:r>
            <w:r w:rsidR="008223AE">
              <w:rPr>
                <w:noProof/>
                <w:webHidden/>
              </w:rPr>
              <w:t>12</w:t>
            </w:r>
            <w:r w:rsidR="00851D0D">
              <w:rPr>
                <w:noProof/>
                <w:webHidden/>
              </w:rPr>
              <w:fldChar w:fldCharType="end"/>
            </w:r>
          </w:hyperlink>
        </w:p>
        <w:p w14:paraId="4DB85957" w14:textId="77777777" w:rsidR="00851D0D" w:rsidRDefault="00976C8C">
          <w:pPr>
            <w:pStyle w:val="TOC1"/>
            <w:tabs>
              <w:tab w:val="right" w:leader="dot" w:pos="8296"/>
            </w:tabs>
            <w:rPr>
              <w:noProof/>
            </w:rPr>
          </w:pPr>
          <w:hyperlink w:anchor="_Toc45195079" w:history="1">
            <w:r w:rsidR="00851D0D" w:rsidRPr="00271674">
              <w:rPr>
                <w:rStyle w:val="a9"/>
                <w:rFonts w:ascii="Times New Roman" w:hAnsi="Times New Roman" w:cs="Times New Roman"/>
                <w:b/>
                <w:noProof/>
              </w:rPr>
              <w:t>Figure S11. The areas under ROC curves of LFRSs, by cause of mortality.</w:t>
            </w:r>
            <w:r w:rsidR="00851D0D">
              <w:rPr>
                <w:noProof/>
                <w:webHidden/>
              </w:rPr>
              <w:tab/>
            </w:r>
            <w:r w:rsidR="00851D0D">
              <w:rPr>
                <w:noProof/>
                <w:webHidden/>
              </w:rPr>
              <w:fldChar w:fldCharType="begin"/>
            </w:r>
            <w:r w:rsidR="00851D0D">
              <w:rPr>
                <w:noProof/>
                <w:webHidden/>
              </w:rPr>
              <w:instrText xml:space="preserve"> PAGEREF _Toc45195079 \h </w:instrText>
            </w:r>
            <w:r w:rsidR="00851D0D">
              <w:rPr>
                <w:noProof/>
                <w:webHidden/>
              </w:rPr>
            </w:r>
            <w:r w:rsidR="00851D0D">
              <w:rPr>
                <w:noProof/>
                <w:webHidden/>
              </w:rPr>
              <w:fldChar w:fldCharType="separate"/>
            </w:r>
            <w:r w:rsidR="008223AE">
              <w:rPr>
                <w:noProof/>
                <w:webHidden/>
              </w:rPr>
              <w:t>12</w:t>
            </w:r>
            <w:r w:rsidR="00851D0D">
              <w:rPr>
                <w:noProof/>
                <w:webHidden/>
              </w:rPr>
              <w:fldChar w:fldCharType="end"/>
            </w:r>
          </w:hyperlink>
        </w:p>
        <w:p w14:paraId="34483C6B" w14:textId="77777777" w:rsidR="00851D0D" w:rsidRDefault="00976C8C">
          <w:pPr>
            <w:pStyle w:val="TOC1"/>
            <w:tabs>
              <w:tab w:val="right" w:leader="dot" w:pos="8296"/>
            </w:tabs>
            <w:rPr>
              <w:noProof/>
            </w:rPr>
          </w:pPr>
          <w:hyperlink w:anchor="_Toc45195080" w:history="1">
            <w:r w:rsidR="00851D0D" w:rsidRPr="00271674">
              <w:rPr>
                <w:rStyle w:val="a9"/>
                <w:rFonts w:ascii="Times New Roman" w:hAnsi="Times New Roman" w:cs="Times New Roman"/>
                <w:b/>
                <w:noProof/>
              </w:rPr>
              <w:t xml:space="preserve">Figure S12. Result of the first sensitivity analysis: associations of serum level of liver function biomarker with all-cause mortality among participants who were followed up </w:t>
            </w:r>
            <w:r w:rsidR="00851D0D" w:rsidRPr="00271674">
              <w:rPr>
                <w:rStyle w:val="a9"/>
                <w:rFonts w:ascii="Times New Roman" w:eastAsia="宋体" w:hAnsi="Times New Roman" w:cs="Times New Roman"/>
                <w:b/>
                <w:noProof/>
              </w:rPr>
              <w:t>≥</w:t>
            </w:r>
            <w:r w:rsidR="00851D0D" w:rsidRPr="00271674">
              <w:rPr>
                <w:rStyle w:val="a9"/>
                <w:rFonts w:ascii="Times New Roman" w:hAnsi="Times New Roman" w:cs="Times New Roman"/>
                <w:b/>
                <w:noProof/>
              </w:rPr>
              <w:t xml:space="preserve"> 36 months.</w:t>
            </w:r>
            <w:r w:rsidR="00851D0D">
              <w:rPr>
                <w:noProof/>
                <w:webHidden/>
              </w:rPr>
              <w:tab/>
            </w:r>
            <w:r w:rsidR="00851D0D">
              <w:rPr>
                <w:noProof/>
                <w:webHidden/>
              </w:rPr>
              <w:fldChar w:fldCharType="begin"/>
            </w:r>
            <w:r w:rsidR="00851D0D">
              <w:rPr>
                <w:noProof/>
                <w:webHidden/>
              </w:rPr>
              <w:instrText xml:space="preserve"> PAGEREF _Toc45195080 \h </w:instrText>
            </w:r>
            <w:r w:rsidR="00851D0D">
              <w:rPr>
                <w:noProof/>
                <w:webHidden/>
              </w:rPr>
            </w:r>
            <w:r w:rsidR="00851D0D">
              <w:rPr>
                <w:noProof/>
                <w:webHidden/>
              </w:rPr>
              <w:fldChar w:fldCharType="separate"/>
            </w:r>
            <w:r w:rsidR="008223AE">
              <w:rPr>
                <w:noProof/>
                <w:webHidden/>
              </w:rPr>
              <w:t>13</w:t>
            </w:r>
            <w:r w:rsidR="00851D0D">
              <w:rPr>
                <w:noProof/>
                <w:webHidden/>
              </w:rPr>
              <w:fldChar w:fldCharType="end"/>
            </w:r>
          </w:hyperlink>
        </w:p>
        <w:p w14:paraId="5242983B" w14:textId="77777777" w:rsidR="00851D0D" w:rsidRDefault="00976C8C">
          <w:pPr>
            <w:pStyle w:val="TOC1"/>
            <w:tabs>
              <w:tab w:val="right" w:leader="dot" w:pos="8296"/>
            </w:tabs>
            <w:rPr>
              <w:noProof/>
            </w:rPr>
          </w:pPr>
          <w:hyperlink w:anchor="_Toc45195081" w:history="1">
            <w:r w:rsidR="00851D0D" w:rsidRPr="00271674">
              <w:rPr>
                <w:rStyle w:val="a9"/>
                <w:rFonts w:ascii="Times New Roman" w:hAnsi="Times New Roman" w:cs="Times New Roman"/>
                <w:b/>
                <w:noProof/>
              </w:rPr>
              <w:t>Figure S13. Result of the second sensitivity analysis: associations of serum level of liver function biomarker with all-cause mortality among participants who were free of diabetes, cancer, heart diseases at the baseline.</w:t>
            </w:r>
            <w:r w:rsidR="00851D0D">
              <w:rPr>
                <w:noProof/>
                <w:webHidden/>
              </w:rPr>
              <w:tab/>
            </w:r>
            <w:r w:rsidR="00851D0D">
              <w:rPr>
                <w:noProof/>
                <w:webHidden/>
              </w:rPr>
              <w:fldChar w:fldCharType="begin"/>
            </w:r>
            <w:r w:rsidR="00851D0D">
              <w:rPr>
                <w:noProof/>
                <w:webHidden/>
              </w:rPr>
              <w:instrText xml:space="preserve"> PAGEREF _Toc45195081 \h </w:instrText>
            </w:r>
            <w:r w:rsidR="00851D0D">
              <w:rPr>
                <w:noProof/>
                <w:webHidden/>
              </w:rPr>
            </w:r>
            <w:r w:rsidR="00851D0D">
              <w:rPr>
                <w:noProof/>
                <w:webHidden/>
              </w:rPr>
              <w:fldChar w:fldCharType="separate"/>
            </w:r>
            <w:r w:rsidR="008223AE">
              <w:rPr>
                <w:noProof/>
                <w:webHidden/>
              </w:rPr>
              <w:t>13</w:t>
            </w:r>
            <w:r w:rsidR="00851D0D">
              <w:rPr>
                <w:noProof/>
                <w:webHidden/>
              </w:rPr>
              <w:fldChar w:fldCharType="end"/>
            </w:r>
          </w:hyperlink>
        </w:p>
        <w:p w14:paraId="5FD6F496" w14:textId="77777777" w:rsidR="00851D0D" w:rsidRDefault="00976C8C">
          <w:pPr>
            <w:pStyle w:val="TOC1"/>
            <w:tabs>
              <w:tab w:val="right" w:leader="dot" w:pos="8296"/>
            </w:tabs>
            <w:rPr>
              <w:noProof/>
            </w:rPr>
          </w:pPr>
          <w:hyperlink w:anchor="_Toc45195082" w:history="1">
            <w:r w:rsidR="00851D0D" w:rsidRPr="00271674">
              <w:rPr>
                <w:rStyle w:val="a9"/>
                <w:rFonts w:ascii="Times New Roman" w:hAnsi="Times New Roman" w:cs="Times New Roman"/>
                <w:b/>
                <w:noProof/>
              </w:rPr>
              <w:t xml:space="preserve">Figure S14. Result of the third sensitivity analysis: associations of serum level of liver function </w:t>
            </w:r>
            <w:r w:rsidR="00851D0D" w:rsidRPr="00271674">
              <w:rPr>
                <w:rStyle w:val="a9"/>
                <w:rFonts w:ascii="Times New Roman" w:hAnsi="Times New Roman" w:cs="Times New Roman"/>
                <w:b/>
                <w:noProof/>
              </w:rPr>
              <w:lastRenderedPageBreak/>
              <w:t>biomarker with all-cause mortality among participants from NHANES III.</w:t>
            </w:r>
            <w:r w:rsidR="00851D0D">
              <w:rPr>
                <w:noProof/>
                <w:webHidden/>
              </w:rPr>
              <w:tab/>
            </w:r>
            <w:r w:rsidR="00851D0D">
              <w:rPr>
                <w:noProof/>
                <w:webHidden/>
              </w:rPr>
              <w:fldChar w:fldCharType="begin"/>
            </w:r>
            <w:r w:rsidR="00851D0D">
              <w:rPr>
                <w:noProof/>
                <w:webHidden/>
              </w:rPr>
              <w:instrText xml:space="preserve"> PAGEREF _Toc45195082 \h </w:instrText>
            </w:r>
            <w:r w:rsidR="00851D0D">
              <w:rPr>
                <w:noProof/>
                <w:webHidden/>
              </w:rPr>
            </w:r>
            <w:r w:rsidR="00851D0D">
              <w:rPr>
                <w:noProof/>
                <w:webHidden/>
              </w:rPr>
              <w:fldChar w:fldCharType="separate"/>
            </w:r>
            <w:r w:rsidR="008223AE">
              <w:rPr>
                <w:noProof/>
                <w:webHidden/>
              </w:rPr>
              <w:t>14</w:t>
            </w:r>
            <w:r w:rsidR="00851D0D">
              <w:rPr>
                <w:noProof/>
                <w:webHidden/>
              </w:rPr>
              <w:fldChar w:fldCharType="end"/>
            </w:r>
          </w:hyperlink>
        </w:p>
        <w:p w14:paraId="54720093" w14:textId="77777777" w:rsidR="00851D0D" w:rsidRDefault="00976C8C">
          <w:pPr>
            <w:pStyle w:val="TOC1"/>
            <w:tabs>
              <w:tab w:val="right" w:leader="dot" w:pos="8296"/>
            </w:tabs>
            <w:rPr>
              <w:noProof/>
            </w:rPr>
          </w:pPr>
          <w:hyperlink w:anchor="_Toc45195083" w:history="1">
            <w:r w:rsidR="00851D0D" w:rsidRPr="00271674">
              <w:rPr>
                <w:rStyle w:val="a9"/>
                <w:rFonts w:ascii="Times New Roman" w:hAnsi="Times New Roman" w:cs="Times New Roman"/>
                <w:b/>
                <w:noProof/>
              </w:rPr>
              <w:t>Figure S15. Result of the third sensitivity analysis: associations of serum level of liver function biomarker with all-cause mortality among participants from NHANES 1999-2014.</w:t>
            </w:r>
            <w:r w:rsidR="00851D0D">
              <w:rPr>
                <w:noProof/>
                <w:webHidden/>
              </w:rPr>
              <w:tab/>
            </w:r>
            <w:r w:rsidR="00851D0D">
              <w:rPr>
                <w:noProof/>
                <w:webHidden/>
              </w:rPr>
              <w:fldChar w:fldCharType="begin"/>
            </w:r>
            <w:r w:rsidR="00851D0D">
              <w:rPr>
                <w:noProof/>
                <w:webHidden/>
              </w:rPr>
              <w:instrText xml:space="preserve"> PAGEREF _Toc45195083 \h </w:instrText>
            </w:r>
            <w:r w:rsidR="00851D0D">
              <w:rPr>
                <w:noProof/>
                <w:webHidden/>
              </w:rPr>
            </w:r>
            <w:r w:rsidR="00851D0D">
              <w:rPr>
                <w:noProof/>
                <w:webHidden/>
              </w:rPr>
              <w:fldChar w:fldCharType="separate"/>
            </w:r>
            <w:r w:rsidR="008223AE">
              <w:rPr>
                <w:noProof/>
                <w:webHidden/>
              </w:rPr>
              <w:t>14</w:t>
            </w:r>
            <w:r w:rsidR="00851D0D">
              <w:rPr>
                <w:noProof/>
                <w:webHidden/>
              </w:rPr>
              <w:fldChar w:fldCharType="end"/>
            </w:r>
          </w:hyperlink>
        </w:p>
        <w:p w14:paraId="348CD853" w14:textId="77777777" w:rsidR="00851D0D" w:rsidRDefault="00976C8C">
          <w:pPr>
            <w:pStyle w:val="TOC1"/>
            <w:tabs>
              <w:tab w:val="right" w:leader="dot" w:pos="8296"/>
            </w:tabs>
            <w:rPr>
              <w:noProof/>
            </w:rPr>
          </w:pPr>
          <w:hyperlink w:anchor="_Toc45195084" w:history="1">
            <w:r w:rsidR="00851D0D" w:rsidRPr="00271674">
              <w:rPr>
                <w:rStyle w:val="a9"/>
                <w:rFonts w:ascii="Times New Roman" w:hAnsi="Times New Roman" w:cs="Times New Roman"/>
                <w:b/>
                <w:noProof/>
              </w:rPr>
              <w:t>Figure S16. Result of the fourth sensitivity analysis: associations of serum level of liver function biomarker with all-cause mortality based on complete models.</w:t>
            </w:r>
            <w:r w:rsidR="00851D0D">
              <w:rPr>
                <w:noProof/>
                <w:webHidden/>
              </w:rPr>
              <w:tab/>
            </w:r>
            <w:r w:rsidR="00851D0D">
              <w:rPr>
                <w:noProof/>
                <w:webHidden/>
              </w:rPr>
              <w:fldChar w:fldCharType="begin"/>
            </w:r>
            <w:r w:rsidR="00851D0D">
              <w:rPr>
                <w:noProof/>
                <w:webHidden/>
              </w:rPr>
              <w:instrText xml:space="preserve"> PAGEREF _Toc45195084 \h </w:instrText>
            </w:r>
            <w:r w:rsidR="00851D0D">
              <w:rPr>
                <w:noProof/>
                <w:webHidden/>
              </w:rPr>
            </w:r>
            <w:r w:rsidR="00851D0D">
              <w:rPr>
                <w:noProof/>
                <w:webHidden/>
              </w:rPr>
              <w:fldChar w:fldCharType="separate"/>
            </w:r>
            <w:r w:rsidR="008223AE">
              <w:rPr>
                <w:noProof/>
                <w:webHidden/>
              </w:rPr>
              <w:t>15</w:t>
            </w:r>
            <w:r w:rsidR="00851D0D">
              <w:rPr>
                <w:noProof/>
                <w:webHidden/>
              </w:rPr>
              <w:fldChar w:fldCharType="end"/>
            </w:r>
          </w:hyperlink>
        </w:p>
        <w:p w14:paraId="1A53C896" w14:textId="77777777" w:rsidR="00851D0D" w:rsidRDefault="00976C8C">
          <w:pPr>
            <w:pStyle w:val="TOC1"/>
            <w:tabs>
              <w:tab w:val="right" w:leader="dot" w:pos="8296"/>
            </w:tabs>
            <w:rPr>
              <w:noProof/>
            </w:rPr>
          </w:pPr>
          <w:hyperlink w:anchor="_Toc45195085" w:history="1">
            <w:r w:rsidR="00851D0D" w:rsidRPr="00271674">
              <w:rPr>
                <w:rStyle w:val="a9"/>
                <w:rFonts w:ascii="Times New Roman" w:hAnsi="Times New Roman" w:cs="Times New Roman"/>
                <w:b/>
                <w:noProof/>
              </w:rPr>
              <w:t>Figure S17. Result of the fifth sensitivity analysis: associations of serum level of liver function biomarker with all-cause mortality among participants aged &lt; 60 years.</w:t>
            </w:r>
            <w:r w:rsidR="00851D0D">
              <w:rPr>
                <w:noProof/>
                <w:webHidden/>
              </w:rPr>
              <w:tab/>
            </w:r>
            <w:r w:rsidR="00851D0D">
              <w:rPr>
                <w:noProof/>
                <w:webHidden/>
              </w:rPr>
              <w:fldChar w:fldCharType="begin"/>
            </w:r>
            <w:r w:rsidR="00851D0D">
              <w:rPr>
                <w:noProof/>
                <w:webHidden/>
              </w:rPr>
              <w:instrText xml:space="preserve"> PAGEREF _Toc45195085 \h </w:instrText>
            </w:r>
            <w:r w:rsidR="00851D0D">
              <w:rPr>
                <w:noProof/>
                <w:webHidden/>
              </w:rPr>
            </w:r>
            <w:r w:rsidR="00851D0D">
              <w:rPr>
                <w:noProof/>
                <w:webHidden/>
              </w:rPr>
              <w:fldChar w:fldCharType="separate"/>
            </w:r>
            <w:r w:rsidR="008223AE">
              <w:rPr>
                <w:noProof/>
                <w:webHidden/>
              </w:rPr>
              <w:t>15</w:t>
            </w:r>
            <w:r w:rsidR="00851D0D">
              <w:rPr>
                <w:noProof/>
                <w:webHidden/>
              </w:rPr>
              <w:fldChar w:fldCharType="end"/>
            </w:r>
          </w:hyperlink>
        </w:p>
        <w:p w14:paraId="1B42F391" w14:textId="77777777" w:rsidR="00851D0D" w:rsidRDefault="00976C8C">
          <w:pPr>
            <w:pStyle w:val="TOC1"/>
            <w:tabs>
              <w:tab w:val="right" w:leader="dot" w:pos="8296"/>
            </w:tabs>
            <w:rPr>
              <w:noProof/>
            </w:rPr>
          </w:pPr>
          <w:hyperlink w:anchor="_Toc45195086" w:history="1">
            <w:r w:rsidR="00851D0D" w:rsidRPr="00271674">
              <w:rPr>
                <w:rStyle w:val="a9"/>
                <w:rFonts w:ascii="Times New Roman" w:hAnsi="Times New Roman" w:cs="Times New Roman"/>
                <w:b/>
                <w:noProof/>
              </w:rPr>
              <w:t>Figure S18. Result of the fifth sensitivity analysis: associations of serum level of liver function biomarker with all-cause mortality among participants aged &gt;= 60 years.</w:t>
            </w:r>
            <w:r w:rsidR="00851D0D">
              <w:rPr>
                <w:noProof/>
                <w:webHidden/>
              </w:rPr>
              <w:tab/>
            </w:r>
            <w:r w:rsidR="00851D0D">
              <w:rPr>
                <w:noProof/>
                <w:webHidden/>
              </w:rPr>
              <w:fldChar w:fldCharType="begin"/>
            </w:r>
            <w:r w:rsidR="00851D0D">
              <w:rPr>
                <w:noProof/>
                <w:webHidden/>
              </w:rPr>
              <w:instrText xml:space="preserve"> PAGEREF _Toc45195086 \h </w:instrText>
            </w:r>
            <w:r w:rsidR="00851D0D">
              <w:rPr>
                <w:noProof/>
                <w:webHidden/>
              </w:rPr>
            </w:r>
            <w:r w:rsidR="00851D0D">
              <w:rPr>
                <w:noProof/>
                <w:webHidden/>
              </w:rPr>
              <w:fldChar w:fldCharType="separate"/>
            </w:r>
            <w:r w:rsidR="008223AE">
              <w:rPr>
                <w:noProof/>
                <w:webHidden/>
              </w:rPr>
              <w:t>16</w:t>
            </w:r>
            <w:r w:rsidR="00851D0D">
              <w:rPr>
                <w:noProof/>
                <w:webHidden/>
              </w:rPr>
              <w:fldChar w:fldCharType="end"/>
            </w:r>
          </w:hyperlink>
        </w:p>
        <w:p w14:paraId="7286C9AE" w14:textId="77777777" w:rsidR="00851D0D" w:rsidRDefault="00976C8C">
          <w:pPr>
            <w:pStyle w:val="TOC1"/>
            <w:tabs>
              <w:tab w:val="right" w:leader="dot" w:pos="8296"/>
            </w:tabs>
            <w:rPr>
              <w:noProof/>
            </w:rPr>
          </w:pPr>
          <w:hyperlink w:anchor="_Toc45195087" w:history="1">
            <w:r w:rsidR="00851D0D" w:rsidRPr="00271674">
              <w:rPr>
                <w:rStyle w:val="a9"/>
                <w:rFonts w:ascii="Times New Roman" w:hAnsi="Times New Roman" w:cs="Times New Roman"/>
                <w:b/>
                <w:noProof/>
              </w:rPr>
              <w:t>Figure S19. Result of the sixth sensitivity analysis: associations of serum level of liver function biomarker with all-cause mortality among participants whose serum level of biomarkers were within 1-99% quantile.</w:t>
            </w:r>
            <w:r w:rsidR="00851D0D">
              <w:rPr>
                <w:noProof/>
                <w:webHidden/>
              </w:rPr>
              <w:tab/>
            </w:r>
            <w:r w:rsidR="00851D0D">
              <w:rPr>
                <w:noProof/>
                <w:webHidden/>
              </w:rPr>
              <w:fldChar w:fldCharType="begin"/>
            </w:r>
            <w:r w:rsidR="00851D0D">
              <w:rPr>
                <w:noProof/>
                <w:webHidden/>
              </w:rPr>
              <w:instrText xml:space="preserve"> PAGEREF _Toc45195087 \h </w:instrText>
            </w:r>
            <w:r w:rsidR="00851D0D">
              <w:rPr>
                <w:noProof/>
                <w:webHidden/>
              </w:rPr>
            </w:r>
            <w:r w:rsidR="00851D0D">
              <w:rPr>
                <w:noProof/>
                <w:webHidden/>
              </w:rPr>
              <w:fldChar w:fldCharType="separate"/>
            </w:r>
            <w:r w:rsidR="008223AE">
              <w:rPr>
                <w:noProof/>
                <w:webHidden/>
              </w:rPr>
              <w:t>16</w:t>
            </w:r>
            <w:r w:rsidR="00851D0D">
              <w:rPr>
                <w:noProof/>
                <w:webHidden/>
              </w:rPr>
              <w:fldChar w:fldCharType="end"/>
            </w:r>
          </w:hyperlink>
        </w:p>
        <w:p w14:paraId="37F40768" w14:textId="77777777" w:rsidR="008918B0" w:rsidRPr="001D05B8" w:rsidRDefault="008918B0">
          <w:r>
            <w:rPr>
              <w:b/>
              <w:bCs/>
              <w:lang w:val="zh-CN"/>
            </w:rPr>
            <w:fldChar w:fldCharType="end"/>
          </w:r>
        </w:p>
      </w:sdtContent>
    </w:sdt>
    <w:p w14:paraId="27CCE98A" w14:textId="77777777" w:rsidR="008223AE" w:rsidRDefault="008223AE" w:rsidP="004C00D0">
      <w:pPr>
        <w:outlineLvl w:val="0"/>
        <w:rPr>
          <w:rFonts w:ascii="Times New Roman" w:hAnsi="Times New Roman" w:cs="Times New Roman"/>
          <w:b/>
        </w:rPr>
        <w:sectPr w:rsidR="008223AE">
          <w:footerReference w:type="default" r:id="rId8"/>
          <w:pgSz w:w="11906" w:h="16838"/>
          <w:pgMar w:top="1440" w:right="1800" w:bottom="1440" w:left="1800" w:header="851" w:footer="992" w:gutter="0"/>
          <w:cols w:space="425"/>
          <w:docGrid w:type="lines" w:linePitch="312"/>
        </w:sectPr>
      </w:pPr>
      <w:bookmarkStart w:id="0" w:name="_Toc45195064"/>
    </w:p>
    <w:p w14:paraId="7B2814EB" w14:textId="77777777" w:rsidR="00BC178C" w:rsidRPr="00BC178C" w:rsidRDefault="00BC178C" w:rsidP="004C00D0">
      <w:pPr>
        <w:outlineLvl w:val="0"/>
        <w:rPr>
          <w:rFonts w:ascii="Times New Roman" w:hAnsi="Times New Roman" w:cs="Times New Roman"/>
          <w:b/>
        </w:rPr>
      </w:pPr>
      <w:r w:rsidRPr="00BC178C">
        <w:rPr>
          <w:rFonts w:ascii="Times New Roman" w:hAnsi="Times New Roman" w:cs="Times New Roman"/>
          <w:b/>
        </w:rPr>
        <w:lastRenderedPageBreak/>
        <w:t>Box</w:t>
      </w:r>
      <w:r w:rsidR="00824890">
        <w:rPr>
          <w:rFonts w:ascii="Times New Roman" w:hAnsi="Times New Roman" w:cs="Times New Roman"/>
          <w:b/>
        </w:rPr>
        <w:t xml:space="preserve"> 1. The processed procedures of six liver function biomarkers in the NHANES.</w:t>
      </w:r>
      <w:bookmarkEnd w:id="0"/>
    </w:p>
    <w:tbl>
      <w:tblPr>
        <w:tblStyle w:val="a7"/>
        <w:tblW w:w="0" w:type="auto"/>
        <w:tblLook w:val="04A0" w:firstRow="1" w:lastRow="0" w:firstColumn="1" w:lastColumn="0" w:noHBand="0" w:noVBand="1"/>
      </w:tblPr>
      <w:tblGrid>
        <w:gridCol w:w="8296"/>
      </w:tblGrid>
      <w:tr w:rsidR="00BC178C" w:rsidRPr="00BC178C" w14:paraId="2392B48D" w14:textId="77777777" w:rsidTr="00BC178C">
        <w:tc>
          <w:tcPr>
            <w:tcW w:w="8296" w:type="dxa"/>
          </w:tcPr>
          <w:p w14:paraId="4BB767A4" w14:textId="77777777" w:rsidR="00BC178C" w:rsidRPr="00BC178C" w:rsidRDefault="00BC178C" w:rsidP="00BC178C">
            <w:pPr>
              <w:rPr>
                <w:rFonts w:ascii="Times New Roman" w:hAnsi="Times New Roman" w:cs="Times New Roman"/>
                <w:b/>
              </w:rPr>
            </w:pPr>
            <w:r w:rsidRPr="00BC178C">
              <w:rPr>
                <w:rFonts w:ascii="Times New Roman" w:hAnsi="Times New Roman" w:cs="Times New Roman"/>
                <w:b/>
              </w:rPr>
              <w:t>Description of Laboratory Methodology</w:t>
            </w:r>
          </w:p>
          <w:p w14:paraId="560FEA8C" w14:textId="77777777" w:rsidR="00851D0D" w:rsidRDefault="00851D0D" w:rsidP="00BC178C">
            <w:pPr>
              <w:rPr>
                <w:rFonts w:ascii="Times New Roman" w:hAnsi="Times New Roman" w:cs="Times New Roman"/>
              </w:rPr>
            </w:pPr>
            <w:r w:rsidRPr="00851D0D">
              <w:rPr>
                <w:rFonts w:ascii="Times New Roman" w:hAnsi="Times New Roman" w:cs="Times New Roman"/>
              </w:rPr>
              <w:t xml:space="preserve">Serum specimens were processed, stored, and shipped to the Collaborative Laboratory Services for analysis. Detailed specimen collection and processing instructions are discussed in the NHANES Laboratory/Medical Technologists Procedures Manual (LPM). Vials were stored under appropriate frozen (–30°C) conditions until they were shipped to the National Center for Environmental Health for testing. For routine biochemistry profiling, the analyses were performed using a Beckman </w:t>
            </w:r>
            <w:proofErr w:type="spellStart"/>
            <w:r w:rsidRPr="00851D0D">
              <w:rPr>
                <w:rFonts w:ascii="Times New Roman" w:hAnsi="Times New Roman" w:cs="Times New Roman"/>
              </w:rPr>
              <w:t>Synchron</w:t>
            </w:r>
            <w:proofErr w:type="spellEnd"/>
            <w:r w:rsidRPr="00851D0D">
              <w:rPr>
                <w:rFonts w:ascii="Times New Roman" w:hAnsi="Times New Roman" w:cs="Times New Roman"/>
              </w:rPr>
              <w:t xml:space="preserve"> LX20 and Beckman </w:t>
            </w:r>
            <w:proofErr w:type="spellStart"/>
            <w:r w:rsidRPr="00851D0D">
              <w:rPr>
                <w:rFonts w:ascii="Times New Roman" w:hAnsi="Times New Roman" w:cs="Times New Roman"/>
              </w:rPr>
              <w:t>UniCel</w:t>
            </w:r>
            <w:proofErr w:type="spellEnd"/>
            <w:r w:rsidRPr="00851D0D">
              <w:rPr>
                <w:rFonts w:ascii="Times New Roman" w:hAnsi="Times New Roman" w:cs="Times New Roman"/>
              </w:rPr>
              <w:t xml:space="preserve">® DxC800 </w:t>
            </w:r>
            <w:proofErr w:type="spellStart"/>
            <w:r w:rsidRPr="00851D0D">
              <w:rPr>
                <w:rFonts w:ascii="Times New Roman" w:hAnsi="Times New Roman" w:cs="Times New Roman"/>
              </w:rPr>
              <w:t>Synchron</w:t>
            </w:r>
            <w:proofErr w:type="spellEnd"/>
            <w:r w:rsidRPr="00851D0D">
              <w:rPr>
                <w:rFonts w:ascii="Times New Roman" w:hAnsi="Times New Roman" w:cs="Times New Roman"/>
              </w:rPr>
              <w:t>.</w:t>
            </w:r>
          </w:p>
          <w:p w14:paraId="3BA5F33F" w14:textId="77777777" w:rsidR="00851D0D" w:rsidRDefault="00851D0D" w:rsidP="00BC178C">
            <w:pPr>
              <w:rPr>
                <w:rFonts w:ascii="Times New Roman" w:hAnsi="Times New Roman" w:cs="Times New Roman"/>
              </w:rPr>
            </w:pPr>
          </w:p>
          <w:p w14:paraId="6871916D"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1. Alanine Aminotransferase (ALT)</w:t>
            </w:r>
          </w:p>
          <w:p w14:paraId="67E4DEC2"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The DxC800 uses a kinetic rate method to measure ALT activity in serum or plasma. In the reaction, ALT catalyzes the reversible transamination of L-alanine and a-ketoglutarate to pyruvate and L-glutamate. The pyruvate is then reduced to lactate in the presence of lactate dehydrogenase (LDH) with the concurrent oxidation of NADH to NAD. The system monitors the rate of change in absorbance at 340 nm over a fixed-time interval. The rate of change in absorbance is directly proportional to the ALT activity in the sample.</w:t>
            </w:r>
          </w:p>
          <w:p w14:paraId="5242A259" w14:textId="77777777" w:rsidR="00BC178C" w:rsidRPr="00BC178C" w:rsidRDefault="00BC178C" w:rsidP="00BC178C">
            <w:pPr>
              <w:rPr>
                <w:rFonts w:ascii="Times New Roman" w:hAnsi="Times New Roman" w:cs="Times New Roman"/>
              </w:rPr>
            </w:pPr>
          </w:p>
          <w:p w14:paraId="615B236C"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 xml:space="preserve">2. Aspartate Aminotransferase (AST) </w:t>
            </w:r>
          </w:p>
          <w:p w14:paraId="006AC014"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The DxC800 uses an enzymatic rate method to measure the AST activity in serum or plasma. In the reaction, the AST catalyzes the reversible transamination of L-aspartate and a-ketoglutarate to oxaloacetate and L-glutamate. The oxaloacetate is then reduced to malate in the presence of malate dehydrogenase with the concurrent oxidation of NADH to NAD. The system monitors the rate of change in absorbance at 340 nm over a fixed-time interval. The rate of change in absorbance is directly proportional to the AST activity in the sample.</w:t>
            </w:r>
          </w:p>
          <w:p w14:paraId="1A576A94" w14:textId="77777777" w:rsidR="00BC178C" w:rsidRPr="00BC178C" w:rsidRDefault="00BC178C" w:rsidP="00BC178C">
            <w:pPr>
              <w:rPr>
                <w:rFonts w:ascii="Times New Roman" w:hAnsi="Times New Roman" w:cs="Times New Roman"/>
              </w:rPr>
            </w:pPr>
          </w:p>
          <w:p w14:paraId="26A062CB"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 xml:space="preserve">3. </w:t>
            </w:r>
            <w:proofErr w:type="spellStart"/>
            <w:r w:rsidRPr="00BC178C">
              <w:rPr>
                <w:rFonts w:ascii="Times New Roman" w:hAnsi="Times New Roman" w:cs="Times New Roman"/>
              </w:rPr>
              <w:t>Gammaglutamyl</w:t>
            </w:r>
            <w:proofErr w:type="spellEnd"/>
            <w:r w:rsidRPr="00BC178C">
              <w:rPr>
                <w:rFonts w:ascii="Times New Roman" w:hAnsi="Times New Roman" w:cs="Times New Roman"/>
              </w:rPr>
              <w:t xml:space="preserve"> Transaminase (GGT)</w:t>
            </w:r>
          </w:p>
          <w:p w14:paraId="71FADF78"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The DxC800 uses an enzymatic rate method to determine the GGT activity in serum or plasma. In the reaction, the GGT catalyzes the transfer of a gamma-glutamyl group from the colorless substrate, gamma-glutamyl-p-nitroaniline, to the acceptor, glycylglycine with production of the colored product, p-nitroaniline. The system monitors the rate of change in absorbance at 410 nm over a fixed-time interval. The rate of change in absorbance is directly proportional to the activity of GGT in the sample.</w:t>
            </w:r>
          </w:p>
          <w:p w14:paraId="405BFF5C" w14:textId="77777777" w:rsidR="00BC178C" w:rsidRPr="00BC178C" w:rsidRDefault="00BC178C" w:rsidP="00BC178C">
            <w:pPr>
              <w:rPr>
                <w:rFonts w:ascii="Times New Roman" w:hAnsi="Times New Roman" w:cs="Times New Roman"/>
              </w:rPr>
            </w:pPr>
          </w:p>
          <w:p w14:paraId="246038ED"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4. Alkaline Phosphatase (ALP)</w:t>
            </w:r>
          </w:p>
          <w:p w14:paraId="1A74A109"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The DxC800 system uses a kinetic rate method using a 2-Amino-2-Methyl-1-Propanol (AMP) buffer to measure ALP activity in serum or plasma. In the reaction, the ALP catalyzes the hydrolysis of the colorless organic phosphate ester substrate, p-</w:t>
            </w:r>
            <w:proofErr w:type="spellStart"/>
            <w:r w:rsidRPr="00BC178C">
              <w:rPr>
                <w:rFonts w:ascii="Times New Roman" w:hAnsi="Times New Roman" w:cs="Times New Roman"/>
              </w:rPr>
              <w:t>Nitrophenylphosphate</w:t>
            </w:r>
            <w:proofErr w:type="spellEnd"/>
            <w:r w:rsidRPr="00BC178C">
              <w:rPr>
                <w:rFonts w:ascii="Times New Roman" w:hAnsi="Times New Roman" w:cs="Times New Roman"/>
              </w:rPr>
              <w:t>, to the yellow colored product p-Nitrophenol and phosphate. This reaction occurs at an alkaline pH of 10.3. The system monitors the rate of change in absorbance at 410 nm over a fixed-time interval. This rate of change in absorbance is directly proportional to the ALP activity in the serum.</w:t>
            </w:r>
          </w:p>
          <w:p w14:paraId="07528DF2" w14:textId="77777777" w:rsidR="00BC178C" w:rsidRPr="00BC178C" w:rsidRDefault="00BC178C" w:rsidP="00BC178C">
            <w:pPr>
              <w:rPr>
                <w:rFonts w:ascii="Times New Roman" w:hAnsi="Times New Roman" w:cs="Times New Roman"/>
              </w:rPr>
            </w:pPr>
          </w:p>
          <w:p w14:paraId="051C2ED2"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 xml:space="preserve">5. Total Bilirubin </w:t>
            </w:r>
          </w:p>
          <w:p w14:paraId="253CE0B8"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The DxC800 uses a timed-endpoint Diazo method (</w:t>
            </w:r>
            <w:proofErr w:type="spellStart"/>
            <w:r w:rsidRPr="00BC178C">
              <w:rPr>
                <w:rFonts w:ascii="Times New Roman" w:hAnsi="Times New Roman" w:cs="Times New Roman"/>
              </w:rPr>
              <w:t>Jendrassik-Grof</w:t>
            </w:r>
            <w:proofErr w:type="spellEnd"/>
            <w:r w:rsidRPr="00BC178C">
              <w:rPr>
                <w:rFonts w:ascii="Times New Roman" w:hAnsi="Times New Roman" w:cs="Times New Roman"/>
              </w:rPr>
              <w:t xml:space="preserve">) to measure the concentration of total bilirubin in serum or plasma. In the reaction, bilirubin reacts with diazo </w:t>
            </w:r>
            <w:r w:rsidRPr="00BC178C">
              <w:rPr>
                <w:rFonts w:ascii="Times New Roman" w:hAnsi="Times New Roman" w:cs="Times New Roman"/>
              </w:rPr>
              <w:lastRenderedPageBreak/>
              <w:t>reagent in the presence of caffeine, benzoate, and acetate as accelerators to form azobilirubin. The system monitors the change in absorbance at 520 nm at a fixed-time interval. This change in absorbance is directly proportional to the concentration of total bilirubin in the sample.</w:t>
            </w:r>
          </w:p>
          <w:p w14:paraId="2B85AFB0" w14:textId="77777777" w:rsidR="00BC178C" w:rsidRPr="00BC178C" w:rsidRDefault="00BC178C" w:rsidP="00BC178C">
            <w:pPr>
              <w:rPr>
                <w:rFonts w:ascii="Times New Roman" w:hAnsi="Times New Roman" w:cs="Times New Roman"/>
              </w:rPr>
            </w:pPr>
          </w:p>
          <w:p w14:paraId="42B1B94C" w14:textId="77777777" w:rsidR="00BC178C" w:rsidRPr="00BC178C" w:rsidRDefault="00BC178C" w:rsidP="00BC178C">
            <w:pPr>
              <w:rPr>
                <w:rFonts w:ascii="Times New Roman" w:hAnsi="Times New Roman" w:cs="Times New Roman"/>
              </w:rPr>
            </w:pPr>
            <w:r w:rsidRPr="00BC178C">
              <w:rPr>
                <w:rFonts w:ascii="Times New Roman" w:hAnsi="Times New Roman" w:cs="Times New Roman"/>
              </w:rPr>
              <w:t>6. Albumin</w:t>
            </w:r>
          </w:p>
          <w:p w14:paraId="371E6197" w14:textId="77777777" w:rsidR="00BC178C" w:rsidRPr="00BC178C" w:rsidRDefault="00BC178C">
            <w:pPr>
              <w:rPr>
                <w:rFonts w:ascii="Times New Roman" w:hAnsi="Times New Roman" w:cs="Times New Roman"/>
              </w:rPr>
            </w:pPr>
            <w:r w:rsidRPr="00BC178C">
              <w:rPr>
                <w:rFonts w:ascii="Times New Roman" w:hAnsi="Times New Roman" w:cs="Times New Roman"/>
              </w:rPr>
              <w:t xml:space="preserve">The DcX800 method is used to measure the albumin concentration as a </w:t>
            </w:r>
            <w:proofErr w:type="spellStart"/>
            <w:r w:rsidRPr="00BC178C">
              <w:rPr>
                <w:rFonts w:ascii="Times New Roman" w:hAnsi="Times New Roman" w:cs="Times New Roman"/>
              </w:rPr>
              <w:t>bichromatic</w:t>
            </w:r>
            <w:proofErr w:type="spellEnd"/>
            <w:r w:rsidRPr="00BC178C">
              <w:rPr>
                <w:rFonts w:ascii="Times New Roman" w:hAnsi="Times New Roman" w:cs="Times New Roman"/>
              </w:rPr>
              <w:t xml:space="preserve"> digital endpoint method. In the reaction, the albumin combines with </w:t>
            </w:r>
            <w:proofErr w:type="spellStart"/>
            <w:r w:rsidRPr="00BC178C">
              <w:rPr>
                <w:rFonts w:ascii="Times New Roman" w:hAnsi="Times New Roman" w:cs="Times New Roman"/>
              </w:rPr>
              <w:t>Bromcresol</w:t>
            </w:r>
            <w:proofErr w:type="spellEnd"/>
            <w:r w:rsidRPr="00BC178C">
              <w:rPr>
                <w:rFonts w:ascii="Times New Roman" w:hAnsi="Times New Roman" w:cs="Times New Roman"/>
              </w:rPr>
              <w:t xml:space="preserve"> Purple (BCP) reagent to form a complex. The system monitors the change in absorbance at 600 nm. The change in absorbance is directly proportional to the concentration of albumin in the sample.</w:t>
            </w:r>
          </w:p>
        </w:tc>
      </w:tr>
    </w:tbl>
    <w:p w14:paraId="4E253EC4" w14:textId="77777777" w:rsidR="00BC178C" w:rsidRPr="00BC178C" w:rsidRDefault="00BC178C">
      <w:pPr>
        <w:rPr>
          <w:rFonts w:ascii="Times New Roman" w:hAnsi="Times New Roman" w:cs="Times New Roman"/>
          <w:b/>
        </w:rPr>
      </w:pPr>
    </w:p>
    <w:p w14:paraId="05E5D23A" w14:textId="77777777" w:rsidR="00BC178C" w:rsidRPr="00862757" w:rsidRDefault="00862757" w:rsidP="004C00D0">
      <w:pPr>
        <w:outlineLvl w:val="0"/>
        <w:rPr>
          <w:rFonts w:ascii="Times New Roman" w:hAnsi="Times New Roman" w:cs="Times New Roman"/>
          <w:b/>
        </w:rPr>
      </w:pPr>
      <w:bookmarkStart w:id="1" w:name="_Toc45195065"/>
      <w:r w:rsidRPr="00862757">
        <w:rPr>
          <w:rFonts w:ascii="Times New Roman" w:hAnsi="Times New Roman" w:cs="Times New Roman" w:hint="eastAsia"/>
          <w:b/>
        </w:rPr>
        <w:t>B</w:t>
      </w:r>
      <w:r w:rsidRPr="00862757">
        <w:rPr>
          <w:rFonts w:ascii="Times New Roman" w:hAnsi="Times New Roman" w:cs="Times New Roman"/>
          <w:b/>
        </w:rPr>
        <w:t>ox 2. The mathematical details of additive Cox model.</w:t>
      </w:r>
      <w:bookmarkEnd w:id="1"/>
    </w:p>
    <w:tbl>
      <w:tblPr>
        <w:tblStyle w:val="a7"/>
        <w:tblW w:w="0" w:type="auto"/>
        <w:tblLook w:val="04A0" w:firstRow="1" w:lastRow="0" w:firstColumn="1" w:lastColumn="0" w:noHBand="0" w:noVBand="1"/>
      </w:tblPr>
      <w:tblGrid>
        <w:gridCol w:w="8296"/>
      </w:tblGrid>
      <w:tr w:rsidR="00862757" w14:paraId="03F2C804" w14:textId="77777777" w:rsidTr="00862757">
        <w:tc>
          <w:tcPr>
            <w:tcW w:w="8296" w:type="dxa"/>
          </w:tcPr>
          <w:p w14:paraId="5CBEB98F" w14:textId="77777777" w:rsidR="00862757" w:rsidRDefault="00862757" w:rsidP="00862757">
            <w:pPr>
              <w:rPr>
                <w:rFonts w:ascii="Times New Roman" w:hAnsi="Times New Roman" w:cs="Times New Roman"/>
              </w:rPr>
            </w:pPr>
            <w:r>
              <w:rPr>
                <w:rFonts w:ascii="Times New Roman" w:hAnsi="Times New Roman" w:cs="Times New Roman"/>
              </w:rPr>
              <w:t>Traditionally, the Cox model assumes that the hazard function can be written as:</w:t>
            </w:r>
          </w:p>
          <w:p w14:paraId="1BE18F86" w14:textId="77777777" w:rsidR="00862757" w:rsidRDefault="00862757">
            <w:pPr>
              <w:rPr>
                <w:rFonts w:ascii="Times New Roman" w:hAnsi="Times New Roman" w:cs="Times New Roman"/>
              </w:rPr>
            </w:pPr>
            <m:oMath>
              <m:r>
                <w:rPr>
                  <w:rFonts w:ascii="Cambria Math" w:hAnsi="Cambria Math" w:cs="Times New Roman"/>
                  <w:sz w:val="24"/>
                  <w:szCs w:val="24"/>
                </w:rPr>
                <m:t>α</m:t>
              </m:r>
              <m:d>
                <m:dPr>
                  <m:ctrlPr>
                    <w:rPr>
                      <w:rFonts w:ascii="Cambria Math" w:hAnsi="Cambria Math" w:cs="Times New Roman"/>
                      <w:sz w:val="24"/>
                      <w:szCs w:val="24"/>
                    </w:rPr>
                  </m:ctrlPr>
                </m:dPr>
                <m:e>
                  <m:r>
                    <w:rPr>
                      <w:rFonts w:ascii="Cambria Math" w:hAnsi="Cambria Math" w:cs="Times New Roman"/>
                      <w:sz w:val="24"/>
                      <w:szCs w:val="24"/>
                    </w:rPr>
                    <m:t>t;Z</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r>
                <w:rPr>
                  <w:rFonts w:ascii="Cambria Math" w:hAnsi="Cambria Math" w:cs="Times New Roman"/>
                  <w:sz w:val="24"/>
                  <w:szCs w:val="24"/>
                </w:rPr>
                <m:t>(t)exp</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β</m:t>
                      </m:r>
                    </m:e>
                    <m:sup>
                      <m:r>
                        <w:rPr>
                          <w:rFonts w:ascii="Cambria Math" w:hAnsi="Cambria Math" w:cs="Times New Roman"/>
                          <w:sz w:val="24"/>
                          <w:szCs w:val="24"/>
                        </w:rPr>
                        <m:t>T</m:t>
                      </m:r>
                    </m:sup>
                  </m:sSup>
                  <m:r>
                    <w:rPr>
                      <w:rFonts w:ascii="Cambria Math" w:hAnsi="Cambria Math" w:cs="Times New Roman"/>
                      <w:sz w:val="24"/>
                      <w:szCs w:val="24"/>
                    </w:rPr>
                    <m:t>Z</m:t>
                  </m:r>
                </m:e>
              </m:d>
            </m:oMath>
            <w:r w:rsidR="005469F3">
              <w:rPr>
                <w:rFonts w:ascii="Times New Roman" w:hAnsi="Times New Roman" w:cs="Times New Roman" w:hint="eastAsia"/>
                <w:sz w:val="24"/>
                <w:szCs w:val="24"/>
              </w:rPr>
              <w:t>,</w:t>
            </w:r>
          </w:p>
          <w:p w14:paraId="374BC2B9" w14:textId="77777777" w:rsidR="00862757" w:rsidRDefault="00862757" w:rsidP="00862757">
            <w:pPr>
              <w:rPr>
                <w:rFonts w:ascii="Times New Roman" w:hAnsi="Times New Roman" w:cs="Times New Roman"/>
              </w:rPr>
            </w:pPr>
            <w:r w:rsidRPr="00862757">
              <w:rPr>
                <w:rFonts w:ascii="Times New Roman" w:hAnsi="Times New Roman" w:cs="Times New Roman"/>
              </w:rPr>
              <w:t xml:space="preserve">where </w:t>
            </w:r>
            <w:r w:rsidRPr="00862757">
              <w:rPr>
                <w:rFonts w:ascii="Cambria Math" w:hAnsi="Cambria Math" w:cs="Cambria Math"/>
              </w:rPr>
              <w:t>𝑡</w:t>
            </w:r>
            <w:r w:rsidRPr="00862757">
              <w:rPr>
                <w:rFonts w:ascii="Times New Roman" w:hAnsi="Times New Roman" w:cs="Times New Roman"/>
              </w:rPr>
              <w:t xml:space="preserve"> is time, </w:t>
            </w:r>
            <m:oMath>
              <m:r>
                <m:rPr>
                  <m:sty m:val="p"/>
                </m:rPr>
                <w:rPr>
                  <w:rFonts w:ascii="Cambria Math" w:hAnsi="Cambria Math" w:cs="Times New Roman"/>
                </w:rPr>
                <m:t>Z=</m:t>
              </m:r>
              <m:sSup>
                <m:sSupPr>
                  <m:ctrlPr>
                    <w:rPr>
                      <w:rFonts w:ascii="Cambria Math" w:hAnsi="Cambria Math" w:cs="Times New Roman"/>
                    </w:rPr>
                  </m:ctrlPr>
                </m:sSupPr>
                <m:e>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p</m:t>
                      </m:r>
                    </m:sub>
                  </m:sSub>
                  <m:r>
                    <m:rPr>
                      <m:sty m:val="p"/>
                    </m:rPr>
                    <w:rPr>
                      <w:rFonts w:ascii="Cambria Math" w:hAnsi="Cambria Math" w:cs="Times New Roman"/>
                    </w:rPr>
                    <m:t>)</m:t>
                  </m:r>
                </m:e>
                <m:sup>
                  <m:r>
                    <w:rPr>
                      <w:rFonts w:ascii="Cambria Math" w:hAnsi="Cambria Math" w:cs="Times New Roman"/>
                    </w:rPr>
                    <m:t>T</m:t>
                  </m:r>
                </m:sup>
              </m:sSup>
            </m:oMath>
            <w:r w:rsidRPr="00862757">
              <w:rPr>
                <w:rFonts w:ascii="Times New Roman" w:hAnsi="Times New Roman" w:cs="Times New Roman"/>
              </w:rPr>
              <w:t xml:space="preserve"> is a </w:t>
            </w:r>
            <w:r w:rsidRPr="00862757">
              <w:rPr>
                <w:rFonts w:ascii="Cambria Math" w:hAnsi="Cambria Math" w:cs="Cambria Math"/>
              </w:rPr>
              <w:t>𝑝</w:t>
            </w:r>
            <w:r w:rsidRPr="00862757">
              <w:rPr>
                <w:rFonts w:ascii="Times New Roman" w:hAnsi="Times New Roman" w:cs="Times New Roman"/>
              </w:rPr>
              <w:t>-dimensional</w:t>
            </w:r>
            <w:r>
              <w:rPr>
                <w:rFonts w:ascii="Times New Roman" w:hAnsi="Times New Roman" w:cs="Times New Roman"/>
              </w:rPr>
              <w:t xml:space="preserve"> </w:t>
            </w:r>
            <w:r w:rsidRPr="00862757">
              <w:rPr>
                <w:rFonts w:ascii="Times New Roman" w:hAnsi="Times New Roman" w:cs="Times New Roman"/>
              </w:rPr>
              <w:t xml:space="preserve">vector of time-fixed covariates, </w:t>
            </w:r>
            <w:r w:rsidRPr="00862757">
              <w:rPr>
                <w:rFonts w:ascii="Cambria Math" w:hAnsi="Cambria Math" w:cs="Cambria Math"/>
              </w:rPr>
              <w:t>𝛽</w:t>
            </w:r>
            <w:r w:rsidRPr="00862757">
              <w:rPr>
                <w:rFonts w:ascii="Times New Roman" w:hAnsi="Times New Roman" w:cs="Times New Roman"/>
              </w:rPr>
              <w:t xml:space="preserve"> is the associated vector</w:t>
            </w:r>
            <w:r>
              <w:rPr>
                <w:rFonts w:ascii="Times New Roman" w:hAnsi="Times New Roman" w:cs="Times New Roman"/>
              </w:rPr>
              <w:t xml:space="preserve"> </w:t>
            </w:r>
            <w:r w:rsidRPr="00862757">
              <w:rPr>
                <w:rFonts w:ascii="Times New Roman" w:hAnsi="Times New Roman" w:cs="Times New Roman"/>
              </w:rPr>
              <w:t xml:space="preserve">of unknown regression parameters, and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Pr>
                <w:rFonts w:ascii="Times New Roman" w:hAnsi="Times New Roman" w:cs="Times New Roman" w:hint="eastAsia"/>
                <w:sz w:val="24"/>
                <w:szCs w:val="24"/>
              </w:rPr>
              <w:t xml:space="preserve"> </w:t>
            </w:r>
            <w:r w:rsidRPr="00862757">
              <w:rPr>
                <w:rFonts w:ascii="Times New Roman" w:hAnsi="Times New Roman" w:cs="Times New Roman"/>
              </w:rPr>
              <w:t>a nonnegative</w:t>
            </w:r>
            <w:r>
              <w:rPr>
                <w:rFonts w:ascii="Times New Roman" w:hAnsi="Times New Roman" w:cs="Times New Roman"/>
              </w:rPr>
              <w:t xml:space="preserve"> </w:t>
            </w:r>
            <w:r w:rsidRPr="00862757">
              <w:rPr>
                <w:rFonts w:ascii="Times New Roman" w:hAnsi="Times New Roman" w:cs="Times New Roman"/>
              </w:rPr>
              <w:t>baseline hazard function.</w:t>
            </w:r>
            <w:r>
              <w:rPr>
                <w:rFonts w:ascii="Times New Roman" w:hAnsi="Times New Roman" w:cs="Times New Roman"/>
              </w:rPr>
              <w:t xml:space="preserve"> </w:t>
            </w:r>
            <w:r w:rsidRPr="00862757">
              <w:rPr>
                <w:rFonts w:ascii="Times New Roman" w:hAnsi="Times New Roman" w:cs="Times New Roman"/>
              </w:rPr>
              <w:t>The effect of covariates estimated by any proportional</w:t>
            </w:r>
            <w:r>
              <w:rPr>
                <w:rFonts w:ascii="Times New Roman" w:hAnsi="Times New Roman" w:cs="Times New Roman"/>
              </w:rPr>
              <w:t xml:space="preserve"> </w:t>
            </w:r>
            <w:r w:rsidRPr="00862757">
              <w:rPr>
                <w:rFonts w:ascii="Times New Roman" w:hAnsi="Times New Roman" w:cs="Times New Roman"/>
              </w:rPr>
              <w:t>hazards model can thus be reported as hazard ratios (HRs).</w:t>
            </w:r>
            <w:r>
              <w:rPr>
                <w:rFonts w:ascii="Times New Roman" w:hAnsi="Times New Roman" w:cs="Times New Roman"/>
              </w:rPr>
              <w:t xml:space="preserve"> </w:t>
            </w:r>
            <w:r w:rsidRPr="00862757">
              <w:rPr>
                <w:rFonts w:ascii="Times New Roman" w:hAnsi="Times New Roman" w:cs="Times New Roman"/>
              </w:rPr>
              <w:t>The logarithm</w:t>
            </w:r>
            <w:r w:rsidR="00EC4071">
              <w:rPr>
                <w:rFonts w:ascii="Times New Roman" w:hAnsi="Times New Roman" w:cs="Times New Roman"/>
              </w:rPr>
              <w:t xml:space="preserve"> </w:t>
            </w:r>
            <w:r w:rsidRPr="00862757">
              <w:rPr>
                <w:rFonts w:ascii="Times New Roman" w:hAnsi="Times New Roman" w:cs="Times New Roman"/>
              </w:rPr>
              <w:t>of the hazard ratio curve is then reduced to</w:t>
            </w:r>
            <w:r>
              <w:rPr>
                <w:rFonts w:ascii="Times New Roman" w:hAnsi="Times New Roman" w:cs="Times New Roman"/>
              </w:rPr>
              <w:t xml:space="preserve"> </w:t>
            </w:r>
            <w:r w:rsidRPr="00862757">
              <w:rPr>
                <w:rFonts w:ascii="Times New Roman" w:hAnsi="Times New Roman" w:cs="Times New Roman"/>
              </w:rPr>
              <w:t>a straight line, indicating that the expected change in risk for</w:t>
            </w:r>
            <w:r>
              <w:rPr>
                <w:rFonts w:ascii="Times New Roman" w:hAnsi="Times New Roman" w:cs="Times New Roman"/>
              </w:rPr>
              <w:t xml:space="preserve"> </w:t>
            </w:r>
            <w:r w:rsidRPr="00862757">
              <w:rPr>
                <w:rFonts w:ascii="Times New Roman" w:hAnsi="Times New Roman" w:cs="Times New Roman"/>
              </w:rPr>
              <w:t>a</w:t>
            </w:r>
            <w:r>
              <w:rPr>
                <w:rFonts w:ascii="Times New Roman" w:hAnsi="Times New Roman" w:cs="Times New Roman"/>
              </w:rPr>
              <w:t xml:space="preserve"> </w:t>
            </w:r>
            <m:oMath>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i,ref</m:t>
                  </m:r>
                </m:sub>
              </m:sSub>
              <m:r>
                <m:rPr>
                  <m:sty m:val="p"/>
                </m:rPr>
                <w:rPr>
                  <w:rFonts w:ascii="Cambria Math" w:hAnsi="Cambria Math" w:cs="Times New Roman"/>
                </w:rPr>
                <m:t>)</m:t>
              </m:r>
            </m:oMath>
            <w:r>
              <w:rPr>
                <w:rFonts w:ascii="Times New Roman" w:hAnsi="Times New Roman" w:cs="Times New Roman"/>
              </w:rPr>
              <w:t xml:space="preserve"> </w:t>
            </w:r>
            <w:r w:rsidRPr="00862757">
              <w:rPr>
                <w:rFonts w:ascii="Times New Roman" w:hAnsi="Times New Roman" w:cs="Times New Roman"/>
              </w:rPr>
              <w:t xml:space="preserve">change in </w:t>
            </w:r>
            <w:r w:rsidRPr="00862757">
              <w:rPr>
                <w:rFonts w:ascii="Cambria Math" w:hAnsi="Cambria Math" w:cs="Cambria Math"/>
              </w:rPr>
              <w:t>𝑍𝑖</w:t>
            </w:r>
            <w:r w:rsidRPr="00862757">
              <w:rPr>
                <w:rFonts w:ascii="Times New Roman" w:hAnsi="Times New Roman" w:cs="Times New Roman"/>
              </w:rPr>
              <w:t xml:space="preserve"> is a constant value (the well-known</w:t>
            </w:r>
            <w:r>
              <w:rPr>
                <w:rFonts w:ascii="Times New Roman" w:hAnsi="Times New Roman" w:cs="Times New Roman"/>
              </w:rPr>
              <w:t xml:space="preserve"> </w:t>
            </w:r>
            <w:r w:rsidRPr="00862757">
              <w:rPr>
                <w:rFonts w:ascii="Times New Roman" w:hAnsi="Times New Roman" w:cs="Times New Roman"/>
              </w:rPr>
              <w:t>proportional hazards assumption).</w:t>
            </w:r>
            <w:r w:rsidR="00EC4071">
              <w:rPr>
                <w:rFonts w:ascii="Times New Roman" w:hAnsi="Times New Roman" w:cs="Times New Roman"/>
              </w:rPr>
              <w:t xml:space="preserve"> However, there are many nonlinear associations existed between the outcome and covariates. </w:t>
            </w:r>
            <w:r w:rsidR="00EC4071" w:rsidRPr="00EC4071">
              <w:rPr>
                <w:rFonts w:ascii="Times New Roman" w:hAnsi="Times New Roman" w:cs="Times New Roman"/>
              </w:rPr>
              <w:t>One possible</w:t>
            </w:r>
            <w:r w:rsidR="00EC4071">
              <w:rPr>
                <w:rFonts w:ascii="Times New Roman" w:hAnsi="Times New Roman" w:cs="Times New Roman"/>
              </w:rPr>
              <w:t xml:space="preserve"> </w:t>
            </w:r>
            <w:r w:rsidR="00EC4071" w:rsidRPr="00EC4071">
              <w:rPr>
                <w:rFonts w:ascii="Times New Roman" w:hAnsi="Times New Roman" w:cs="Times New Roman"/>
              </w:rPr>
              <w:t>approach to incorporate nonlinear effects into the Cox model</w:t>
            </w:r>
            <w:r w:rsidR="00EC4071">
              <w:rPr>
                <w:rFonts w:ascii="Times New Roman" w:hAnsi="Times New Roman" w:cs="Times New Roman"/>
              </w:rPr>
              <w:t xml:space="preserve"> </w:t>
            </w:r>
            <w:r w:rsidR="00EC4071" w:rsidRPr="00EC4071">
              <w:rPr>
                <w:rFonts w:ascii="Times New Roman" w:hAnsi="Times New Roman" w:cs="Times New Roman"/>
              </w:rPr>
              <w:t>is to express the log hazard as an additive function:</w:t>
            </w:r>
          </w:p>
          <w:p w14:paraId="707A1223" w14:textId="77777777" w:rsidR="00862757" w:rsidRDefault="00862757" w:rsidP="00862757">
            <w:pPr>
              <w:spacing w:line="360" w:lineRule="auto"/>
              <w:rPr>
                <w:rFonts w:ascii="Times New Roman" w:hAnsi="Times New Roman" w:cs="Times New Roman"/>
                <w:sz w:val="24"/>
                <w:szCs w:val="24"/>
              </w:rPr>
            </w:pPr>
            <m:oMath>
              <m:r>
                <w:rPr>
                  <w:rFonts w:ascii="Cambria Math" w:hAnsi="Cambria Math" w:cs="Times New Roman"/>
                  <w:sz w:val="24"/>
                  <w:szCs w:val="24"/>
                </w:rPr>
                <m:t>α</m:t>
              </m:r>
              <m:d>
                <m:dPr>
                  <m:ctrlPr>
                    <w:rPr>
                      <w:rFonts w:ascii="Cambria Math" w:hAnsi="Cambria Math" w:cs="Times New Roman"/>
                      <w:sz w:val="24"/>
                      <w:szCs w:val="24"/>
                    </w:rPr>
                  </m:ctrlPr>
                </m:dPr>
                <m:e>
                  <m:r>
                    <w:rPr>
                      <w:rFonts w:ascii="Cambria Math" w:hAnsi="Cambria Math" w:cs="Times New Roman"/>
                      <w:sz w:val="24"/>
                      <w:szCs w:val="24"/>
                    </w:rPr>
                    <m:t>t;Z</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0</m:t>
                  </m:r>
                </m:sub>
              </m:sSub>
              <m:r>
                <w:rPr>
                  <w:rFonts w:ascii="Cambria Math" w:hAnsi="Cambria Math" w:cs="Times New Roman"/>
                  <w:sz w:val="24"/>
                  <w:szCs w:val="24"/>
                </w:rPr>
                <m:t>(t)exp</m:t>
              </m:r>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q</m:t>
                      </m:r>
                    </m:sup>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i=q+1</m:t>
                          </m:r>
                        </m:sub>
                        <m:sup>
                          <m:r>
                            <w:rPr>
                              <w:rFonts w:ascii="Cambria Math" w:hAnsi="Cambria Math" w:cs="Times New Roman"/>
                              <w:sz w:val="24"/>
                              <w:szCs w:val="24"/>
                            </w:rPr>
                            <m:t>p</m:t>
                          </m:r>
                        </m:sup>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e>
                      </m:nary>
                    </m:e>
                  </m:nary>
                </m:e>
              </m:d>
            </m:oMath>
            <w:r w:rsidR="005469F3">
              <w:rPr>
                <w:rFonts w:ascii="Times New Roman" w:hAnsi="Times New Roman" w:cs="Times New Roman" w:hint="eastAsia"/>
                <w:sz w:val="24"/>
                <w:szCs w:val="24"/>
              </w:rPr>
              <w:t>,</w:t>
            </w:r>
          </w:p>
          <w:p w14:paraId="1616CE3D" w14:textId="77777777" w:rsidR="00862757" w:rsidRDefault="00EC4071">
            <w:pPr>
              <w:rPr>
                <w:rFonts w:ascii="Times New Roman" w:hAnsi="Times New Roman" w:cs="Times New Roman"/>
              </w:rPr>
            </w:pPr>
            <w:r w:rsidRPr="00EC4071">
              <w:rPr>
                <w:rFonts w:ascii="Times New Roman" w:hAnsi="Times New Roman" w:cs="Times New Roman"/>
              </w:rPr>
              <w:t xml:space="preserve">where the first </w:t>
            </w:r>
            <w:r w:rsidRPr="00EC4071">
              <w:rPr>
                <w:rFonts w:ascii="Cambria Math" w:hAnsi="Cambria Math" w:cs="Cambria Math"/>
              </w:rPr>
              <w:t>𝑞</w:t>
            </w:r>
            <w:r w:rsidRPr="00EC4071">
              <w:rPr>
                <w:rFonts w:ascii="Times New Roman" w:hAnsi="Times New Roman" w:cs="Times New Roman"/>
              </w:rPr>
              <w:t xml:space="preserve"> covariates are continuous and introduced</w:t>
            </w:r>
            <w:r>
              <w:rPr>
                <w:rFonts w:ascii="Times New Roman" w:hAnsi="Times New Roman" w:cs="Times New Roman"/>
              </w:rPr>
              <w:t xml:space="preserve"> </w:t>
            </w:r>
            <w:r w:rsidRPr="00EC4071">
              <w:rPr>
                <w:rFonts w:ascii="Times New Roman" w:hAnsi="Times New Roman" w:cs="Times New Roman"/>
              </w:rPr>
              <w:t xml:space="preserve">nonlinearly through (unknown) smooth functions, </w:t>
            </w:r>
            <w:r w:rsidRPr="00EC4071">
              <w:rPr>
                <w:rFonts w:ascii="Cambria Math" w:hAnsi="Cambria Math" w:cs="Cambria Math"/>
              </w:rPr>
              <w:t>𝑓𝑖</w:t>
            </w:r>
            <w:r w:rsidRPr="00EC4071">
              <w:rPr>
                <w:rFonts w:ascii="Times New Roman" w:hAnsi="Times New Roman" w:cs="Times New Roman"/>
              </w:rPr>
              <w:t>, and</w:t>
            </w:r>
            <w:r>
              <w:rPr>
                <w:rFonts w:ascii="Times New Roman" w:hAnsi="Times New Roman" w:cs="Times New Roman" w:hint="eastAsia"/>
              </w:rPr>
              <w:t xml:space="preserve"> </w:t>
            </w:r>
            <w:r w:rsidRPr="00EC4071">
              <w:rPr>
                <w:rFonts w:ascii="Times New Roman" w:hAnsi="Times New Roman" w:cs="Times New Roman"/>
              </w:rPr>
              <w:t>the remaining ones are covariates introduced parametrically</w:t>
            </w:r>
            <w:r>
              <w:rPr>
                <w:rFonts w:ascii="Times New Roman" w:hAnsi="Times New Roman" w:cs="Times New Roman"/>
              </w:rPr>
              <w:t xml:space="preserve"> </w:t>
            </w:r>
            <w:r w:rsidRPr="00EC4071">
              <w:rPr>
                <w:rFonts w:ascii="Times New Roman" w:hAnsi="Times New Roman" w:cs="Times New Roman"/>
              </w:rPr>
              <w:t>in the model.</w:t>
            </w:r>
          </w:p>
        </w:tc>
      </w:tr>
    </w:tbl>
    <w:p w14:paraId="13EFEA5E" w14:textId="77777777" w:rsidR="00862757" w:rsidRDefault="00862757">
      <w:pPr>
        <w:rPr>
          <w:rFonts w:ascii="Times New Roman" w:hAnsi="Times New Roman" w:cs="Times New Roman"/>
        </w:rPr>
      </w:pPr>
    </w:p>
    <w:p w14:paraId="75FED25D" w14:textId="77777777" w:rsidR="00BF60FF" w:rsidRPr="007E12DB" w:rsidRDefault="00BF60FF" w:rsidP="004C00D0">
      <w:pPr>
        <w:outlineLvl w:val="0"/>
        <w:rPr>
          <w:rFonts w:ascii="Times New Roman" w:hAnsi="Times New Roman" w:cs="Times New Roman"/>
          <w:b/>
          <w:vertAlign w:val="superscript"/>
        </w:rPr>
      </w:pPr>
      <w:bookmarkStart w:id="2" w:name="_Toc45195066"/>
      <w:r w:rsidRPr="00BF60FF">
        <w:rPr>
          <w:rFonts w:ascii="Times New Roman" w:hAnsi="Times New Roman" w:cs="Times New Roman" w:hint="eastAsia"/>
          <w:b/>
        </w:rPr>
        <w:t>B</w:t>
      </w:r>
      <w:r w:rsidRPr="00BF60FF">
        <w:rPr>
          <w:rFonts w:ascii="Times New Roman" w:hAnsi="Times New Roman" w:cs="Times New Roman"/>
          <w:b/>
        </w:rPr>
        <w:t>ox 3. Details for smoothing hazard ratio curves</w:t>
      </w:r>
      <w:bookmarkEnd w:id="2"/>
    </w:p>
    <w:tbl>
      <w:tblPr>
        <w:tblStyle w:val="a7"/>
        <w:tblW w:w="0" w:type="auto"/>
        <w:tblLook w:val="04A0" w:firstRow="1" w:lastRow="0" w:firstColumn="1" w:lastColumn="0" w:noHBand="0" w:noVBand="1"/>
      </w:tblPr>
      <w:tblGrid>
        <w:gridCol w:w="8296"/>
      </w:tblGrid>
      <w:tr w:rsidR="00BF60FF" w14:paraId="469278C6" w14:textId="77777777" w:rsidTr="00BF60FF">
        <w:tc>
          <w:tcPr>
            <w:tcW w:w="8296" w:type="dxa"/>
          </w:tcPr>
          <w:p w14:paraId="4BD93F28" w14:textId="77777777" w:rsidR="00BF60FF" w:rsidRDefault="005469F3" w:rsidP="005469F3">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he HR curve for a continuous predictor </w:t>
            </w:r>
            <m:oMath>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oMath>
            <w:r>
              <w:rPr>
                <w:rFonts w:ascii="Times New Roman" w:hAnsi="Times New Roman" w:cs="Times New Roman" w:hint="eastAsia"/>
              </w:rPr>
              <w:t xml:space="preserve"> </w:t>
            </w:r>
            <w:r>
              <w:rPr>
                <w:rFonts w:ascii="Times New Roman" w:hAnsi="Times New Roman" w:cs="Times New Roman"/>
              </w:rPr>
              <w:t>in the additive Cox model can be written as:</w:t>
            </w:r>
          </w:p>
          <w:p w14:paraId="6858C7A8" w14:textId="77777777" w:rsidR="005469F3" w:rsidRDefault="005469F3" w:rsidP="00B72291">
            <w:pPr>
              <w:rPr>
                <w:rFonts w:ascii="Times New Roman" w:hAnsi="Times New Roman" w:cs="Times New Roman"/>
              </w:rPr>
            </w:pPr>
            <m:oMath>
              <m:r>
                <m:rPr>
                  <m:sty m:val="p"/>
                </m:rPr>
                <w:rPr>
                  <w:rFonts w:ascii="Cambria Math" w:hAnsi="Cambria Math" w:cs="Times New Roman"/>
                </w:rPr>
                <m:t>HR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i,ref</m:t>
                      </m:r>
                    </m:sub>
                  </m:sSub>
                </m:e>
              </m:d>
              <m:r>
                <m:rPr>
                  <m:sty m:val="p"/>
                </m:rPr>
                <w:rPr>
                  <w:rFonts w:ascii="Cambria Math" w:hAnsi="Cambria Math" w:cs="Times New Roman"/>
                </w:rPr>
                <m:t>=exp</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i,ref</m:t>
                          </m:r>
                        </m:sub>
                      </m:sSub>
                    </m:e>
                  </m:d>
                </m:e>
              </m:d>
            </m:oMath>
            <w:r>
              <w:rPr>
                <w:rFonts w:ascii="Times New Roman" w:hAnsi="Times New Roman" w:cs="Times New Roman" w:hint="eastAsia"/>
              </w:rPr>
              <w:t>,</w:t>
            </w:r>
            <w:r>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i,ref</m:t>
                  </m:r>
                </m:sub>
              </m:sSub>
            </m:oMath>
            <w:r>
              <w:rPr>
                <w:rFonts w:ascii="Times New Roman" w:hAnsi="Times New Roman" w:cs="Times New Roman" w:hint="eastAsia"/>
              </w:rPr>
              <w:t xml:space="preserve"> </w:t>
            </w:r>
            <w:r>
              <w:rPr>
                <w:rFonts w:ascii="Times New Roman" w:hAnsi="Times New Roman" w:cs="Times New Roman"/>
              </w:rPr>
              <w:t xml:space="preserve">means the specific value of the predictor taken as the reference. A natural estimate of the adjusted HR curve can be calculated as </w:t>
            </w:r>
            <m:oMath>
              <m:acc>
                <m:accPr>
                  <m:ctrlPr>
                    <w:rPr>
                      <w:rFonts w:ascii="Cambria Math" w:hAnsi="Cambria Math" w:cs="Times New Roman"/>
                    </w:rPr>
                  </m:ctrlPr>
                </m:accPr>
                <m:e>
                  <m:sSub>
                    <m:sSubPr>
                      <m:ctrlPr>
                        <w:rPr>
                          <w:rFonts w:ascii="Cambria Math" w:hAnsi="Cambria Math" w:cs="Times New Roman"/>
                          <w:i/>
                        </w:rPr>
                      </m:ctrlPr>
                    </m:sSubPr>
                    <m:e>
                      <m:r>
                        <w:rPr>
                          <w:rFonts w:ascii="Cambria Math" w:hAnsi="Cambria Math" w:cs="Times New Roman"/>
                        </w:rPr>
                        <m:t>HR</m:t>
                      </m:r>
                    </m:e>
                    <m:sub>
                      <m:r>
                        <w:rPr>
                          <w:rFonts w:ascii="Cambria Math" w:hAnsi="Cambria Math" w:cs="Times New Roman"/>
                        </w:rPr>
                        <m:t>i</m:t>
                      </m:r>
                    </m:sub>
                  </m:sSub>
                </m:e>
              </m:acc>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i,ref</m:t>
                      </m:r>
                    </m:sub>
                  </m:sSub>
                </m:e>
              </m:d>
              <m:r>
                <w:rPr>
                  <w:rFonts w:ascii="Cambria Math" w:hAnsi="Cambria Math" w:cs="Times New Roman"/>
                </w:rPr>
                <m:t>=</m:t>
              </m:r>
              <m:r>
                <m:rPr>
                  <m:sty m:val="p"/>
                </m:rPr>
                <w:rPr>
                  <w:rFonts w:ascii="Cambria Math" w:hAnsi="Cambria Math" w:cs="Times New Roman"/>
                </w:rPr>
                <m:t>exp⁡</m:t>
              </m:r>
              <m:r>
                <w:rPr>
                  <w:rFonts w:ascii="Cambria Math" w:hAnsi="Cambria Math" w:cs="Times New Roman"/>
                </w:rPr>
                <m:t>{</m:t>
              </m:r>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e>
              </m:d>
              <m:r>
                <w:rPr>
                  <w:rFonts w:ascii="Cambria Math" w:hAnsi="Cambria Math" w:cs="Times New Roman"/>
                </w:rPr>
                <m:t>-</m:t>
              </m:r>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e>
              </m:acc>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i,ref</m:t>
                      </m:r>
                    </m:sub>
                  </m:sSub>
                </m:e>
              </m:d>
              <m:r>
                <w:rPr>
                  <w:rFonts w:ascii="Cambria Math" w:hAnsi="Cambria Math" w:cs="Times New Roman"/>
                </w:rPr>
                <m:t>}</m:t>
              </m:r>
            </m:oMath>
            <w:r w:rsidR="00B72291">
              <w:rPr>
                <w:rFonts w:ascii="Times New Roman" w:hAnsi="Times New Roman" w:cs="Times New Roman"/>
              </w:rPr>
              <w:t xml:space="preserve"> by replacing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oMath>
            <w:r w:rsidR="00B72291">
              <w:rPr>
                <w:rFonts w:ascii="Times New Roman" w:hAnsi="Times New Roman" w:cs="Times New Roman" w:hint="eastAsia"/>
              </w:rPr>
              <w:t xml:space="preserve"> </w:t>
            </w:r>
            <w:r w:rsidR="00B72291">
              <w:rPr>
                <w:rFonts w:ascii="Times New Roman" w:hAnsi="Times New Roman" w:cs="Times New Roman"/>
              </w:rPr>
              <w:t>with the corresponding natural-spline estimate</w:t>
            </w:r>
            <w:r w:rsidR="00B72291">
              <w:rPr>
                <w:rFonts w:ascii="Times New Roman" w:hAnsi="Times New Roman" w:cs="Times New Roman" w:hint="eastAsia"/>
              </w:rPr>
              <w:t xml:space="preserve"> </w:t>
            </w:r>
            <m:oMath>
              <m:acc>
                <m:accPr>
                  <m:ctrlPr>
                    <w:rPr>
                      <w:rFonts w:ascii="Cambria Math" w:hAnsi="Cambria Math" w:cs="Times New Roman"/>
                      <w:i/>
                    </w:rPr>
                  </m:ctrlPr>
                </m:acc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i</m:t>
                      </m:r>
                    </m:sub>
                  </m:sSub>
                </m:e>
              </m:acc>
              <m:r>
                <w:rPr>
                  <w:rFonts w:ascii="Cambria Math" w:hAnsi="Cambria Math" w:cs="Times New Roman"/>
                </w:rPr>
                <m:t>(∙)</m:t>
              </m:r>
            </m:oMath>
            <w:r w:rsidR="007E12DB">
              <w:rPr>
                <w:rFonts w:ascii="Times New Roman" w:hAnsi="Times New Roman" w:cs="Times New Roman"/>
              </w:rPr>
              <w:t>(or any other smoother)</w:t>
            </w:r>
            <w:r w:rsidR="00B72291">
              <w:rPr>
                <w:rFonts w:ascii="Times New Roman" w:hAnsi="Times New Roman" w:cs="Times New Roman"/>
              </w:rPr>
              <w:t>.</w:t>
            </w:r>
            <w:r w:rsidR="007E12DB" w:rsidRPr="007E12DB">
              <w:rPr>
                <w:rFonts w:ascii="Times New Roman" w:hAnsi="Times New Roman" w:cs="Times New Roman"/>
                <w:vertAlign w:val="superscript"/>
              </w:rPr>
              <w:t>1</w:t>
            </w:r>
          </w:p>
          <w:p w14:paraId="30F067FA" w14:textId="77777777" w:rsidR="007E12DB" w:rsidRDefault="007E12DB" w:rsidP="00B72291">
            <w:pPr>
              <w:rPr>
                <w:rFonts w:ascii="Times New Roman" w:hAnsi="Times New Roman" w:cs="Times New Roman"/>
              </w:rPr>
            </w:pPr>
          </w:p>
          <w:p w14:paraId="11D1A389" w14:textId="77777777" w:rsidR="007E12DB" w:rsidRDefault="007E12DB" w:rsidP="00B72291">
            <w:pPr>
              <w:rPr>
                <w:rFonts w:ascii="Times New Roman" w:hAnsi="Times New Roman" w:cs="Times New Roman"/>
              </w:rPr>
            </w:pPr>
            <w:r>
              <w:rPr>
                <w:rFonts w:ascii="Times New Roman" w:hAnsi="Times New Roman" w:cs="Times New Roman"/>
              </w:rPr>
              <w:t>Reference</w:t>
            </w:r>
          </w:p>
          <w:p w14:paraId="327B7DB6" w14:textId="77777777" w:rsidR="007E12DB" w:rsidRDefault="007E12DB" w:rsidP="007E12DB">
            <w:pPr>
              <w:rPr>
                <w:rFonts w:ascii="Times New Roman" w:hAnsi="Times New Roman" w:cs="Times New Roman"/>
              </w:rPr>
            </w:pPr>
            <w:r>
              <w:rPr>
                <w:rFonts w:ascii="Times New Roman" w:hAnsi="Times New Roman" w:cs="Times New Roman"/>
              </w:rPr>
              <w:t>1, Meira-Machado L</w:t>
            </w:r>
            <w:r w:rsidRPr="007E12DB">
              <w:rPr>
                <w:rFonts w:ascii="Times New Roman" w:hAnsi="Times New Roman" w:cs="Times New Roman"/>
              </w:rPr>
              <w:t xml:space="preserve">, </w:t>
            </w:r>
            <w:proofErr w:type="spellStart"/>
            <w:r w:rsidRPr="007E12DB">
              <w:rPr>
                <w:rFonts w:ascii="Times New Roman" w:hAnsi="Times New Roman" w:cs="Times New Roman"/>
              </w:rPr>
              <w:t>Cadarso</w:t>
            </w:r>
            <w:proofErr w:type="spellEnd"/>
            <w:r w:rsidRPr="007E12DB">
              <w:rPr>
                <w:rFonts w:ascii="Times New Roman" w:hAnsi="Times New Roman" w:cs="Times New Roman"/>
              </w:rPr>
              <w:t xml:space="preserve">-Suárez C, </w:t>
            </w:r>
            <w:proofErr w:type="spellStart"/>
            <w:r w:rsidRPr="007E12DB">
              <w:rPr>
                <w:rFonts w:ascii="Times New Roman" w:hAnsi="Times New Roman" w:cs="Times New Roman"/>
              </w:rPr>
              <w:t>Gude</w:t>
            </w:r>
            <w:proofErr w:type="spellEnd"/>
            <w:r w:rsidRPr="007E12DB">
              <w:rPr>
                <w:rFonts w:ascii="Times New Roman" w:hAnsi="Times New Roman" w:cs="Times New Roman"/>
              </w:rPr>
              <w:t xml:space="preserve"> F</w:t>
            </w:r>
            <w:r>
              <w:rPr>
                <w:rFonts w:ascii="Times New Roman" w:hAnsi="Times New Roman" w:cs="Times New Roman"/>
              </w:rPr>
              <w:t xml:space="preserve">, et al. </w:t>
            </w:r>
            <w:proofErr w:type="spellStart"/>
            <w:r w:rsidRPr="007E12DB">
              <w:rPr>
                <w:rFonts w:ascii="Times New Roman" w:hAnsi="Times New Roman" w:cs="Times New Roman"/>
                <w:bCs/>
              </w:rPr>
              <w:t>smoothHR</w:t>
            </w:r>
            <w:proofErr w:type="spellEnd"/>
            <w:r w:rsidRPr="007E12DB">
              <w:rPr>
                <w:rFonts w:ascii="Times New Roman" w:hAnsi="Times New Roman" w:cs="Times New Roman"/>
                <w:bCs/>
              </w:rPr>
              <w:t>: An R Package for Pointwise Nonparametric</w:t>
            </w:r>
            <w:r>
              <w:rPr>
                <w:rFonts w:ascii="Times New Roman" w:hAnsi="Times New Roman" w:cs="Times New Roman"/>
                <w:bCs/>
              </w:rPr>
              <w:t xml:space="preserve"> </w:t>
            </w:r>
            <w:r w:rsidRPr="007E12DB">
              <w:rPr>
                <w:rFonts w:ascii="Times New Roman" w:hAnsi="Times New Roman" w:cs="Times New Roman"/>
                <w:bCs/>
              </w:rPr>
              <w:t>Estimation of Hazard Ratio Curves of Continuous Predictors</w:t>
            </w:r>
            <w:r>
              <w:rPr>
                <w:rFonts w:ascii="Times New Roman" w:hAnsi="Times New Roman" w:cs="Times New Roman"/>
                <w:bCs/>
              </w:rPr>
              <w:t xml:space="preserve">. </w:t>
            </w:r>
            <w:proofErr w:type="spellStart"/>
            <w:r w:rsidRPr="007E12DB">
              <w:rPr>
                <w:rFonts w:ascii="Times New Roman" w:hAnsi="Times New Roman" w:cs="Times New Roman"/>
                <w:bCs/>
              </w:rPr>
              <w:t>Comput</w:t>
            </w:r>
            <w:proofErr w:type="spellEnd"/>
            <w:r w:rsidRPr="007E12DB">
              <w:rPr>
                <w:rFonts w:ascii="Times New Roman" w:hAnsi="Times New Roman" w:cs="Times New Roman"/>
                <w:bCs/>
              </w:rPr>
              <w:t xml:space="preserve"> Math Methods Med. 2013;</w:t>
            </w:r>
            <w:r>
              <w:rPr>
                <w:rFonts w:ascii="Times New Roman" w:hAnsi="Times New Roman" w:cs="Times New Roman"/>
                <w:bCs/>
              </w:rPr>
              <w:t xml:space="preserve"> </w:t>
            </w:r>
            <w:r w:rsidRPr="007E12DB">
              <w:rPr>
                <w:rFonts w:ascii="Times New Roman" w:hAnsi="Times New Roman" w:cs="Times New Roman"/>
                <w:bCs/>
              </w:rPr>
              <w:t>2013:</w:t>
            </w:r>
            <w:r>
              <w:rPr>
                <w:rFonts w:ascii="Times New Roman" w:hAnsi="Times New Roman" w:cs="Times New Roman"/>
                <w:bCs/>
              </w:rPr>
              <w:t xml:space="preserve"> </w:t>
            </w:r>
            <w:r w:rsidRPr="007E12DB">
              <w:rPr>
                <w:rFonts w:ascii="Times New Roman" w:hAnsi="Times New Roman" w:cs="Times New Roman"/>
                <w:bCs/>
              </w:rPr>
              <w:t>745742.</w:t>
            </w:r>
          </w:p>
        </w:tc>
      </w:tr>
    </w:tbl>
    <w:p w14:paraId="7C300C9B" w14:textId="77777777" w:rsidR="00BF60FF" w:rsidRDefault="00BF60FF">
      <w:pPr>
        <w:rPr>
          <w:rFonts w:ascii="Times New Roman" w:hAnsi="Times New Roman" w:cs="Times New Roman"/>
        </w:rPr>
      </w:pPr>
    </w:p>
    <w:p w14:paraId="5A609DDA" w14:textId="77777777" w:rsidR="00851D0D" w:rsidRPr="007E12DB" w:rsidRDefault="00851D0D" w:rsidP="00851D0D">
      <w:pPr>
        <w:outlineLvl w:val="0"/>
        <w:rPr>
          <w:rFonts w:ascii="Times New Roman" w:hAnsi="Times New Roman" w:cs="Times New Roman"/>
          <w:b/>
          <w:vertAlign w:val="superscript"/>
        </w:rPr>
      </w:pPr>
      <w:bookmarkStart w:id="3" w:name="_Toc45195067"/>
      <w:r w:rsidRPr="00BF60FF">
        <w:rPr>
          <w:rFonts w:ascii="Times New Roman" w:hAnsi="Times New Roman" w:cs="Times New Roman" w:hint="eastAsia"/>
          <w:b/>
        </w:rPr>
        <w:t>B</w:t>
      </w:r>
      <w:r w:rsidRPr="00BF60FF">
        <w:rPr>
          <w:rFonts w:ascii="Times New Roman" w:hAnsi="Times New Roman" w:cs="Times New Roman"/>
          <w:b/>
        </w:rPr>
        <w:t xml:space="preserve">ox </w:t>
      </w:r>
      <w:r>
        <w:rPr>
          <w:rFonts w:ascii="Times New Roman" w:hAnsi="Times New Roman" w:cs="Times New Roman"/>
          <w:b/>
        </w:rPr>
        <w:t>4. Details of the calculation of liver function risk score</w:t>
      </w:r>
      <w:bookmarkEnd w:id="3"/>
    </w:p>
    <w:tbl>
      <w:tblPr>
        <w:tblStyle w:val="a7"/>
        <w:tblW w:w="0" w:type="auto"/>
        <w:tblLook w:val="04A0" w:firstRow="1" w:lastRow="0" w:firstColumn="1" w:lastColumn="0" w:noHBand="0" w:noVBand="1"/>
      </w:tblPr>
      <w:tblGrid>
        <w:gridCol w:w="8296"/>
      </w:tblGrid>
      <w:tr w:rsidR="00851D0D" w:rsidRPr="00851D0D" w14:paraId="2C7CA703" w14:textId="77777777" w:rsidTr="00851D0D">
        <w:tc>
          <w:tcPr>
            <w:tcW w:w="8296" w:type="dxa"/>
          </w:tcPr>
          <w:p w14:paraId="4794A4AA" w14:textId="77777777" w:rsidR="00851D0D" w:rsidRPr="00851D0D" w:rsidRDefault="00851D0D" w:rsidP="00851D0D">
            <w:pPr>
              <w:rPr>
                <w:rFonts w:ascii="Times New Roman" w:hAnsi="Times New Roman" w:cs="Times New Roman"/>
                <w:szCs w:val="24"/>
                <w:lang w:val="en-GB"/>
              </w:rPr>
            </w:pPr>
            <w:r w:rsidRPr="00851D0D">
              <w:rPr>
                <w:rFonts w:ascii="Times New Roman" w:hAnsi="Times New Roman" w:cs="Times New Roman"/>
                <w:szCs w:val="24"/>
                <w:lang w:val="en-GB"/>
              </w:rPr>
              <w:t>We calculated the relative importance of each liver function biomarker as measured by the increasing R</w:t>
            </w:r>
            <w:r w:rsidRPr="00851D0D">
              <w:rPr>
                <w:rFonts w:ascii="Times New Roman" w:hAnsi="Times New Roman" w:cs="Times New Roman"/>
                <w:szCs w:val="24"/>
                <w:vertAlign w:val="superscript"/>
                <w:lang w:val="en-GB"/>
              </w:rPr>
              <w:t>2</w:t>
            </w:r>
            <w:r w:rsidRPr="00851D0D">
              <w:rPr>
                <w:rFonts w:ascii="Times New Roman" w:hAnsi="Times New Roman" w:cs="Times New Roman"/>
                <w:szCs w:val="24"/>
                <w:lang w:val="en-GB"/>
              </w:rPr>
              <w:t xml:space="preserve"> values of the models, and we tested the consistency of the results by calculating the explainable log-likelihood that was attributable to each analyte. We also categorized the serum </w:t>
            </w:r>
            <w:r w:rsidRPr="00851D0D">
              <w:rPr>
                <w:rFonts w:ascii="Times New Roman" w:hAnsi="Times New Roman" w:cs="Times New Roman"/>
                <w:szCs w:val="24"/>
                <w:lang w:val="en-GB"/>
              </w:rPr>
              <w:lastRenderedPageBreak/>
              <w:t xml:space="preserve">level of </w:t>
            </w:r>
            <w:r w:rsidRPr="00851D0D">
              <w:rPr>
                <w:rFonts w:ascii="Times New Roman" w:eastAsia="宋体" w:hAnsi="Times New Roman" w:cs="Times New Roman"/>
                <w:szCs w:val="24"/>
                <w:lang w:val="en-GB"/>
              </w:rPr>
              <w:t xml:space="preserve">the </w:t>
            </w:r>
            <w:r w:rsidRPr="00851D0D">
              <w:rPr>
                <w:rFonts w:ascii="Times New Roman" w:hAnsi="Times New Roman" w:cs="Times New Roman"/>
                <w:szCs w:val="24"/>
                <w:lang w:val="en-GB"/>
              </w:rPr>
              <w:t>biomarker into five non-</w:t>
            </w:r>
            <w:r w:rsidRPr="00851D0D">
              <w:rPr>
                <w:rFonts w:ascii="Times New Roman" w:eastAsia="宋体" w:hAnsi="Times New Roman" w:cs="Times New Roman"/>
                <w:szCs w:val="24"/>
                <w:lang w:val="en-GB"/>
              </w:rPr>
              <w:t>overlapping</w:t>
            </w:r>
            <w:r w:rsidRPr="00851D0D">
              <w:rPr>
                <w:rFonts w:ascii="Times New Roman" w:hAnsi="Times New Roman" w:cs="Times New Roman"/>
                <w:szCs w:val="24"/>
                <w:lang w:val="en-GB"/>
              </w:rPr>
              <w:t xml:space="preserve"> groups with consideration of </w:t>
            </w:r>
            <w:r w:rsidRPr="00851D0D">
              <w:rPr>
                <w:rFonts w:ascii="Times New Roman" w:eastAsia="宋体" w:hAnsi="Times New Roman" w:cs="Times New Roman"/>
                <w:szCs w:val="24"/>
                <w:lang w:val="en-GB"/>
              </w:rPr>
              <w:t xml:space="preserve">the </w:t>
            </w:r>
            <w:r w:rsidRPr="00851D0D">
              <w:rPr>
                <w:rFonts w:ascii="Times New Roman" w:hAnsi="Times New Roman" w:cs="Times New Roman"/>
                <w:szCs w:val="24"/>
                <w:lang w:val="en-GB"/>
              </w:rPr>
              <w:t xml:space="preserve">sample size in each group, the points located in HR curves, </w:t>
            </w:r>
            <w:r w:rsidRPr="00851D0D">
              <w:rPr>
                <w:rFonts w:ascii="Times New Roman" w:eastAsia="宋体" w:hAnsi="Times New Roman" w:cs="Times New Roman"/>
                <w:szCs w:val="24"/>
                <w:lang w:val="en-GB"/>
              </w:rPr>
              <w:t xml:space="preserve">and </w:t>
            </w:r>
            <w:r w:rsidRPr="00851D0D">
              <w:rPr>
                <w:rFonts w:ascii="Times New Roman" w:hAnsi="Times New Roman" w:cs="Times New Roman"/>
                <w:szCs w:val="24"/>
                <w:lang w:val="en-GB"/>
              </w:rPr>
              <w:t xml:space="preserve">the shapes of HR curves, rather than in terms of the quartiles or deciles exclusively. For example, the cut-off points of the ALT level were 15, 30, 40, and 60, which </w:t>
            </w:r>
            <w:r w:rsidRPr="00851D0D">
              <w:rPr>
                <w:rFonts w:ascii="Times New Roman" w:eastAsia="宋体" w:hAnsi="Times New Roman" w:cs="Times New Roman"/>
                <w:szCs w:val="24"/>
                <w:lang w:val="en-GB"/>
              </w:rPr>
              <w:t>denote</w:t>
            </w:r>
            <w:r w:rsidRPr="00851D0D">
              <w:rPr>
                <w:rFonts w:ascii="Times New Roman" w:hAnsi="Times New Roman" w:cs="Times New Roman"/>
                <w:szCs w:val="24"/>
                <w:lang w:val="en-GB"/>
              </w:rPr>
              <w:t xml:space="preserve"> the mid-value between 0 and the valley point in the HR curve, the valley point, the upper limit of medical reference interval, and the approximate median value of the remaining interval, respectively. The intervals between valley points and the upper limits of the medical reference were defined as the references. Since a nearly linear relation was observed between GGT level and mortality, we discretized the GGT levels in terms of sample size in each group and defined the first group as the reference. The HRs of each group could then be calculated by additive Cox models. We constructed an integrated index, referred to as </w:t>
            </w:r>
            <w:r w:rsidRPr="00851D0D">
              <w:rPr>
                <w:rFonts w:ascii="Times New Roman" w:eastAsia="宋体" w:hAnsi="Times New Roman" w:cs="Times New Roman"/>
                <w:szCs w:val="24"/>
                <w:lang w:val="en-GB"/>
              </w:rPr>
              <w:t xml:space="preserve">the </w:t>
            </w:r>
            <w:r w:rsidRPr="00851D0D">
              <w:rPr>
                <w:rFonts w:ascii="Times New Roman" w:hAnsi="Times New Roman" w:cs="Times New Roman"/>
                <w:szCs w:val="24"/>
                <w:lang w:val="en-GB"/>
              </w:rPr>
              <w:t>liver function risk score (LFRS), using the following formula:</w:t>
            </w:r>
          </w:p>
          <w:p w14:paraId="2C7DD9E3" w14:textId="77777777" w:rsidR="00851D0D" w:rsidRPr="00851D0D" w:rsidRDefault="00851D0D" w:rsidP="00851D0D">
            <w:pPr>
              <w:rPr>
                <w:rFonts w:ascii="Times New Roman" w:hAnsi="Times New Roman" w:cs="Times New Roman"/>
                <w:szCs w:val="24"/>
                <w:lang w:val="en-GB"/>
              </w:rPr>
            </w:pPr>
            <m:oMathPara>
              <m:oMath>
                <m:r>
                  <m:rPr>
                    <m:sty m:val="p"/>
                  </m:rPr>
                  <w:rPr>
                    <w:rFonts w:ascii="Cambria Math" w:hAnsi="Cambria Math" w:cs="Times New Roman"/>
                    <w:szCs w:val="24"/>
                    <w:lang w:val="en-GB"/>
                  </w:rPr>
                  <m:t xml:space="preserve">LFRS= </m:t>
                </m:r>
                <m:nary>
                  <m:naryPr>
                    <m:chr m:val="∑"/>
                    <m:limLoc m:val="undOvr"/>
                    <m:ctrlPr>
                      <w:rPr>
                        <w:rFonts w:ascii="Cambria Math" w:hAnsi="Cambria Math" w:cs="Times New Roman"/>
                        <w:szCs w:val="24"/>
                        <w:lang w:val="en-GB"/>
                      </w:rPr>
                    </m:ctrlPr>
                  </m:naryPr>
                  <m:sub>
                    <m:r>
                      <w:rPr>
                        <w:rFonts w:ascii="Cambria Math" w:hAnsi="Cambria Math" w:cs="Times New Roman"/>
                        <w:szCs w:val="24"/>
                        <w:lang w:val="en-GB"/>
                      </w:rPr>
                      <m:t>j</m:t>
                    </m:r>
                  </m:sub>
                  <m:sup>
                    <m:r>
                      <w:rPr>
                        <w:rFonts w:ascii="Cambria Math" w:hAnsi="Cambria Math" w:cs="Times New Roman"/>
                        <w:szCs w:val="24"/>
                        <w:lang w:val="en-GB"/>
                      </w:rPr>
                      <m:t>6</m:t>
                    </m:r>
                  </m:sup>
                  <m:e>
                    <m:nary>
                      <m:naryPr>
                        <m:chr m:val="∑"/>
                        <m:limLoc m:val="undOvr"/>
                        <m:ctrlPr>
                          <w:rPr>
                            <w:rFonts w:ascii="Cambria Math" w:hAnsi="Cambria Math" w:cs="Times New Roman"/>
                            <w:i/>
                            <w:szCs w:val="24"/>
                            <w:lang w:val="en-GB"/>
                          </w:rPr>
                        </m:ctrlPr>
                      </m:naryPr>
                      <m:sub>
                        <m:r>
                          <w:rPr>
                            <w:rFonts w:ascii="Cambria Math" w:hAnsi="Cambria Math" w:cs="Times New Roman"/>
                            <w:szCs w:val="24"/>
                            <w:lang w:val="en-GB"/>
                          </w:rPr>
                          <m:t>i</m:t>
                        </m:r>
                      </m:sub>
                      <m:sup>
                        <m:r>
                          <w:rPr>
                            <w:rFonts w:ascii="Cambria Math" w:hAnsi="Cambria Math" w:cs="Times New Roman"/>
                            <w:szCs w:val="24"/>
                            <w:lang w:val="en-GB"/>
                          </w:rPr>
                          <m:t>5</m:t>
                        </m:r>
                      </m:sup>
                      <m:e>
                        <m:d>
                          <m:dPr>
                            <m:ctrlPr>
                              <w:rPr>
                                <w:rFonts w:ascii="Cambria Math" w:hAnsi="Cambria Math" w:cs="Times New Roman"/>
                                <w:i/>
                                <w:szCs w:val="24"/>
                                <w:lang w:val="en-GB"/>
                              </w:rPr>
                            </m:ctrlPr>
                          </m:dPr>
                          <m:e>
                            <m:d>
                              <m:dPr>
                                <m:begChr m:val="|"/>
                                <m:endChr m:val="|"/>
                                <m:ctrlPr>
                                  <w:rPr>
                                    <w:rFonts w:ascii="Cambria Math" w:hAnsi="Cambria Math" w:cs="Times New Roman"/>
                                    <w:i/>
                                    <w:szCs w:val="24"/>
                                    <w:lang w:val="en-GB"/>
                                  </w:rPr>
                                </m:ctrlPr>
                              </m:dPr>
                              <m:e>
                                <m:sSub>
                                  <m:sSubPr>
                                    <m:ctrlPr>
                                      <w:rPr>
                                        <w:rFonts w:ascii="Cambria Math" w:hAnsi="Cambria Math" w:cs="Times New Roman"/>
                                        <w:i/>
                                        <w:szCs w:val="24"/>
                                        <w:lang w:val="en-GB"/>
                                      </w:rPr>
                                    </m:ctrlPr>
                                  </m:sSubPr>
                                  <m:e>
                                    <m:r>
                                      <w:rPr>
                                        <w:rFonts w:ascii="Cambria Math" w:hAnsi="Cambria Math" w:cs="Times New Roman"/>
                                        <w:szCs w:val="24"/>
                                        <w:lang w:val="en-GB"/>
                                      </w:rPr>
                                      <m:t>x</m:t>
                                    </m:r>
                                  </m:e>
                                  <m:sub>
                                    <m:r>
                                      <w:rPr>
                                        <w:rFonts w:ascii="Cambria Math" w:hAnsi="Cambria Math" w:cs="Times New Roman"/>
                                        <w:szCs w:val="24"/>
                                        <w:lang w:val="en-GB"/>
                                      </w:rPr>
                                      <m:t>j</m:t>
                                    </m:r>
                                  </m:sub>
                                </m:sSub>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x</m:t>
                                    </m:r>
                                  </m:e>
                                  <m:sub>
                                    <m:r>
                                      <w:rPr>
                                        <w:rFonts w:ascii="Cambria Math" w:hAnsi="Cambria Math" w:cs="Times New Roman"/>
                                        <w:szCs w:val="24"/>
                                        <w:lang w:val="en-GB"/>
                                      </w:rPr>
                                      <m:t>min,j</m:t>
                                    </m:r>
                                  </m:sub>
                                </m:sSub>
                              </m:e>
                            </m:d>
                            <m:r>
                              <w:rPr>
                                <w:rFonts w:ascii="Cambria Math" w:hAnsi="Cambria Math" w:cs="Times New Roman"/>
                                <w:szCs w:val="24"/>
                                <w:lang w:val="en-GB"/>
                              </w:rPr>
                              <m:t>×</m:t>
                            </m:r>
                            <m:sSubSup>
                              <m:sSubSupPr>
                                <m:ctrlPr>
                                  <w:rPr>
                                    <w:rFonts w:ascii="Cambria Math" w:hAnsi="Cambria Math" w:cs="Times New Roman"/>
                                    <w:i/>
                                    <w:szCs w:val="24"/>
                                    <w:lang w:val="en-GB"/>
                                  </w:rPr>
                                </m:ctrlPr>
                              </m:sSubSupPr>
                              <m:e>
                                <m:r>
                                  <w:rPr>
                                    <w:rFonts w:ascii="Cambria Math" w:hAnsi="Cambria Math" w:cs="Times New Roman"/>
                                    <w:szCs w:val="24"/>
                                    <w:lang w:val="en-GB"/>
                                  </w:rPr>
                                  <m:t>R</m:t>
                                </m:r>
                              </m:e>
                              <m:sub>
                                <m:r>
                                  <w:rPr>
                                    <w:rFonts w:ascii="Cambria Math" w:hAnsi="Cambria Math" w:cs="Times New Roman"/>
                                    <w:szCs w:val="24"/>
                                    <w:lang w:val="en-GB"/>
                                  </w:rPr>
                                  <m:t>j</m:t>
                                </m:r>
                              </m:sub>
                              <m:sup>
                                <m:r>
                                  <w:rPr>
                                    <w:rFonts w:ascii="Cambria Math" w:hAnsi="Cambria Math" w:cs="Times New Roman"/>
                                    <w:szCs w:val="24"/>
                                    <w:lang w:val="en-GB"/>
                                  </w:rPr>
                                  <m:t>2</m:t>
                                </m:r>
                              </m:sup>
                            </m:sSubSup>
                            <m:r>
                              <w:rPr>
                                <w:rFonts w:ascii="Cambria Math" w:hAnsi="Cambria Math" w:cs="Times New Roman"/>
                                <w:szCs w:val="24"/>
                                <w:lang w:val="en-GB"/>
                              </w:rPr>
                              <m:t>×</m:t>
                            </m:r>
                            <m:sSub>
                              <m:sSubPr>
                                <m:ctrlPr>
                                  <w:rPr>
                                    <w:rFonts w:ascii="Cambria Math" w:hAnsi="Cambria Math" w:cs="Times New Roman"/>
                                    <w:i/>
                                    <w:szCs w:val="24"/>
                                    <w:lang w:val="en-GB"/>
                                  </w:rPr>
                                </m:ctrlPr>
                              </m:sSubPr>
                              <m:e>
                                <m:r>
                                  <w:rPr>
                                    <w:rFonts w:ascii="Cambria Math" w:hAnsi="Cambria Math" w:cs="Times New Roman"/>
                                    <w:szCs w:val="24"/>
                                    <w:lang w:val="en-GB"/>
                                  </w:rPr>
                                  <m:t>HR</m:t>
                                </m:r>
                              </m:e>
                              <m:sub>
                                <m:r>
                                  <w:rPr>
                                    <w:rFonts w:ascii="Cambria Math" w:hAnsi="Cambria Math" w:cs="Times New Roman"/>
                                    <w:szCs w:val="24"/>
                                    <w:lang w:val="en-GB"/>
                                  </w:rPr>
                                  <m:t>ij</m:t>
                                </m:r>
                              </m:sub>
                            </m:sSub>
                          </m:e>
                        </m:d>
                      </m:e>
                    </m:nary>
                  </m:e>
                </m:nary>
              </m:oMath>
            </m:oMathPara>
          </w:p>
          <w:p w14:paraId="731CA1EB" w14:textId="77777777" w:rsidR="00851D0D" w:rsidRPr="00851D0D" w:rsidRDefault="00851D0D" w:rsidP="00851D0D">
            <w:pPr>
              <w:rPr>
                <w:rFonts w:ascii="Times New Roman" w:hAnsi="Times New Roman" w:cs="Times New Roman"/>
                <w:lang w:val="en-GB"/>
              </w:rPr>
            </w:pPr>
            <w:r w:rsidRPr="00851D0D">
              <w:rPr>
                <w:rFonts w:ascii="Times New Roman" w:hAnsi="Times New Roman" w:cs="Times New Roman"/>
                <w:szCs w:val="24"/>
                <w:lang w:val="en-GB"/>
              </w:rPr>
              <w:t xml:space="preserve">where </w:t>
            </w:r>
            <w:proofErr w:type="spellStart"/>
            <w:r w:rsidRPr="00851D0D">
              <w:rPr>
                <w:rFonts w:ascii="Times New Roman" w:hAnsi="Times New Roman" w:cs="Times New Roman"/>
                <w:i/>
                <w:szCs w:val="24"/>
                <w:lang w:val="en-GB"/>
              </w:rPr>
              <w:t>i</w:t>
            </w:r>
            <w:proofErr w:type="spellEnd"/>
            <w:r w:rsidRPr="00851D0D">
              <w:rPr>
                <w:rFonts w:ascii="Times New Roman" w:hAnsi="Times New Roman" w:cs="Times New Roman"/>
                <w:szCs w:val="24"/>
                <w:lang w:val="en-GB"/>
              </w:rPr>
              <w:t xml:space="preserve"> denotes the five groups of each biomarker and </w:t>
            </w:r>
            <w:r w:rsidRPr="00851D0D">
              <w:rPr>
                <w:rFonts w:ascii="Times New Roman" w:hAnsi="Times New Roman" w:cs="Times New Roman"/>
                <w:i/>
                <w:szCs w:val="24"/>
                <w:lang w:val="en-GB"/>
              </w:rPr>
              <w:t>j</w:t>
            </w:r>
            <w:r w:rsidRPr="00851D0D">
              <w:rPr>
                <w:rFonts w:ascii="Times New Roman" w:hAnsi="Times New Roman" w:cs="Times New Roman"/>
                <w:szCs w:val="24"/>
                <w:lang w:val="en-GB"/>
              </w:rPr>
              <w:t xml:space="preserve"> denotes the six biomarkers. </w:t>
            </w:r>
            <m:oMath>
              <m:sSub>
                <m:sSubPr>
                  <m:ctrlPr>
                    <w:rPr>
                      <w:rFonts w:ascii="Cambria Math" w:hAnsi="Cambria Math" w:cs="Times New Roman"/>
                      <w:i/>
                      <w:szCs w:val="24"/>
                      <w:lang w:val="en-GB"/>
                    </w:rPr>
                  </m:ctrlPr>
                </m:sSubPr>
                <m:e>
                  <m:r>
                    <w:rPr>
                      <w:rFonts w:ascii="Cambria Math" w:hAnsi="Cambria Math" w:cs="Times New Roman"/>
                      <w:szCs w:val="24"/>
                      <w:lang w:val="en-GB"/>
                    </w:rPr>
                    <m:t>x</m:t>
                  </m:r>
                </m:e>
                <m:sub>
                  <m:r>
                    <w:rPr>
                      <w:rFonts w:ascii="Cambria Math" w:hAnsi="Cambria Math" w:cs="Times New Roman"/>
                      <w:szCs w:val="24"/>
                      <w:lang w:val="en-GB"/>
                    </w:rPr>
                    <m:t>j</m:t>
                  </m:r>
                </m:sub>
              </m:sSub>
            </m:oMath>
            <w:r w:rsidRPr="00851D0D">
              <w:rPr>
                <w:rFonts w:ascii="Times New Roman" w:hAnsi="Times New Roman" w:cs="Times New Roman" w:hint="eastAsia"/>
                <w:szCs w:val="24"/>
                <w:lang w:val="en-GB"/>
              </w:rPr>
              <w:t xml:space="preserve"> </w:t>
            </w:r>
            <w:r w:rsidRPr="00851D0D">
              <w:rPr>
                <w:rFonts w:ascii="Times New Roman" w:hAnsi="Times New Roman" w:cs="Times New Roman"/>
                <w:szCs w:val="24"/>
                <w:lang w:val="en-GB"/>
              </w:rPr>
              <w:t>denotes the serum levels of the</w:t>
            </w:r>
            <w:r w:rsidRPr="00851D0D">
              <w:rPr>
                <w:rFonts w:ascii="Times New Roman" w:hAnsi="Times New Roman" w:cs="Times New Roman"/>
                <w:i/>
                <w:szCs w:val="24"/>
                <w:lang w:val="en-GB"/>
              </w:rPr>
              <w:t xml:space="preserve"> </w:t>
            </w:r>
            <w:proofErr w:type="spellStart"/>
            <w:r w:rsidRPr="00851D0D">
              <w:rPr>
                <w:rFonts w:ascii="Times New Roman" w:hAnsi="Times New Roman" w:cs="Times New Roman"/>
                <w:i/>
                <w:szCs w:val="24"/>
                <w:lang w:val="en-GB"/>
              </w:rPr>
              <w:t>j</w:t>
            </w:r>
            <w:r w:rsidRPr="00851D0D">
              <w:rPr>
                <w:rFonts w:ascii="Times New Roman" w:hAnsi="Times New Roman" w:cs="Times New Roman"/>
                <w:szCs w:val="24"/>
                <w:vertAlign w:val="superscript"/>
                <w:lang w:val="en-GB"/>
              </w:rPr>
              <w:t>th</w:t>
            </w:r>
            <w:proofErr w:type="spellEnd"/>
            <w:r w:rsidRPr="00851D0D">
              <w:rPr>
                <w:rFonts w:ascii="Times New Roman" w:hAnsi="Times New Roman" w:cs="Times New Roman"/>
                <w:szCs w:val="24"/>
                <w:lang w:val="en-GB"/>
              </w:rPr>
              <w:t xml:space="preserve"> biomarker at the individual level. </w:t>
            </w:r>
            <m:oMath>
              <m:sSub>
                <m:sSubPr>
                  <m:ctrlPr>
                    <w:rPr>
                      <w:rFonts w:ascii="Cambria Math" w:hAnsi="Cambria Math" w:cs="Times New Roman"/>
                      <w:i/>
                      <w:szCs w:val="24"/>
                      <w:lang w:val="en-GB"/>
                    </w:rPr>
                  </m:ctrlPr>
                </m:sSubPr>
                <m:e>
                  <m:r>
                    <w:rPr>
                      <w:rFonts w:ascii="Cambria Math" w:hAnsi="Cambria Math" w:cs="Times New Roman"/>
                      <w:szCs w:val="24"/>
                      <w:lang w:val="en-GB"/>
                    </w:rPr>
                    <m:t>x</m:t>
                  </m:r>
                </m:e>
                <m:sub>
                  <m:r>
                    <w:rPr>
                      <w:rFonts w:ascii="Cambria Math" w:hAnsi="Cambria Math" w:cs="Times New Roman"/>
                      <w:szCs w:val="24"/>
                      <w:lang w:val="en-GB"/>
                    </w:rPr>
                    <m:t>min,j</m:t>
                  </m:r>
                </m:sub>
              </m:sSub>
            </m:oMath>
            <w:r w:rsidRPr="00851D0D">
              <w:rPr>
                <w:rFonts w:ascii="Times New Roman" w:hAnsi="Times New Roman" w:cs="Times New Roman" w:hint="eastAsia"/>
                <w:szCs w:val="24"/>
                <w:lang w:val="en-GB"/>
              </w:rPr>
              <w:t xml:space="preserve"> </w:t>
            </w:r>
            <w:r w:rsidRPr="00851D0D">
              <w:rPr>
                <w:rFonts w:ascii="Times New Roman" w:eastAsia="宋体" w:hAnsi="Times New Roman" w:cs="Times New Roman"/>
                <w:szCs w:val="24"/>
                <w:lang w:val="en-GB"/>
              </w:rPr>
              <w:t>indicates</w:t>
            </w:r>
            <w:r w:rsidRPr="00851D0D">
              <w:rPr>
                <w:rFonts w:ascii="Times New Roman" w:hAnsi="Times New Roman" w:cs="Times New Roman"/>
                <w:szCs w:val="24"/>
                <w:lang w:val="en-GB"/>
              </w:rPr>
              <w:t xml:space="preserve"> the valley points of each biomarker on the HR curve. </w:t>
            </w:r>
            <m:oMath>
              <m:sSubSup>
                <m:sSubSupPr>
                  <m:ctrlPr>
                    <w:rPr>
                      <w:rFonts w:ascii="Cambria Math" w:hAnsi="Cambria Math" w:cs="Times New Roman"/>
                      <w:i/>
                      <w:szCs w:val="24"/>
                      <w:lang w:val="en-GB"/>
                    </w:rPr>
                  </m:ctrlPr>
                </m:sSubSupPr>
                <m:e>
                  <m:r>
                    <w:rPr>
                      <w:rFonts w:ascii="Cambria Math" w:hAnsi="Cambria Math" w:cs="Times New Roman"/>
                      <w:szCs w:val="24"/>
                      <w:lang w:val="en-GB"/>
                    </w:rPr>
                    <m:t>R</m:t>
                  </m:r>
                </m:e>
                <m:sub>
                  <m:r>
                    <w:rPr>
                      <w:rFonts w:ascii="Cambria Math" w:hAnsi="Cambria Math" w:cs="Times New Roman"/>
                      <w:szCs w:val="24"/>
                      <w:lang w:val="en-GB"/>
                    </w:rPr>
                    <m:t>j</m:t>
                  </m:r>
                </m:sub>
                <m:sup>
                  <m:r>
                    <w:rPr>
                      <w:rFonts w:ascii="Cambria Math" w:hAnsi="Cambria Math" w:cs="Times New Roman"/>
                      <w:szCs w:val="24"/>
                      <w:lang w:val="en-GB"/>
                    </w:rPr>
                    <m:t>2</m:t>
                  </m:r>
                </m:sup>
              </m:sSubSup>
            </m:oMath>
            <w:r w:rsidRPr="00851D0D">
              <w:rPr>
                <w:rFonts w:ascii="Times New Roman" w:hAnsi="Times New Roman" w:cs="Times New Roman" w:hint="eastAsia"/>
                <w:szCs w:val="24"/>
                <w:lang w:val="en-GB"/>
              </w:rPr>
              <w:t xml:space="preserve"> </w:t>
            </w:r>
            <w:r w:rsidRPr="00851D0D">
              <w:rPr>
                <w:rFonts w:ascii="Times New Roman" w:hAnsi="Times New Roman" w:cs="Times New Roman"/>
                <w:szCs w:val="24"/>
                <w:lang w:val="en-GB"/>
              </w:rPr>
              <w:t xml:space="preserve">and </w:t>
            </w:r>
            <m:oMath>
              <m:sSub>
                <m:sSubPr>
                  <m:ctrlPr>
                    <w:rPr>
                      <w:rFonts w:ascii="Cambria Math" w:hAnsi="Cambria Math" w:cs="Times New Roman"/>
                      <w:i/>
                      <w:szCs w:val="24"/>
                      <w:lang w:val="en-GB"/>
                    </w:rPr>
                  </m:ctrlPr>
                </m:sSubPr>
                <m:e>
                  <m:r>
                    <w:rPr>
                      <w:rFonts w:ascii="Cambria Math" w:hAnsi="Cambria Math" w:cs="Times New Roman"/>
                      <w:szCs w:val="24"/>
                      <w:lang w:val="en-GB"/>
                    </w:rPr>
                    <m:t>HR</m:t>
                  </m:r>
                </m:e>
                <m:sub>
                  <m:r>
                    <w:rPr>
                      <w:rFonts w:ascii="Cambria Math" w:hAnsi="Cambria Math" w:cs="Times New Roman"/>
                      <w:szCs w:val="24"/>
                      <w:lang w:val="en-GB"/>
                    </w:rPr>
                    <m:t>ij</m:t>
                  </m:r>
                </m:sub>
              </m:sSub>
            </m:oMath>
            <w:r w:rsidRPr="00851D0D">
              <w:rPr>
                <w:rFonts w:ascii="Times New Roman" w:hAnsi="Times New Roman" w:cs="Times New Roman" w:hint="eastAsia"/>
                <w:szCs w:val="24"/>
                <w:lang w:val="en-GB"/>
              </w:rPr>
              <w:t xml:space="preserve"> </w:t>
            </w:r>
            <w:r w:rsidRPr="00851D0D">
              <w:rPr>
                <w:rFonts w:ascii="Times New Roman" w:hAnsi="Times New Roman" w:cs="Times New Roman"/>
                <w:szCs w:val="24"/>
                <w:lang w:val="en-GB"/>
              </w:rPr>
              <w:t>represent the relative importance of the</w:t>
            </w:r>
            <w:r w:rsidRPr="00851D0D">
              <w:rPr>
                <w:rFonts w:ascii="Times New Roman" w:hAnsi="Times New Roman" w:cs="Times New Roman"/>
                <w:i/>
                <w:szCs w:val="24"/>
                <w:lang w:val="en-GB"/>
              </w:rPr>
              <w:t xml:space="preserve"> </w:t>
            </w:r>
            <w:proofErr w:type="spellStart"/>
            <w:r w:rsidRPr="00851D0D">
              <w:rPr>
                <w:rFonts w:ascii="Times New Roman" w:hAnsi="Times New Roman" w:cs="Times New Roman"/>
                <w:i/>
                <w:szCs w:val="24"/>
                <w:lang w:val="en-GB"/>
              </w:rPr>
              <w:t>j</w:t>
            </w:r>
            <w:r w:rsidRPr="00851D0D">
              <w:rPr>
                <w:rFonts w:ascii="Times New Roman" w:hAnsi="Times New Roman" w:cs="Times New Roman"/>
                <w:szCs w:val="24"/>
                <w:vertAlign w:val="superscript"/>
                <w:lang w:val="en-GB"/>
              </w:rPr>
              <w:t>th</w:t>
            </w:r>
            <w:proofErr w:type="spellEnd"/>
            <w:r w:rsidRPr="00851D0D">
              <w:rPr>
                <w:rFonts w:ascii="Times New Roman" w:hAnsi="Times New Roman" w:cs="Times New Roman"/>
                <w:szCs w:val="24"/>
                <w:lang w:val="en-GB"/>
              </w:rPr>
              <w:t xml:space="preserve"> biomarker and the HR values of the </w:t>
            </w:r>
            <w:proofErr w:type="spellStart"/>
            <w:r w:rsidRPr="00851D0D">
              <w:rPr>
                <w:rFonts w:ascii="Times New Roman" w:hAnsi="Times New Roman" w:cs="Times New Roman"/>
                <w:i/>
                <w:szCs w:val="24"/>
                <w:lang w:val="en-GB"/>
              </w:rPr>
              <w:t>i</w:t>
            </w:r>
            <w:r w:rsidRPr="00851D0D">
              <w:rPr>
                <w:rFonts w:ascii="Times New Roman" w:hAnsi="Times New Roman" w:cs="Times New Roman"/>
                <w:szCs w:val="24"/>
                <w:vertAlign w:val="superscript"/>
                <w:lang w:val="en-GB"/>
              </w:rPr>
              <w:t>th</w:t>
            </w:r>
            <w:proofErr w:type="spellEnd"/>
            <w:r w:rsidRPr="00851D0D">
              <w:rPr>
                <w:rFonts w:ascii="Times New Roman" w:hAnsi="Times New Roman" w:cs="Times New Roman"/>
                <w:szCs w:val="24"/>
                <w:lang w:val="en-GB"/>
              </w:rPr>
              <w:t xml:space="preserve"> group of the </w:t>
            </w:r>
            <w:proofErr w:type="spellStart"/>
            <w:r w:rsidRPr="00851D0D">
              <w:rPr>
                <w:rFonts w:ascii="Times New Roman" w:hAnsi="Times New Roman" w:cs="Times New Roman"/>
                <w:i/>
                <w:szCs w:val="24"/>
                <w:lang w:val="en-GB"/>
              </w:rPr>
              <w:t>j</w:t>
            </w:r>
            <w:r w:rsidRPr="00851D0D">
              <w:rPr>
                <w:rFonts w:ascii="Times New Roman" w:hAnsi="Times New Roman" w:cs="Times New Roman"/>
                <w:szCs w:val="24"/>
                <w:vertAlign w:val="superscript"/>
                <w:lang w:val="en-GB"/>
              </w:rPr>
              <w:t>th</w:t>
            </w:r>
            <w:proofErr w:type="spellEnd"/>
            <w:r w:rsidRPr="00851D0D">
              <w:rPr>
                <w:rFonts w:ascii="Times New Roman" w:hAnsi="Times New Roman" w:cs="Times New Roman"/>
                <w:szCs w:val="24"/>
                <w:lang w:val="en-GB"/>
              </w:rPr>
              <w:t xml:space="preserve"> biomarker, respectively. For the referents and groups with P values &gt; 0.05, HR values were set to 1. We then split the LFRSs into two independent groups, namely</w:t>
            </w:r>
            <w:r w:rsidRPr="00851D0D">
              <w:rPr>
                <w:rFonts w:ascii="Times New Roman" w:eastAsia="宋体" w:hAnsi="Times New Roman" w:cs="Times New Roman"/>
                <w:szCs w:val="24"/>
                <w:lang w:val="en-GB"/>
              </w:rPr>
              <w:t>,</w:t>
            </w:r>
            <w:r w:rsidRPr="00851D0D">
              <w:rPr>
                <w:rFonts w:ascii="Times New Roman" w:hAnsi="Times New Roman" w:cs="Times New Roman"/>
                <w:szCs w:val="24"/>
                <w:lang w:val="en-GB"/>
              </w:rPr>
              <w:t xml:space="preserve"> high and low, with the median value as the cut-off. </w:t>
            </w:r>
          </w:p>
        </w:tc>
      </w:tr>
    </w:tbl>
    <w:p w14:paraId="451FF4A2" w14:textId="77777777" w:rsidR="008223AE" w:rsidRDefault="008223AE" w:rsidP="00851D0D">
      <w:pPr>
        <w:outlineLvl w:val="0"/>
        <w:rPr>
          <w:rFonts w:ascii="Times New Roman" w:hAnsi="Times New Roman" w:cs="Times New Roman"/>
          <w:b/>
          <w:sz w:val="18"/>
          <w:szCs w:val="18"/>
        </w:rPr>
      </w:pPr>
      <w:bookmarkStart w:id="4" w:name="_Toc45195068"/>
    </w:p>
    <w:p w14:paraId="75F8BCD2" w14:textId="77777777" w:rsidR="00851D0D" w:rsidRPr="00851D0D" w:rsidRDefault="00851D0D" w:rsidP="00851D0D">
      <w:pPr>
        <w:outlineLvl w:val="0"/>
        <w:rPr>
          <w:rFonts w:ascii="Times New Roman" w:hAnsi="Times New Roman" w:cs="Times New Roman"/>
          <w:b/>
          <w:sz w:val="18"/>
          <w:szCs w:val="18"/>
        </w:rPr>
      </w:pPr>
      <w:r w:rsidRPr="00851D0D">
        <w:rPr>
          <w:rFonts w:ascii="Times New Roman" w:hAnsi="Times New Roman" w:cs="Times New Roman" w:hint="eastAsia"/>
          <w:b/>
          <w:sz w:val="18"/>
          <w:szCs w:val="18"/>
        </w:rPr>
        <w:t>T</w:t>
      </w:r>
      <w:r w:rsidRPr="00851D0D">
        <w:rPr>
          <w:rFonts w:ascii="Times New Roman" w:hAnsi="Times New Roman" w:cs="Times New Roman"/>
          <w:b/>
          <w:sz w:val="18"/>
          <w:szCs w:val="18"/>
        </w:rPr>
        <w:t>able S1. Associations of mortality with serum levels of liver function biomarkers across adulthood in NHANES 1988-2014.</w:t>
      </w:r>
      <w:bookmarkEnd w:id="4"/>
    </w:p>
    <w:tbl>
      <w:tblPr>
        <w:tblStyle w:val="2"/>
        <w:tblW w:w="0" w:type="auto"/>
        <w:tblLook w:val="04A0" w:firstRow="1" w:lastRow="0" w:firstColumn="1" w:lastColumn="0" w:noHBand="0" w:noVBand="1"/>
      </w:tblPr>
      <w:tblGrid>
        <w:gridCol w:w="829"/>
        <w:gridCol w:w="1229"/>
        <w:gridCol w:w="766"/>
        <w:gridCol w:w="1489"/>
        <w:gridCol w:w="771"/>
        <w:gridCol w:w="1229"/>
        <w:gridCol w:w="764"/>
        <w:gridCol w:w="1229"/>
      </w:tblGrid>
      <w:tr w:rsidR="00851D0D" w:rsidRPr="00851D0D" w14:paraId="74A3462E" w14:textId="77777777" w:rsidTr="00851D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270B98D" w14:textId="77777777" w:rsidR="00851D0D" w:rsidRPr="00851D0D" w:rsidRDefault="00851D0D" w:rsidP="00851D0D">
            <w:pPr>
              <w:jc w:val="left"/>
              <w:rPr>
                <w:rFonts w:ascii="Times New Roman" w:hAnsi="Times New Roman" w:cs="Times New Roman"/>
                <w:b w:val="0"/>
                <w:sz w:val="13"/>
                <w:szCs w:val="13"/>
              </w:rPr>
            </w:pPr>
          </w:p>
        </w:tc>
        <w:tc>
          <w:tcPr>
            <w:tcW w:w="1581" w:type="dxa"/>
          </w:tcPr>
          <w:p w14:paraId="198B3A68"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All causes</w:t>
            </w:r>
          </w:p>
        </w:tc>
        <w:tc>
          <w:tcPr>
            <w:tcW w:w="1118" w:type="dxa"/>
          </w:tcPr>
          <w:p w14:paraId="0D4C55A4"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447E2E59"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Heart &amp; cerebrovascular diseases</w:t>
            </w:r>
          </w:p>
        </w:tc>
        <w:tc>
          <w:tcPr>
            <w:tcW w:w="1129" w:type="dxa"/>
          </w:tcPr>
          <w:p w14:paraId="37C4E7E5"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180114AF"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Cancer</w:t>
            </w:r>
          </w:p>
        </w:tc>
        <w:tc>
          <w:tcPr>
            <w:tcW w:w="1112" w:type="dxa"/>
          </w:tcPr>
          <w:p w14:paraId="7C8344E7"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52F74F1F" w14:textId="77777777" w:rsidR="00851D0D" w:rsidRPr="00851D0D" w:rsidRDefault="00851D0D" w:rsidP="00851D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Others</w:t>
            </w:r>
          </w:p>
        </w:tc>
      </w:tr>
      <w:tr w:rsidR="00851D0D" w:rsidRPr="00851D0D" w14:paraId="2C64A4A1"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6C83E75"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Serum level</w:t>
            </w:r>
          </w:p>
        </w:tc>
        <w:tc>
          <w:tcPr>
            <w:tcW w:w="1581" w:type="dxa"/>
          </w:tcPr>
          <w:p w14:paraId="3B10F023"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HR (95% CI)</w:t>
            </w:r>
          </w:p>
        </w:tc>
        <w:tc>
          <w:tcPr>
            <w:tcW w:w="1118" w:type="dxa"/>
          </w:tcPr>
          <w:p w14:paraId="13D93C3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Serum level</w:t>
            </w:r>
          </w:p>
        </w:tc>
        <w:tc>
          <w:tcPr>
            <w:tcW w:w="2131" w:type="dxa"/>
          </w:tcPr>
          <w:p w14:paraId="0FE6F69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HR (95% CI)</w:t>
            </w:r>
          </w:p>
        </w:tc>
        <w:tc>
          <w:tcPr>
            <w:tcW w:w="1129" w:type="dxa"/>
          </w:tcPr>
          <w:p w14:paraId="2A8F1A69"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Serum level</w:t>
            </w:r>
          </w:p>
        </w:tc>
        <w:tc>
          <w:tcPr>
            <w:tcW w:w="1581" w:type="dxa"/>
          </w:tcPr>
          <w:p w14:paraId="4EF4E4E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HR (95% CI)</w:t>
            </w:r>
          </w:p>
        </w:tc>
        <w:tc>
          <w:tcPr>
            <w:tcW w:w="1112" w:type="dxa"/>
          </w:tcPr>
          <w:p w14:paraId="23FEDCB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Serum level</w:t>
            </w:r>
          </w:p>
        </w:tc>
        <w:tc>
          <w:tcPr>
            <w:tcW w:w="1581" w:type="dxa"/>
          </w:tcPr>
          <w:p w14:paraId="036748E8"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HR (95% CI)</w:t>
            </w:r>
          </w:p>
        </w:tc>
      </w:tr>
      <w:tr w:rsidR="00851D0D" w:rsidRPr="00851D0D" w14:paraId="64C78BBA"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2C0C7EBE"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ALT (U/L)</w:t>
            </w:r>
          </w:p>
        </w:tc>
        <w:tc>
          <w:tcPr>
            <w:tcW w:w="1581" w:type="dxa"/>
          </w:tcPr>
          <w:p w14:paraId="7667191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8" w:type="dxa"/>
          </w:tcPr>
          <w:p w14:paraId="6C3A479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12D87925"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29" w:type="dxa"/>
          </w:tcPr>
          <w:p w14:paraId="15AC307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09CC55F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2" w:type="dxa"/>
          </w:tcPr>
          <w:p w14:paraId="7F0BC86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02146DDE"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851D0D" w:rsidRPr="00851D0D" w14:paraId="1157BD35"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648539C"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0-14</w:t>
            </w:r>
          </w:p>
        </w:tc>
        <w:tc>
          <w:tcPr>
            <w:tcW w:w="1581" w:type="dxa"/>
            <w:vAlign w:val="center"/>
          </w:tcPr>
          <w:p w14:paraId="2FBC6DE0"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1.27(1.14,1.41)</w:t>
            </w:r>
          </w:p>
        </w:tc>
        <w:tc>
          <w:tcPr>
            <w:tcW w:w="1118" w:type="dxa"/>
          </w:tcPr>
          <w:p w14:paraId="6ACFFAEC"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0-11</w:t>
            </w:r>
          </w:p>
        </w:tc>
        <w:tc>
          <w:tcPr>
            <w:tcW w:w="2131" w:type="dxa"/>
            <w:vAlign w:val="center"/>
          </w:tcPr>
          <w:p w14:paraId="47DA13B0"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2.04(1.78,2.33)</w:t>
            </w:r>
          </w:p>
        </w:tc>
        <w:tc>
          <w:tcPr>
            <w:tcW w:w="1129" w:type="dxa"/>
          </w:tcPr>
          <w:p w14:paraId="14322CC5"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0-14</w:t>
            </w:r>
          </w:p>
        </w:tc>
        <w:tc>
          <w:tcPr>
            <w:tcW w:w="1581" w:type="dxa"/>
            <w:vAlign w:val="center"/>
          </w:tcPr>
          <w:p w14:paraId="63EC2F45"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2.17(1.74,2.70)</w:t>
            </w:r>
          </w:p>
        </w:tc>
        <w:tc>
          <w:tcPr>
            <w:tcW w:w="1112" w:type="dxa"/>
          </w:tcPr>
          <w:p w14:paraId="76DE629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0-14</w:t>
            </w:r>
          </w:p>
        </w:tc>
        <w:tc>
          <w:tcPr>
            <w:tcW w:w="1581" w:type="dxa"/>
            <w:vAlign w:val="center"/>
          </w:tcPr>
          <w:p w14:paraId="4C7A77EE"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1.22(1.06,1.40)</w:t>
            </w:r>
          </w:p>
        </w:tc>
      </w:tr>
      <w:tr w:rsidR="00851D0D" w:rsidRPr="00851D0D" w14:paraId="02358BC6"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6E024243"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15-30</w:t>
            </w:r>
          </w:p>
        </w:tc>
        <w:tc>
          <w:tcPr>
            <w:tcW w:w="1581" w:type="dxa"/>
            <w:vAlign w:val="center"/>
          </w:tcPr>
          <w:p w14:paraId="67B5046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1.07(0.96,1.18)</w:t>
            </w:r>
          </w:p>
        </w:tc>
        <w:tc>
          <w:tcPr>
            <w:tcW w:w="1118" w:type="dxa"/>
          </w:tcPr>
          <w:p w14:paraId="26765A8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12-23</w:t>
            </w:r>
          </w:p>
        </w:tc>
        <w:tc>
          <w:tcPr>
            <w:tcW w:w="2131" w:type="dxa"/>
            <w:vAlign w:val="center"/>
          </w:tcPr>
          <w:p w14:paraId="257AC91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1.14(1.01,1.29)</w:t>
            </w:r>
          </w:p>
        </w:tc>
        <w:tc>
          <w:tcPr>
            <w:tcW w:w="1129" w:type="dxa"/>
          </w:tcPr>
          <w:p w14:paraId="7281B3C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15-30</w:t>
            </w:r>
          </w:p>
        </w:tc>
        <w:tc>
          <w:tcPr>
            <w:tcW w:w="1581" w:type="dxa"/>
            <w:vAlign w:val="center"/>
          </w:tcPr>
          <w:p w14:paraId="74DB92A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1.23(0.99,1.52)</w:t>
            </w:r>
          </w:p>
        </w:tc>
        <w:tc>
          <w:tcPr>
            <w:tcW w:w="1112" w:type="dxa"/>
          </w:tcPr>
          <w:p w14:paraId="26958F65"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15-30</w:t>
            </w:r>
          </w:p>
        </w:tc>
        <w:tc>
          <w:tcPr>
            <w:tcW w:w="1581" w:type="dxa"/>
            <w:vAlign w:val="center"/>
          </w:tcPr>
          <w:p w14:paraId="52AAEC3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1.02(0.89,1.17)</w:t>
            </w:r>
          </w:p>
        </w:tc>
      </w:tr>
      <w:tr w:rsidR="00851D0D" w:rsidRPr="00851D0D" w14:paraId="53F28482"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B3FD377" w14:textId="77777777" w:rsidR="00851D0D" w:rsidRPr="00851D0D" w:rsidRDefault="00851D0D" w:rsidP="00176DB1">
            <w:pPr>
              <w:ind w:firstLineChars="50" w:firstLine="65"/>
              <w:rPr>
                <w:rFonts w:ascii="Times New Roman" w:hAnsi="Times New Roman" w:cs="Times New Roman"/>
                <w:b w:val="0"/>
                <w:sz w:val="13"/>
                <w:szCs w:val="13"/>
              </w:rPr>
            </w:pPr>
            <w:r w:rsidRPr="00851D0D">
              <w:rPr>
                <w:rFonts w:ascii="Times New Roman" w:hAnsi="Times New Roman" w:cs="Times New Roman"/>
                <w:b w:val="0"/>
                <w:sz w:val="13"/>
                <w:szCs w:val="13"/>
              </w:rPr>
              <w:t>31-40</w:t>
            </w:r>
          </w:p>
        </w:tc>
        <w:tc>
          <w:tcPr>
            <w:tcW w:w="1581" w:type="dxa"/>
            <w:vAlign w:val="center"/>
          </w:tcPr>
          <w:p w14:paraId="3AA0605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8" w:type="dxa"/>
          </w:tcPr>
          <w:p w14:paraId="359CA77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24-40</w:t>
            </w:r>
          </w:p>
        </w:tc>
        <w:tc>
          <w:tcPr>
            <w:tcW w:w="2131" w:type="dxa"/>
            <w:vAlign w:val="center"/>
          </w:tcPr>
          <w:p w14:paraId="55D28E53"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29" w:type="dxa"/>
          </w:tcPr>
          <w:p w14:paraId="09AAE22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31-40</w:t>
            </w:r>
          </w:p>
        </w:tc>
        <w:tc>
          <w:tcPr>
            <w:tcW w:w="1581" w:type="dxa"/>
            <w:vAlign w:val="center"/>
          </w:tcPr>
          <w:p w14:paraId="7BB3413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2" w:type="dxa"/>
          </w:tcPr>
          <w:p w14:paraId="26D8F02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31-40</w:t>
            </w:r>
          </w:p>
        </w:tc>
        <w:tc>
          <w:tcPr>
            <w:tcW w:w="1581" w:type="dxa"/>
            <w:vAlign w:val="center"/>
          </w:tcPr>
          <w:p w14:paraId="6B812197"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r>
      <w:tr w:rsidR="00851D0D" w:rsidRPr="00851D0D" w14:paraId="5345D77B"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19D24360"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41-60</w:t>
            </w:r>
          </w:p>
        </w:tc>
        <w:tc>
          <w:tcPr>
            <w:tcW w:w="1581" w:type="dxa"/>
            <w:vAlign w:val="center"/>
          </w:tcPr>
          <w:p w14:paraId="326F6CA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1.24(1.06,1.45)</w:t>
            </w:r>
          </w:p>
        </w:tc>
        <w:tc>
          <w:tcPr>
            <w:tcW w:w="1118" w:type="dxa"/>
          </w:tcPr>
          <w:p w14:paraId="77A9088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41-60</w:t>
            </w:r>
          </w:p>
        </w:tc>
        <w:tc>
          <w:tcPr>
            <w:tcW w:w="2131" w:type="dxa"/>
            <w:vAlign w:val="center"/>
          </w:tcPr>
          <w:p w14:paraId="2AB9218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0.96(0.70,1.32)</w:t>
            </w:r>
          </w:p>
        </w:tc>
        <w:tc>
          <w:tcPr>
            <w:tcW w:w="1129" w:type="dxa"/>
          </w:tcPr>
          <w:p w14:paraId="1B47DC8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41-60</w:t>
            </w:r>
          </w:p>
        </w:tc>
        <w:tc>
          <w:tcPr>
            <w:tcW w:w="1581" w:type="dxa"/>
            <w:vAlign w:val="center"/>
          </w:tcPr>
          <w:p w14:paraId="2EE438D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1.45(1.05,2.01)</w:t>
            </w:r>
          </w:p>
        </w:tc>
        <w:tc>
          <w:tcPr>
            <w:tcW w:w="1112" w:type="dxa"/>
          </w:tcPr>
          <w:p w14:paraId="0465EF2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41-60</w:t>
            </w:r>
          </w:p>
        </w:tc>
        <w:tc>
          <w:tcPr>
            <w:tcW w:w="1581" w:type="dxa"/>
            <w:vAlign w:val="center"/>
          </w:tcPr>
          <w:p w14:paraId="559514A5"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1.35(1.09,1.66)</w:t>
            </w:r>
          </w:p>
        </w:tc>
      </w:tr>
      <w:tr w:rsidR="00851D0D" w:rsidRPr="00851D0D" w14:paraId="63803F81"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96865D9"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61-99</w:t>
            </w:r>
          </w:p>
        </w:tc>
        <w:tc>
          <w:tcPr>
            <w:tcW w:w="1581" w:type="dxa"/>
            <w:vAlign w:val="center"/>
          </w:tcPr>
          <w:p w14:paraId="7517F957"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1.70(1.38,2.10)</w:t>
            </w:r>
          </w:p>
        </w:tc>
        <w:tc>
          <w:tcPr>
            <w:tcW w:w="1118" w:type="dxa"/>
          </w:tcPr>
          <w:p w14:paraId="33C571B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61-99</w:t>
            </w:r>
          </w:p>
        </w:tc>
        <w:tc>
          <w:tcPr>
            <w:tcW w:w="2131" w:type="dxa"/>
            <w:vAlign w:val="center"/>
          </w:tcPr>
          <w:p w14:paraId="38A7938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2.12(1.48,3.04)</w:t>
            </w:r>
          </w:p>
        </w:tc>
        <w:tc>
          <w:tcPr>
            <w:tcW w:w="1129" w:type="dxa"/>
          </w:tcPr>
          <w:p w14:paraId="0FD28D8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61-99</w:t>
            </w:r>
          </w:p>
        </w:tc>
        <w:tc>
          <w:tcPr>
            <w:tcW w:w="1581" w:type="dxa"/>
            <w:vAlign w:val="center"/>
          </w:tcPr>
          <w:p w14:paraId="1B8C9A29"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1.80(1.13,2.87)</w:t>
            </w:r>
          </w:p>
        </w:tc>
        <w:tc>
          <w:tcPr>
            <w:tcW w:w="1112" w:type="dxa"/>
          </w:tcPr>
          <w:p w14:paraId="7C02E51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61-99</w:t>
            </w:r>
          </w:p>
        </w:tc>
        <w:tc>
          <w:tcPr>
            <w:tcW w:w="1581" w:type="dxa"/>
            <w:vAlign w:val="center"/>
          </w:tcPr>
          <w:p w14:paraId="161CA204"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1.71(1.27,2.29)</w:t>
            </w:r>
          </w:p>
        </w:tc>
      </w:tr>
      <w:tr w:rsidR="00851D0D" w:rsidRPr="00851D0D" w14:paraId="2926A2D3"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4A111FB7"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AST (U/L)</w:t>
            </w:r>
          </w:p>
        </w:tc>
        <w:tc>
          <w:tcPr>
            <w:tcW w:w="1581" w:type="dxa"/>
          </w:tcPr>
          <w:p w14:paraId="0DFA7FE2"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8" w:type="dxa"/>
          </w:tcPr>
          <w:p w14:paraId="5E08B0C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0E71CA0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29" w:type="dxa"/>
          </w:tcPr>
          <w:p w14:paraId="3E6080A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1734682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2" w:type="dxa"/>
          </w:tcPr>
          <w:p w14:paraId="508C5FB5"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34407DC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851D0D" w:rsidRPr="00851D0D" w14:paraId="16D03D6E"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A413678"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0-10</w:t>
            </w:r>
          </w:p>
        </w:tc>
        <w:tc>
          <w:tcPr>
            <w:tcW w:w="1581" w:type="dxa"/>
            <w:vAlign w:val="center"/>
          </w:tcPr>
          <w:p w14:paraId="42D36DD0"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1.54(1.31,1.83)</w:t>
            </w:r>
          </w:p>
        </w:tc>
        <w:tc>
          <w:tcPr>
            <w:tcW w:w="1118" w:type="dxa"/>
          </w:tcPr>
          <w:p w14:paraId="4428A4B2"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0-15</w:t>
            </w:r>
          </w:p>
        </w:tc>
        <w:tc>
          <w:tcPr>
            <w:tcW w:w="2131" w:type="dxa"/>
            <w:vAlign w:val="center"/>
          </w:tcPr>
          <w:p w14:paraId="66431C39"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1.43(1.14,1.80)</w:t>
            </w:r>
          </w:p>
        </w:tc>
        <w:tc>
          <w:tcPr>
            <w:tcW w:w="1129" w:type="dxa"/>
          </w:tcPr>
          <w:p w14:paraId="379EB590"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0-15</w:t>
            </w:r>
          </w:p>
        </w:tc>
        <w:tc>
          <w:tcPr>
            <w:tcW w:w="1581" w:type="dxa"/>
            <w:vAlign w:val="center"/>
          </w:tcPr>
          <w:p w14:paraId="5EA81CA5"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1.73(1.33,2.24)</w:t>
            </w:r>
          </w:p>
        </w:tc>
        <w:tc>
          <w:tcPr>
            <w:tcW w:w="1112" w:type="dxa"/>
          </w:tcPr>
          <w:p w14:paraId="725FBCC8"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0-11</w:t>
            </w:r>
          </w:p>
        </w:tc>
        <w:tc>
          <w:tcPr>
            <w:tcW w:w="1581" w:type="dxa"/>
            <w:vAlign w:val="center"/>
          </w:tcPr>
          <w:p w14:paraId="5DDA3280"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1.54(1.15,2.07)</w:t>
            </w:r>
          </w:p>
        </w:tc>
      </w:tr>
      <w:tr w:rsidR="00851D0D" w:rsidRPr="00851D0D" w14:paraId="7B5267FF"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4DD17223"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11-21</w:t>
            </w:r>
          </w:p>
        </w:tc>
        <w:tc>
          <w:tcPr>
            <w:tcW w:w="1581" w:type="dxa"/>
            <w:vAlign w:val="center"/>
          </w:tcPr>
          <w:p w14:paraId="771485F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1.07(1.02,1.12)</w:t>
            </w:r>
          </w:p>
        </w:tc>
        <w:tc>
          <w:tcPr>
            <w:tcW w:w="1118" w:type="dxa"/>
          </w:tcPr>
          <w:p w14:paraId="69658D4E"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16-32</w:t>
            </w:r>
          </w:p>
        </w:tc>
        <w:tc>
          <w:tcPr>
            <w:tcW w:w="2131" w:type="dxa"/>
            <w:vAlign w:val="center"/>
          </w:tcPr>
          <w:p w14:paraId="77EAEB55"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0.99(0.80,1.22)</w:t>
            </w:r>
          </w:p>
        </w:tc>
        <w:tc>
          <w:tcPr>
            <w:tcW w:w="1129" w:type="dxa"/>
          </w:tcPr>
          <w:p w14:paraId="0A5321B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16-32</w:t>
            </w:r>
          </w:p>
        </w:tc>
        <w:tc>
          <w:tcPr>
            <w:tcW w:w="1581" w:type="dxa"/>
            <w:vAlign w:val="center"/>
          </w:tcPr>
          <w:p w14:paraId="3240B9C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1.10(0.86,1.40)</w:t>
            </w:r>
          </w:p>
        </w:tc>
        <w:tc>
          <w:tcPr>
            <w:tcW w:w="1112" w:type="dxa"/>
          </w:tcPr>
          <w:p w14:paraId="7822DFE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12-23</w:t>
            </w:r>
          </w:p>
        </w:tc>
        <w:tc>
          <w:tcPr>
            <w:tcW w:w="1581" w:type="dxa"/>
            <w:vAlign w:val="center"/>
          </w:tcPr>
          <w:p w14:paraId="6CF482F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1.06(0.99,1.13)</w:t>
            </w:r>
          </w:p>
        </w:tc>
      </w:tr>
      <w:tr w:rsidR="00851D0D" w:rsidRPr="00851D0D" w14:paraId="0DF8685B"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36C891D"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22-40</w:t>
            </w:r>
          </w:p>
        </w:tc>
        <w:tc>
          <w:tcPr>
            <w:tcW w:w="1581" w:type="dxa"/>
            <w:vAlign w:val="center"/>
          </w:tcPr>
          <w:p w14:paraId="15D4F188"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8" w:type="dxa"/>
          </w:tcPr>
          <w:p w14:paraId="2542B9A3"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33-40</w:t>
            </w:r>
          </w:p>
        </w:tc>
        <w:tc>
          <w:tcPr>
            <w:tcW w:w="2131" w:type="dxa"/>
            <w:vAlign w:val="center"/>
          </w:tcPr>
          <w:p w14:paraId="0BD863C8"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29" w:type="dxa"/>
          </w:tcPr>
          <w:p w14:paraId="0778A0A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33-40</w:t>
            </w:r>
          </w:p>
        </w:tc>
        <w:tc>
          <w:tcPr>
            <w:tcW w:w="1581" w:type="dxa"/>
            <w:vAlign w:val="center"/>
          </w:tcPr>
          <w:p w14:paraId="39B8454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2" w:type="dxa"/>
          </w:tcPr>
          <w:p w14:paraId="6D47162D"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24-40</w:t>
            </w:r>
          </w:p>
        </w:tc>
        <w:tc>
          <w:tcPr>
            <w:tcW w:w="1581" w:type="dxa"/>
            <w:vAlign w:val="center"/>
          </w:tcPr>
          <w:p w14:paraId="5B2AA49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r>
      <w:tr w:rsidR="00851D0D" w:rsidRPr="00851D0D" w14:paraId="3489022E"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0DC83371"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41-60</w:t>
            </w:r>
          </w:p>
        </w:tc>
        <w:tc>
          <w:tcPr>
            <w:tcW w:w="1581" w:type="dxa"/>
            <w:vAlign w:val="center"/>
          </w:tcPr>
          <w:p w14:paraId="546A3B5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1.42(1.26,1.61)</w:t>
            </w:r>
          </w:p>
        </w:tc>
        <w:tc>
          <w:tcPr>
            <w:tcW w:w="1118" w:type="dxa"/>
          </w:tcPr>
          <w:p w14:paraId="0A7412F0"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41-60</w:t>
            </w:r>
          </w:p>
        </w:tc>
        <w:tc>
          <w:tcPr>
            <w:tcW w:w="2131" w:type="dxa"/>
            <w:vAlign w:val="center"/>
          </w:tcPr>
          <w:p w14:paraId="220744D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1.21(0.88,1.68)</w:t>
            </w:r>
          </w:p>
        </w:tc>
        <w:tc>
          <w:tcPr>
            <w:tcW w:w="1129" w:type="dxa"/>
          </w:tcPr>
          <w:p w14:paraId="0BE91380"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41-60</w:t>
            </w:r>
          </w:p>
        </w:tc>
        <w:tc>
          <w:tcPr>
            <w:tcW w:w="1581" w:type="dxa"/>
            <w:vAlign w:val="center"/>
          </w:tcPr>
          <w:p w14:paraId="079DC0B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1.46(1.03,2.06)</w:t>
            </w:r>
          </w:p>
        </w:tc>
        <w:tc>
          <w:tcPr>
            <w:tcW w:w="1112" w:type="dxa"/>
          </w:tcPr>
          <w:p w14:paraId="49F7BEB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41-60</w:t>
            </w:r>
          </w:p>
        </w:tc>
        <w:tc>
          <w:tcPr>
            <w:tcW w:w="1581" w:type="dxa"/>
            <w:vAlign w:val="center"/>
          </w:tcPr>
          <w:p w14:paraId="405C6B3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1.54(1.31,1.81)</w:t>
            </w:r>
          </w:p>
        </w:tc>
      </w:tr>
      <w:tr w:rsidR="00851D0D" w:rsidRPr="00851D0D" w14:paraId="678FFD46"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7256E37"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61-99</w:t>
            </w:r>
          </w:p>
        </w:tc>
        <w:tc>
          <w:tcPr>
            <w:tcW w:w="1581" w:type="dxa"/>
            <w:vAlign w:val="center"/>
          </w:tcPr>
          <w:p w14:paraId="4201DCB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1.99(1.61,2.44)</w:t>
            </w:r>
          </w:p>
        </w:tc>
        <w:tc>
          <w:tcPr>
            <w:tcW w:w="1118" w:type="dxa"/>
          </w:tcPr>
          <w:p w14:paraId="5C7E37A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61-99</w:t>
            </w:r>
          </w:p>
        </w:tc>
        <w:tc>
          <w:tcPr>
            <w:tcW w:w="2131" w:type="dxa"/>
            <w:vAlign w:val="center"/>
          </w:tcPr>
          <w:p w14:paraId="712A825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1.76(1.14,2.73)</w:t>
            </w:r>
          </w:p>
        </w:tc>
        <w:tc>
          <w:tcPr>
            <w:tcW w:w="1129" w:type="dxa"/>
          </w:tcPr>
          <w:p w14:paraId="06D85BE5"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61-99</w:t>
            </w:r>
          </w:p>
        </w:tc>
        <w:tc>
          <w:tcPr>
            <w:tcW w:w="1581" w:type="dxa"/>
            <w:vAlign w:val="center"/>
          </w:tcPr>
          <w:p w14:paraId="354A0A87"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1.72(1.03,2.89)</w:t>
            </w:r>
          </w:p>
        </w:tc>
        <w:tc>
          <w:tcPr>
            <w:tcW w:w="1112" w:type="dxa"/>
          </w:tcPr>
          <w:p w14:paraId="7482A89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61-99</w:t>
            </w:r>
          </w:p>
        </w:tc>
        <w:tc>
          <w:tcPr>
            <w:tcW w:w="1581" w:type="dxa"/>
            <w:vAlign w:val="center"/>
          </w:tcPr>
          <w:p w14:paraId="5389C679"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2.34(1.84,2.99)</w:t>
            </w:r>
          </w:p>
        </w:tc>
      </w:tr>
      <w:tr w:rsidR="00851D0D" w:rsidRPr="00851D0D" w14:paraId="6E3448E4"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19F46729"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GGT (U/L)</w:t>
            </w:r>
          </w:p>
        </w:tc>
        <w:tc>
          <w:tcPr>
            <w:tcW w:w="1581" w:type="dxa"/>
          </w:tcPr>
          <w:p w14:paraId="5026459E"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8" w:type="dxa"/>
          </w:tcPr>
          <w:p w14:paraId="6749A14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0EBDFE30"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29" w:type="dxa"/>
          </w:tcPr>
          <w:p w14:paraId="29CD2A8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3EE5C55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2" w:type="dxa"/>
          </w:tcPr>
          <w:p w14:paraId="0FCFEF2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3716512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851D0D" w:rsidRPr="00851D0D" w14:paraId="1093D368"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6DD391A"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0-13</w:t>
            </w:r>
          </w:p>
        </w:tc>
        <w:tc>
          <w:tcPr>
            <w:tcW w:w="1581" w:type="dxa"/>
            <w:vAlign w:val="center"/>
          </w:tcPr>
          <w:p w14:paraId="4FE49866"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8" w:type="dxa"/>
          </w:tcPr>
          <w:p w14:paraId="0FB767DC"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0-10</w:t>
            </w:r>
          </w:p>
        </w:tc>
        <w:tc>
          <w:tcPr>
            <w:tcW w:w="2131" w:type="dxa"/>
            <w:vAlign w:val="center"/>
          </w:tcPr>
          <w:p w14:paraId="0A181E7E"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29" w:type="dxa"/>
          </w:tcPr>
          <w:p w14:paraId="5A568AC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0-10</w:t>
            </w:r>
          </w:p>
        </w:tc>
        <w:tc>
          <w:tcPr>
            <w:tcW w:w="1581" w:type="dxa"/>
            <w:vAlign w:val="center"/>
          </w:tcPr>
          <w:p w14:paraId="45161D27"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2" w:type="dxa"/>
          </w:tcPr>
          <w:p w14:paraId="7C69317D"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0-10</w:t>
            </w:r>
          </w:p>
        </w:tc>
        <w:tc>
          <w:tcPr>
            <w:tcW w:w="1581" w:type="dxa"/>
            <w:vAlign w:val="center"/>
          </w:tcPr>
          <w:p w14:paraId="6A9C7DD2"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r>
      <w:tr w:rsidR="00851D0D" w:rsidRPr="00851D0D" w14:paraId="1BB615D3"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122208C3"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14-25</w:t>
            </w:r>
          </w:p>
        </w:tc>
        <w:tc>
          <w:tcPr>
            <w:tcW w:w="1581" w:type="dxa"/>
            <w:vAlign w:val="center"/>
          </w:tcPr>
          <w:p w14:paraId="3EB6DB5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1.01(0.91,1.12)</w:t>
            </w:r>
          </w:p>
        </w:tc>
        <w:tc>
          <w:tcPr>
            <w:tcW w:w="1118" w:type="dxa"/>
          </w:tcPr>
          <w:p w14:paraId="080A2CF2"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11-25</w:t>
            </w:r>
          </w:p>
        </w:tc>
        <w:tc>
          <w:tcPr>
            <w:tcW w:w="2131" w:type="dxa"/>
            <w:vAlign w:val="center"/>
          </w:tcPr>
          <w:p w14:paraId="096AEF3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1.14(0.91,1.42)</w:t>
            </w:r>
          </w:p>
        </w:tc>
        <w:tc>
          <w:tcPr>
            <w:tcW w:w="1129" w:type="dxa"/>
          </w:tcPr>
          <w:p w14:paraId="66671C3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11-25</w:t>
            </w:r>
          </w:p>
        </w:tc>
        <w:tc>
          <w:tcPr>
            <w:tcW w:w="1581" w:type="dxa"/>
            <w:vAlign w:val="center"/>
          </w:tcPr>
          <w:p w14:paraId="1CB3508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1.10(0.91,1.38)</w:t>
            </w:r>
          </w:p>
        </w:tc>
        <w:tc>
          <w:tcPr>
            <w:tcW w:w="1112" w:type="dxa"/>
          </w:tcPr>
          <w:p w14:paraId="2624913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11-25</w:t>
            </w:r>
          </w:p>
        </w:tc>
        <w:tc>
          <w:tcPr>
            <w:tcW w:w="1581" w:type="dxa"/>
            <w:vAlign w:val="center"/>
          </w:tcPr>
          <w:p w14:paraId="63E322A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1.06(0.92,1.22)</w:t>
            </w:r>
          </w:p>
        </w:tc>
      </w:tr>
      <w:tr w:rsidR="00851D0D" w:rsidRPr="00851D0D" w14:paraId="748D13F4"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370045D"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26-50</w:t>
            </w:r>
          </w:p>
        </w:tc>
        <w:tc>
          <w:tcPr>
            <w:tcW w:w="1581" w:type="dxa"/>
            <w:vAlign w:val="center"/>
          </w:tcPr>
          <w:p w14:paraId="6B642CE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1.13(1.01,1.26)</w:t>
            </w:r>
          </w:p>
        </w:tc>
        <w:tc>
          <w:tcPr>
            <w:tcW w:w="1118" w:type="dxa"/>
          </w:tcPr>
          <w:p w14:paraId="7D1BF1A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26-50</w:t>
            </w:r>
          </w:p>
        </w:tc>
        <w:tc>
          <w:tcPr>
            <w:tcW w:w="2131" w:type="dxa"/>
            <w:vAlign w:val="center"/>
          </w:tcPr>
          <w:p w14:paraId="3411D1F5"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1.30(1.03,1.63)</w:t>
            </w:r>
          </w:p>
        </w:tc>
        <w:tc>
          <w:tcPr>
            <w:tcW w:w="1129" w:type="dxa"/>
          </w:tcPr>
          <w:p w14:paraId="2AB07275"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26-50</w:t>
            </w:r>
          </w:p>
        </w:tc>
        <w:tc>
          <w:tcPr>
            <w:tcW w:w="1581" w:type="dxa"/>
            <w:vAlign w:val="center"/>
          </w:tcPr>
          <w:p w14:paraId="4E23ACCC"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1.11(1.03,1.50)</w:t>
            </w:r>
          </w:p>
        </w:tc>
        <w:tc>
          <w:tcPr>
            <w:tcW w:w="1112" w:type="dxa"/>
          </w:tcPr>
          <w:p w14:paraId="49A8F41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26-50</w:t>
            </w:r>
          </w:p>
        </w:tc>
        <w:tc>
          <w:tcPr>
            <w:tcW w:w="1581" w:type="dxa"/>
            <w:vAlign w:val="center"/>
          </w:tcPr>
          <w:p w14:paraId="71A8D1F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1.35(1.13,1.61)</w:t>
            </w:r>
          </w:p>
        </w:tc>
      </w:tr>
      <w:tr w:rsidR="00851D0D" w:rsidRPr="00851D0D" w14:paraId="4E7B24A1"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63435C44"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lastRenderedPageBreak/>
              <w:t xml:space="preserve"> 51-80</w:t>
            </w:r>
          </w:p>
        </w:tc>
        <w:tc>
          <w:tcPr>
            <w:tcW w:w="1581" w:type="dxa"/>
            <w:vAlign w:val="center"/>
          </w:tcPr>
          <w:p w14:paraId="2A379AC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1.26(1.11,1.44)</w:t>
            </w:r>
          </w:p>
        </w:tc>
        <w:tc>
          <w:tcPr>
            <w:tcW w:w="1118" w:type="dxa"/>
          </w:tcPr>
          <w:p w14:paraId="323AC59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51-80</w:t>
            </w:r>
          </w:p>
        </w:tc>
        <w:tc>
          <w:tcPr>
            <w:tcW w:w="2131" w:type="dxa"/>
            <w:vAlign w:val="center"/>
          </w:tcPr>
          <w:p w14:paraId="13BA721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1.35(1.03,1.78)</w:t>
            </w:r>
          </w:p>
        </w:tc>
        <w:tc>
          <w:tcPr>
            <w:tcW w:w="1129" w:type="dxa"/>
          </w:tcPr>
          <w:p w14:paraId="72B7C67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51-80</w:t>
            </w:r>
          </w:p>
        </w:tc>
        <w:tc>
          <w:tcPr>
            <w:tcW w:w="1581" w:type="dxa"/>
            <w:vAlign w:val="center"/>
          </w:tcPr>
          <w:p w14:paraId="0F4531C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1.78(1.03,2.54)</w:t>
            </w:r>
          </w:p>
        </w:tc>
        <w:tc>
          <w:tcPr>
            <w:tcW w:w="1112" w:type="dxa"/>
          </w:tcPr>
          <w:p w14:paraId="6C93467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51-80</w:t>
            </w:r>
          </w:p>
        </w:tc>
        <w:tc>
          <w:tcPr>
            <w:tcW w:w="1581" w:type="dxa"/>
            <w:vAlign w:val="center"/>
          </w:tcPr>
          <w:p w14:paraId="6903B672"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1.79(1.43,2.23)</w:t>
            </w:r>
          </w:p>
        </w:tc>
      </w:tr>
      <w:tr w:rsidR="00851D0D" w:rsidRPr="00851D0D" w14:paraId="461F7C93"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5391FEF"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81-299</w:t>
            </w:r>
          </w:p>
        </w:tc>
        <w:tc>
          <w:tcPr>
            <w:tcW w:w="1581" w:type="dxa"/>
            <w:vAlign w:val="center"/>
          </w:tcPr>
          <w:p w14:paraId="5B8AFFC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1.77(1.54,2.03)</w:t>
            </w:r>
          </w:p>
        </w:tc>
        <w:tc>
          <w:tcPr>
            <w:tcW w:w="1118" w:type="dxa"/>
          </w:tcPr>
          <w:p w14:paraId="7E84052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81-299</w:t>
            </w:r>
          </w:p>
        </w:tc>
        <w:tc>
          <w:tcPr>
            <w:tcW w:w="2131" w:type="dxa"/>
            <w:vAlign w:val="center"/>
          </w:tcPr>
          <w:p w14:paraId="29C5C2E4"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2.34(1.77,3.10)</w:t>
            </w:r>
          </w:p>
        </w:tc>
        <w:tc>
          <w:tcPr>
            <w:tcW w:w="1129" w:type="dxa"/>
          </w:tcPr>
          <w:p w14:paraId="22D2811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81-299</w:t>
            </w:r>
          </w:p>
        </w:tc>
        <w:tc>
          <w:tcPr>
            <w:tcW w:w="1581" w:type="dxa"/>
            <w:vAlign w:val="center"/>
          </w:tcPr>
          <w:p w14:paraId="00AE33A9"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2.16(1.77,3.14)</w:t>
            </w:r>
          </w:p>
        </w:tc>
        <w:tc>
          <w:tcPr>
            <w:tcW w:w="1112" w:type="dxa"/>
          </w:tcPr>
          <w:p w14:paraId="36007CA3"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81-299</w:t>
            </w:r>
          </w:p>
        </w:tc>
        <w:tc>
          <w:tcPr>
            <w:tcW w:w="1581" w:type="dxa"/>
            <w:vAlign w:val="center"/>
          </w:tcPr>
          <w:p w14:paraId="4BBA536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2.12(1.69,2.67)</w:t>
            </w:r>
          </w:p>
        </w:tc>
      </w:tr>
      <w:tr w:rsidR="00851D0D" w:rsidRPr="00851D0D" w14:paraId="04404426"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40FAF688"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ALP (U/L)</w:t>
            </w:r>
          </w:p>
        </w:tc>
        <w:tc>
          <w:tcPr>
            <w:tcW w:w="1581" w:type="dxa"/>
          </w:tcPr>
          <w:p w14:paraId="76D0A52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8" w:type="dxa"/>
          </w:tcPr>
          <w:p w14:paraId="3D5CE2F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2F7D270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29" w:type="dxa"/>
          </w:tcPr>
          <w:p w14:paraId="6F4F21F0"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49D5F1B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2" w:type="dxa"/>
          </w:tcPr>
          <w:p w14:paraId="2FA5F6B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0CF73F3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851D0D" w:rsidRPr="00851D0D" w14:paraId="7E0E2E3C"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0831742"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0-24</w:t>
            </w:r>
          </w:p>
        </w:tc>
        <w:tc>
          <w:tcPr>
            <w:tcW w:w="1581" w:type="dxa"/>
            <w:vAlign w:val="center"/>
          </w:tcPr>
          <w:p w14:paraId="30201452"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0.95(0.61,1.47)</w:t>
            </w:r>
          </w:p>
        </w:tc>
        <w:tc>
          <w:tcPr>
            <w:tcW w:w="1118" w:type="dxa"/>
          </w:tcPr>
          <w:p w14:paraId="59B8635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0-49</w:t>
            </w:r>
          </w:p>
        </w:tc>
        <w:tc>
          <w:tcPr>
            <w:tcW w:w="2131" w:type="dxa"/>
            <w:vAlign w:val="center"/>
          </w:tcPr>
          <w:p w14:paraId="11C88489"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0.65(0.53,0.80)</w:t>
            </w:r>
          </w:p>
        </w:tc>
        <w:tc>
          <w:tcPr>
            <w:tcW w:w="1129" w:type="dxa"/>
          </w:tcPr>
          <w:p w14:paraId="54913384"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0-49</w:t>
            </w:r>
          </w:p>
        </w:tc>
        <w:tc>
          <w:tcPr>
            <w:tcW w:w="1581" w:type="dxa"/>
            <w:vAlign w:val="center"/>
          </w:tcPr>
          <w:p w14:paraId="61722E2F"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0.97(0.81,1.16)</w:t>
            </w:r>
          </w:p>
        </w:tc>
        <w:tc>
          <w:tcPr>
            <w:tcW w:w="1112" w:type="dxa"/>
          </w:tcPr>
          <w:p w14:paraId="7462BC1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0-49</w:t>
            </w:r>
          </w:p>
        </w:tc>
        <w:tc>
          <w:tcPr>
            <w:tcW w:w="1581" w:type="dxa"/>
            <w:vAlign w:val="center"/>
          </w:tcPr>
          <w:p w14:paraId="0AD73B64"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0.94(0.83,1.07)</w:t>
            </w:r>
          </w:p>
        </w:tc>
      </w:tr>
      <w:tr w:rsidR="00851D0D" w:rsidRPr="00851D0D" w14:paraId="3F53C28D"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0110BBDF"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25-50</w:t>
            </w:r>
          </w:p>
        </w:tc>
        <w:tc>
          <w:tcPr>
            <w:tcW w:w="1581" w:type="dxa"/>
            <w:vAlign w:val="center"/>
          </w:tcPr>
          <w:p w14:paraId="7A04081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8" w:type="dxa"/>
          </w:tcPr>
          <w:p w14:paraId="07B74F6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50-75</w:t>
            </w:r>
          </w:p>
        </w:tc>
        <w:tc>
          <w:tcPr>
            <w:tcW w:w="2131" w:type="dxa"/>
            <w:vAlign w:val="center"/>
          </w:tcPr>
          <w:p w14:paraId="1E6DB06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29" w:type="dxa"/>
          </w:tcPr>
          <w:p w14:paraId="7116448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50-75</w:t>
            </w:r>
          </w:p>
        </w:tc>
        <w:tc>
          <w:tcPr>
            <w:tcW w:w="1581" w:type="dxa"/>
            <w:vAlign w:val="center"/>
          </w:tcPr>
          <w:p w14:paraId="7E4FBD5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2" w:type="dxa"/>
          </w:tcPr>
          <w:p w14:paraId="541FABC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50-75</w:t>
            </w:r>
          </w:p>
        </w:tc>
        <w:tc>
          <w:tcPr>
            <w:tcW w:w="1581" w:type="dxa"/>
            <w:vAlign w:val="center"/>
          </w:tcPr>
          <w:p w14:paraId="5E0D4D1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r>
      <w:tr w:rsidR="00851D0D" w:rsidRPr="00851D0D" w14:paraId="66608DBF"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5B687A"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51-100</w:t>
            </w:r>
          </w:p>
        </w:tc>
        <w:tc>
          <w:tcPr>
            <w:tcW w:w="1581" w:type="dxa"/>
            <w:vAlign w:val="center"/>
          </w:tcPr>
          <w:p w14:paraId="4CC3CE3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1.16(1.09,1.23)</w:t>
            </w:r>
          </w:p>
        </w:tc>
        <w:tc>
          <w:tcPr>
            <w:tcW w:w="1118" w:type="dxa"/>
          </w:tcPr>
          <w:p w14:paraId="0ECAC8C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76-100</w:t>
            </w:r>
          </w:p>
        </w:tc>
        <w:tc>
          <w:tcPr>
            <w:tcW w:w="2131" w:type="dxa"/>
            <w:vAlign w:val="center"/>
          </w:tcPr>
          <w:p w14:paraId="148662D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1.39(1.26,1.53)</w:t>
            </w:r>
          </w:p>
        </w:tc>
        <w:tc>
          <w:tcPr>
            <w:tcW w:w="1129" w:type="dxa"/>
          </w:tcPr>
          <w:p w14:paraId="028AFAC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76-100</w:t>
            </w:r>
          </w:p>
        </w:tc>
        <w:tc>
          <w:tcPr>
            <w:tcW w:w="1581" w:type="dxa"/>
            <w:vAlign w:val="center"/>
          </w:tcPr>
          <w:p w14:paraId="28C32C89"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1.33(1.19,1.48)</w:t>
            </w:r>
          </w:p>
        </w:tc>
        <w:tc>
          <w:tcPr>
            <w:tcW w:w="1112" w:type="dxa"/>
          </w:tcPr>
          <w:p w14:paraId="62905CDC"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76-100</w:t>
            </w:r>
          </w:p>
        </w:tc>
        <w:tc>
          <w:tcPr>
            <w:tcW w:w="1581" w:type="dxa"/>
            <w:vAlign w:val="center"/>
          </w:tcPr>
          <w:p w14:paraId="574753A4"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1.19(1.11,1.28)</w:t>
            </w:r>
          </w:p>
        </w:tc>
      </w:tr>
      <w:tr w:rsidR="00851D0D" w:rsidRPr="00851D0D" w14:paraId="6923A137"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212ACA0E" w14:textId="77777777" w:rsidR="00851D0D" w:rsidRPr="00851D0D" w:rsidRDefault="00851D0D" w:rsidP="00176DB1">
            <w:pPr>
              <w:ind w:firstLineChars="50" w:firstLine="65"/>
              <w:rPr>
                <w:rFonts w:ascii="Times New Roman" w:hAnsi="Times New Roman" w:cs="Times New Roman"/>
                <w:b w:val="0"/>
                <w:sz w:val="13"/>
                <w:szCs w:val="13"/>
              </w:rPr>
            </w:pPr>
            <w:r w:rsidRPr="00851D0D">
              <w:rPr>
                <w:rFonts w:ascii="Times New Roman" w:hAnsi="Times New Roman" w:cs="Times New Roman"/>
                <w:b w:val="0"/>
                <w:sz w:val="13"/>
                <w:szCs w:val="13"/>
              </w:rPr>
              <w:t>101-150</w:t>
            </w:r>
          </w:p>
        </w:tc>
        <w:tc>
          <w:tcPr>
            <w:tcW w:w="1581" w:type="dxa"/>
            <w:vAlign w:val="center"/>
          </w:tcPr>
          <w:p w14:paraId="0196439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1.32(1.23,1.42)</w:t>
            </w:r>
          </w:p>
        </w:tc>
        <w:tc>
          <w:tcPr>
            <w:tcW w:w="1118" w:type="dxa"/>
          </w:tcPr>
          <w:p w14:paraId="7CACD7A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101-150</w:t>
            </w:r>
          </w:p>
        </w:tc>
        <w:tc>
          <w:tcPr>
            <w:tcW w:w="2131" w:type="dxa"/>
            <w:vAlign w:val="center"/>
          </w:tcPr>
          <w:p w14:paraId="0DD9A73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1.63(1.45,1.82)</w:t>
            </w:r>
          </w:p>
        </w:tc>
        <w:tc>
          <w:tcPr>
            <w:tcW w:w="1129" w:type="dxa"/>
          </w:tcPr>
          <w:p w14:paraId="71F0B8E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101-150</w:t>
            </w:r>
          </w:p>
        </w:tc>
        <w:tc>
          <w:tcPr>
            <w:tcW w:w="1581" w:type="dxa"/>
            <w:vAlign w:val="center"/>
          </w:tcPr>
          <w:p w14:paraId="3AF3550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1.42(1.25,1.63)</w:t>
            </w:r>
          </w:p>
        </w:tc>
        <w:tc>
          <w:tcPr>
            <w:tcW w:w="1112" w:type="dxa"/>
          </w:tcPr>
          <w:p w14:paraId="2411F45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101-150</w:t>
            </w:r>
          </w:p>
        </w:tc>
        <w:tc>
          <w:tcPr>
            <w:tcW w:w="1581" w:type="dxa"/>
            <w:vAlign w:val="center"/>
          </w:tcPr>
          <w:p w14:paraId="5FD77EA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1.35(1.25,1.47)</w:t>
            </w:r>
          </w:p>
        </w:tc>
      </w:tr>
      <w:tr w:rsidR="00851D0D" w:rsidRPr="00851D0D" w14:paraId="40D360E0"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6ECAA2D"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151-199</w:t>
            </w:r>
          </w:p>
        </w:tc>
        <w:tc>
          <w:tcPr>
            <w:tcW w:w="1581" w:type="dxa"/>
            <w:vAlign w:val="center"/>
          </w:tcPr>
          <w:p w14:paraId="1049491B"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2.08(1.81,2.40)</w:t>
            </w:r>
          </w:p>
        </w:tc>
        <w:tc>
          <w:tcPr>
            <w:tcW w:w="1118" w:type="dxa"/>
          </w:tcPr>
          <w:p w14:paraId="66865298"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151-199</w:t>
            </w:r>
          </w:p>
        </w:tc>
        <w:tc>
          <w:tcPr>
            <w:tcW w:w="2131" w:type="dxa"/>
            <w:vAlign w:val="center"/>
          </w:tcPr>
          <w:p w14:paraId="4A1B7D7D"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3.57(2.80,4.54)</w:t>
            </w:r>
          </w:p>
        </w:tc>
        <w:tc>
          <w:tcPr>
            <w:tcW w:w="1129" w:type="dxa"/>
          </w:tcPr>
          <w:p w14:paraId="1BAA104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151-199</w:t>
            </w:r>
          </w:p>
        </w:tc>
        <w:tc>
          <w:tcPr>
            <w:tcW w:w="1581" w:type="dxa"/>
            <w:vAlign w:val="center"/>
          </w:tcPr>
          <w:p w14:paraId="66406FC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2.98(2.21,4.03)</w:t>
            </w:r>
          </w:p>
        </w:tc>
        <w:tc>
          <w:tcPr>
            <w:tcW w:w="1112" w:type="dxa"/>
          </w:tcPr>
          <w:p w14:paraId="510C1CC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151-199</w:t>
            </w:r>
          </w:p>
        </w:tc>
        <w:tc>
          <w:tcPr>
            <w:tcW w:w="1581" w:type="dxa"/>
            <w:vAlign w:val="center"/>
          </w:tcPr>
          <w:p w14:paraId="58B8B3B7"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2.11(1.75,2.54)</w:t>
            </w:r>
          </w:p>
        </w:tc>
      </w:tr>
      <w:tr w:rsidR="00851D0D" w:rsidRPr="00851D0D" w14:paraId="34B780B4"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083852B6"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TB (mg/dL)</w:t>
            </w:r>
          </w:p>
        </w:tc>
        <w:tc>
          <w:tcPr>
            <w:tcW w:w="1581" w:type="dxa"/>
          </w:tcPr>
          <w:p w14:paraId="73C9C1B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8" w:type="dxa"/>
          </w:tcPr>
          <w:p w14:paraId="1E199320"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562E000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29" w:type="dxa"/>
          </w:tcPr>
          <w:p w14:paraId="3DC3D85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1D508776"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2" w:type="dxa"/>
          </w:tcPr>
          <w:p w14:paraId="3569704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2904B59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851D0D" w:rsidRPr="00851D0D" w14:paraId="345BFB7E"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ED15639"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0-0.3</w:t>
            </w:r>
          </w:p>
        </w:tc>
        <w:tc>
          <w:tcPr>
            <w:tcW w:w="1581" w:type="dxa"/>
            <w:vAlign w:val="center"/>
          </w:tcPr>
          <w:p w14:paraId="3FE5CAEF"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1.16(1.07,1.25)</w:t>
            </w:r>
          </w:p>
        </w:tc>
        <w:tc>
          <w:tcPr>
            <w:tcW w:w="1118" w:type="dxa"/>
          </w:tcPr>
          <w:p w14:paraId="6DA700F9"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0-0.4</w:t>
            </w:r>
          </w:p>
        </w:tc>
        <w:tc>
          <w:tcPr>
            <w:tcW w:w="2131" w:type="dxa"/>
            <w:vAlign w:val="center"/>
          </w:tcPr>
          <w:p w14:paraId="3ADD3B9B"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1.55(1.36,1.78)</w:t>
            </w:r>
          </w:p>
        </w:tc>
        <w:tc>
          <w:tcPr>
            <w:tcW w:w="1129" w:type="dxa"/>
          </w:tcPr>
          <w:p w14:paraId="5444798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0-0.4</w:t>
            </w:r>
          </w:p>
        </w:tc>
        <w:tc>
          <w:tcPr>
            <w:tcW w:w="1581" w:type="dxa"/>
            <w:vAlign w:val="center"/>
          </w:tcPr>
          <w:p w14:paraId="61F82B07"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1.76(1.51,2.06)</w:t>
            </w:r>
          </w:p>
        </w:tc>
        <w:tc>
          <w:tcPr>
            <w:tcW w:w="1112" w:type="dxa"/>
          </w:tcPr>
          <w:p w14:paraId="0897A1B5"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0-0.4</w:t>
            </w:r>
          </w:p>
        </w:tc>
        <w:tc>
          <w:tcPr>
            <w:tcW w:w="1581" w:type="dxa"/>
            <w:vAlign w:val="center"/>
          </w:tcPr>
          <w:p w14:paraId="3C236164"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1.09(0.99,1.19)</w:t>
            </w:r>
          </w:p>
        </w:tc>
      </w:tr>
      <w:tr w:rsidR="00851D0D" w:rsidRPr="00851D0D" w14:paraId="6D3DD271"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47CBD329"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0.4-0.5</w:t>
            </w:r>
          </w:p>
        </w:tc>
        <w:tc>
          <w:tcPr>
            <w:tcW w:w="1581" w:type="dxa"/>
            <w:vAlign w:val="center"/>
          </w:tcPr>
          <w:p w14:paraId="7170A32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1.05(1.01,1.10)</w:t>
            </w:r>
          </w:p>
        </w:tc>
        <w:tc>
          <w:tcPr>
            <w:tcW w:w="1118" w:type="dxa"/>
          </w:tcPr>
          <w:p w14:paraId="0931335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0.5-0.7</w:t>
            </w:r>
          </w:p>
        </w:tc>
        <w:tc>
          <w:tcPr>
            <w:tcW w:w="2131" w:type="dxa"/>
            <w:vAlign w:val="center"/>
          </w:tcPr>
          <w:p w14:paraId="3F8C6933"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1.14(1.01,1.28)</w:t>
            </w:r>
          </w:p>
        </w:tc>
        <w:tc>
          <w:tcPr>
            <w:tcW w:w="1129" w:type="dxa"/>
          </w:tcPr>
          <w:p w14:paraId="08ACB162"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0.5-0.7</w:t>
            </w:r>
          </w:p>
        </w:tc>
        <w:tc>
          <w:tcPr>
            <w:tcW w:w="1581" w:type="dxa"/>
            <w:vAlign w:val="center"/>
          </w:tcPr>
          <w:p w14:paraId="641DA6A2"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1.18(1.03,1.35)</w:t>
            </w:r>
          </w:p>
        </w:tc>
        <w:tc>
          <w:tcPr>
            <w:tcW w:w="1112" w:type="dxa"/>
          </w:tcPr>
          <w:p w14:paraId="608E913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0.5-0.7</w:t>
            </w:r>
          </w:p>
        </w:tc>
        <w:tc>
          <w:tcPr>
            <w:tcW w:w="1581" w:type="dxa"/>
            <w:vAlign w:val="center"/>
          </w:tcPr>
          <w:p w14:paraId="5866725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1.03(0.96,1.11)</w:t>
            </w:r>
          </w:p>
        </w:tc>
      </w:tr>
      <w:tr w:rsidR="00851D0D" w:rsidRPr="00851D0D" w14:paraId="65F84540"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7BF1A88"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0.6-1.0</w:t>
            </w:r>
          </w:p>
        </w:tc>
        <w:tc>
          <w:tcPr>
            <w:tcW w:w="1581" w:type="dxa"/>
            <w:vAlign w:val="center"/>
          </w:tcPr>
          <w:p w14:paraId="7969B96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8" w:type="dxa"/>
          </w:tcPr>
          <w:p w14:paraId="67F9C6A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0.8-1.3</w:t>
            </w:r>
          </w:p>
        </w:tc>
        <w:tc>
          <w:tcPr>
            <w:tcW w:w="2131" w:type="dxa"/>
            <w:vAlign w:val="center"/>
          </w:tcPr>
          <w:p w14:paraId="7447F89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29" w:type="dxa"/>
          </w:tcPr>
          <w:p w14:paraId="0817E07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0.8-1.3</w:t>
            </w:r>
          </w:p>
        </w:tc>
        <w:tc>
          <w:tcPr>
            <w:tcW w:w="1581" w:type="dxa"/>
            <w:vAlign w:val="center"/>
          </w:tcPr>
          <w:p w14:paraId="170A1C0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2" w:type="dxa"/>
          </w:tcPr>
          <w:p w14:paraId="79E11AB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0.8-1.3</w:t>
            </w:r>
          </w:p>
        </w:tc>
        <w:tc>
          <w:tcPr>
            <w:tcW w:w="1581" w:type="dxa"/>
            <w:vAlign w:val="center"/>
          </w:tcPr>
          <w:p w14:paraId="4BCBD6B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r>
      <w:tr w:rsidR="00851D0D" w:rsidRPr="00851D0D" w14:paraId="49740DD0"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0085993F" w14:textId="77777777" w:rsidR="00851D0D" w:rsidRPr="00851D0D" w:rsidRDefault="00851D0D" w:rsidP="00176DB1">
            <w:pPr>
              <w:ind w:firstLineChars="50" w:firstLine="65"/>
              <w:rPr>
                <w:rFonts w:ascii="Times New Roman" w:hAnsi="Times New Roman" w:cs="Times New Roman"/>
                <w:b w:val="0"/>
                <w:sz w:val="13"/>
                <w:szCs w:val="13"/>
              </w:rPr>
            </w:pPr>
            <w:r w:rsidRPr="00851D0D">
              <w:rPr>
                <w:rFonts w:ascii="Times New Roman" w:hAnsi="Times New Roman" w:cs="Times New Roman"/>
                <w:b w:val="0"/>
                <w:sz w:val="13"/>
                <w:szCs w:val="13"/>
              </w:rPr>
              <w:t>1.1-1.5</w:t>
            </w:r>
          </w:p>
        </w:tc>
        <w:tc>
          <w:tcPr>
            <w:tcW w:w="1581" w:type="dxa"/>
            <w:vAlign w:val="center"/>
          </w:tcPr>
          <w:p w14:paraId="2054B61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1.08(1.01,1.17)</w:t>
            </w:r>
          </w:p>
        </w:tc>
        <w:tc>
          <w:tcPr>
            <w:tcW w:w="1118" w:type="dxa"/>
          </w:tcPr>
          <w:p w14:paraId="6CD97C25"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1.4-2.0</w:t>
            </w:r>
          </w:p>
        </w:tc>
        <w:tc>
          <w:tcPr>
            <w:tcW w:w="2131" w:type="dxa"/>
            <w:vAlign w:val="center"/>
          </w:tcPr>
          <w:p w14:paraId="6E7C983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1.10(0.82,1.48)</w:t>
            </w:r>
          </w:p>
        </w:tc>
        <w:tc>
          <w:tcPr>
            <w:tcW w:w="1129" w:type="dxa"/>
          </w:tcPr>
          <w:p w14:paraId="3CE7F5C2"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1.4-2.0</w:t>
            </w:r>
          </w:p>
        </w:tc>
        <w:tc>
          <w:tcPr>
            <w:tcW w:w="1581" w:type="dxa"/>
            <w:vAlign w:val="center"/>
          </w:tcPr>
          <w:p w14:paraId="29CBD87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1.22(0.88,1.69)</w:t>
            </w:r>
          </w:p>
        </w:tc>
        <w:tc>
          <w:tcPr>
            <w:tcW w:w="1112" w:type="dxa"/>
          </w:tcPr>
          <w:p w14:paraId="0C3CF20E"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1.4-2.0</w:t>
            </w:r>
          </w:p>
        </w:tc>
        <w:tc>
          <w:tcPr>
            <w:tcW w:w="1581" w:type="dxa"/>
            <w:vAlign w:val="center"/>
          </w:tcPr>
          <w:p w14:paraId="191EB0D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1.23(1.02,1.49)</w:t>
            </w:r>
          </w:p>
        </w:tc>
      </w:tr>
      <w:tr w:rsidR="00851D0D" w:rsidRPr="00851D0D" w14:paraId="03CB4F4F"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442C440"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1.6-2.9</w:t>
            </w:r>
          </w:p>
        </w:tc>
        <w:tc>
          <w:tcPr>
            <w:tcW w:w="1581" w:type="dxa"/>
            <w:vAlign w:val="center"/>
          </w:tcPr>
          <w:p w14:paraId="106F7D0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1.23(1.04,1.45)</w:t>
            </w:r>
          </w:p>
        </w:tc>
        <w:tc>
          <w:tcPr>
            <w:tcW w:w="1118" w:type="dxa"/>
          </w:tcPr>
          <w:p w14:paraId="201B5A38"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2.1-2.9</w:t>
            </w:r>
          </w:p>
        </w:tc>
        <w:tc>
          <w:tcPr>
            <w:tcW w:w="2131" w:type="dxa"/>
            <w:vAlign w:val="center"/>
          </w:tcPr>
          <w:p w14:paraId="5460DB6D"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1.11(0.55,2.23)</w:t>
            </w:r>
          </w:p>
        </w:tc>
        <w:tc>
          <w:tcPr>
            <w:tcW w:w="1129" w:type="dxa"/>
          </w:tcPr>
          <w:p w14:paraId="22CED09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2.1-2.9</w:t>
            </w:r>
          </w:p>
        </w:tc>
        <w:tc>
          <w:tcPr>
            <w:tcW w:w="1581" w:type="dxa"/>
            <w:vAlign w:val="center"/>
          </w:tcPr>
          <w:p w14:paraId="7324410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0.66(0.21,2.06)</w:t>
            </w:r>
          </w:p>
        </w:tc>
        <w:tc>
          <w:tcPr>
            <w:tcW w:w="1112" w:type="dxa"/>
          </w:tcPr>
          <w:p w14:paraId="50E0DC5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2.1-2.9</w:t>
            </w:r>
          </w:p>
        </w:tc>
        <w:tc>
          <w:tcPr>
            <w:tcW w:w="1581" w:type="dxa"/>
            <w:vAlign w:val="center"/>
          </w:tcPr>
          <w:p w14:paraId="5D7244EE"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1.90(1.29,2.82)</w:t>
            </w:r>
          </w:p>
        </w:tc>
      </w:tr>
      <w:tr w:rsidR="00851D0D" w:rsidRPr="00851D0D" w14:paraId="7C6BC039"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29AE2BF1"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ALB (g/dL)</w:t>
            </w:r>
          </w:p>
        </w:tc>
        <w:tc>
          <w:tcPr>
            <w:tcW w:w="1581" w:type="dxa"/>
          </w:tcPr>
          <w:p w14:paraId="19D896C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8" w:type="dxa"/>
          </w:tcPr>
          <w:p w14:paraId="251CAB5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2131" w:type="dxa"/>
          </w:tcPr>
          <w:p w14:paraId="57E686D7"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29" w:type="dxa"/>
          </w:tcPr>
          <w:p w14:paraId="41CFDC9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5E4D872F"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112" w:type="dxa"/>
          </w:tcPr>
          <w:p w14:paraId="5F47EE1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c>
          <w:tcPr>
            <w:tcW w:w="1581" w:type="dxa"/>
          </w:tcPr>
          <w:p w14:paraId="6586B8C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p>
        </w:tc>
      </w:tr>
      <w:tr w:rsidR="00851D0D" w:rsidRPr="00851D0D" w14:paraId="749EB58F"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CBA364E"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1.5-3.0</w:t>
            </w:r>
          </w:p>
        </w:tc>
        <w:tc>
          <w:tcPr>
            <w:tcW w:w="1581" w:type="dxa"/>
            <w:vAlign w:val="center"/>
          </w:tcPr>
          <w:p w14:paraId="1EC221E2"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3.14(2.42,4.09)</w:t>
            </w:r>
          </w:p>
        </w:tc>
        <w:tc>
          <w:tcPr>
            <w:tcW w:w="1118" w:type="dxa"/>
          </w:tcPr>
          <w:p w14:paraId="189AA2E3"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1.5-3.0</w:t>
            </w:r>
          </w:p>
        </w:tc>
        <w:tc>
          <w:tcPr>
            <w:tcW w:w="2131" w:type="dxa"/>
            <w:vAlign w:val="center"/>
          </w:tcPr>
          <w:p w14:paraId="7F679263"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3.96(2.41,6.53)</w:t>
            </w:r>
          </w:p>
        </w:tc>
        <w:tc>
          <w:tcPr>
            <w:tcW w:w="1129" w:type="dxa"/>
          </w:tcPr>
          <w:p w14:paraId="4367DB7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1.5-3.0</w:t>
            </w:r>
          </w:p>
        </w:tc>
        <w:tc>
          <w:tcPr>
            <w:tcW w:w="1581" w:type="dxa"/>
            <w:vAlign w:val="center"/>
          </w:tcPr>
          <w:p w14:paraId="025A8B72"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2.55(1.21,5.38)</w:t>
            </w:r>
          </w:p>
        </w:tc>
        <w:tc>
          <w:tcPr>
            <w:tcW w:w="1112" w:type="dxa"/>
          </w:tcPr>
          <w:p w14:paraId="66A43E8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1.5-3.0</w:t>
            </w:r>
          </w:p>
        </w:tc>
        <w:tc>
          <w:tcPr>
            <w:tcW w:w="1581" w:type="dxa"/>
            <w:vAlign w:val="center"/>
          </w:tcPr>
          <w:p w14:paraId="45FF77AB" w14:textId="77777777" w:rsidR="00851D0D" w:rsidRPr="00851D0D" w:rsidRDefault="00851D0D" w:rsidP="00176DB1">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3.74(2.70,5.20)</w:t>
            </w:r>
          </w:p>
        </w:tc>
      </w:tr>
      <w:tr w:rsidR="00851D0D" w:rsidRPr="00851D0D" w14:paraId="55243E2F"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07A81202"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3.1-4.0</w:t>
            </w:r>
          </w:p>
        </w:tc>
        <w:tc>
          <w:tcPr>
            <w:tcW w:w="1581" w:type="dxa"/>
            <w:vAlign w:val="center"/>
          </w:tcPr>
          <w:p w14:paraId="55C78F4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1.40(1.30,1.52)</w:t>
            </w:r>
          </w:p>
        </w:tc>
        <w:tc>
          <w:tcPr>
            <w:tcW w:w="1118" w:type="dxa"/>
          </w:tcPr>
          <w:p w14:paraId="63D135C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3.1-4.0</w:t>
            </w:r>
          </w:p>
        </w:tc>
        <w:tc>
          <w:tcPr>
            <w:tcW w:w="2131" w:type="dxa"/>
            <w:vAlign w:val="center"/>
          </w:tcPr>
          <w:p w14:paraId="6C089444"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1.43(1.31,1.56)</w:t>
            </w:r>
          </w:p>
        </w:tc>
        <w:tc>
          <w:tcPr>
            <w:tcW w:w="1129" w:type="dxa"/>
          </w:tcPr>
          <w:p w14:paraId="202CDC68"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3.1-4.0</w:t>
            </w:r>
          </w:p>
        </w:tc>
        <w:tc>
          <w:tcPr>
            <w:tcW w:w="1581" w:type="dxa"/>
            <w:vAlign w:val="center"/>
          </w:tcPr>
          <w:p w14:paraId="7410443D"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1.41(1.28,1.56)</w:t>
            </w:r>
          </w:p>
        </w:tc>
        <w:tc>
          <w:tcPr>
            <w:tcW w:w="1112" w:type="dxa"/>
          </w:tcPr>
          <w:p w14:paraId="2F16DCC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3.1-4.0</w:t>
            </w:r>
          </w:p>
        </w:tc>
        <w:tc>
          <w:tcPr>
            <w:tcW w:w="1581" w:type="dxa"/>
            <w:vAlign w:val="center"/>
          </w:tcPr>
          <w:p w14:paraId="1B20D1F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1.32(1.25,1.41)</w:t>
            </w:r>
          </w:p>
        </w:tc>
      </w:tr>
      <w:tr w:rsidR="00851D0D" w:rsidRPr="00851D0D" w14:paraId="46726B10"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A726D29"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4.1-4.4</w:t>
            </w:r>
          </w:p>
        </w:tc>
        <w:tc>
          <w:tcPr>
            <w:tcW w:w="1581" w:type="dxa"/>
            <w:vAlign w:val="center"/>
          </w:tcPr>
          <w:p w14:paraId="42D2A0CD"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1.10(1.02,1.19)</w:t>
            </w:r>
          </w:p>
        </w:tc>
        <w:tc>
          <w:tcPr>
            <w:tcW w:w="1118" w:type="dxa"/>
          </w:tcPr>
          <w:p w14:paraId="256FA95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4.1-4.4</w:t>
            </w:r>
          </w:p>
        </w:tc>
        <w:tc>
          <w:tcPr>
            <w:tcW w:w="2131" w:type="dxa"/>
            <w:vAlign w:val="center"/>
          </w:tcPr>
          <w:p w14:paraId="47BF884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29" w:type="dxa"/>
          </w:tcPr>
          <w:p w14:paraId="19DAFAC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4.1-4.4</w:t>
            </w:r>
          </w:p>
        </w:tc>
        <w:tc>
          <w:tcPr>
            <w:tcW w:w="1581" w:type="dxa"/>
            <w:vAlign w:val="center"/>
          </w:tcPr>
          <w:p w14:paraId="00D49ED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2" w:type="dxa"/>
          </w:tcPr>
          <w:p w14:paraId="77DE1DB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4.1-4.4</w:t>
            </w:r>
          </w:p>
        </w:tc>
        <w:tc>
          <w:tcPr>
            <w:tcW w:w="1581" w:type="dxa"/>
            <w:vAlign w:val="center"/>
          </w:tcPr>
          <w:p w14:paraId="1F276C4C"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r>
      <w:tr w:rsidR="00851D0D" w:rsidRPr="00851D0D" w14:paraId="10778E8D" w14:textId="77777777" w:rsidTr="00176DB1">
        <w:tc>
          <w:tcPr>
            <w:cnfStyle w:val="001000000000" w:firstRow="0" w:lastRow="0" w:firstColumn="1" w:lastColumn="0" w:oddVBand="0" w:evenVBand="0" w:oddHBand="0" w:evenHBand="0" w:firstRowFirstColumn="0" w:firstRowLastColumn="0" w:lastRowFirstColumn="0" w:lastRowLastColumn="0"/>
            <w:tcW w:w="1129" w:type="dxa"/>
          </w:tcPr>
          <w:p w14:paraId="2E821B48"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4.5-5.3</w:t>
            </w:r>
          </w:p>
        </w:tc>
        <w:tc>
          <w:tcPr>
            <w:tcW w:w="1581" w:type="dxa"/>
            <w:vAlign w:val="center"/>
          </w:tcPr>
          <w:p w14:paraId="505D6429"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Ref.</w:t>
            </w:r>
          </w:p>
        </w:tc>
        <w:tc>
          <w:tcPr>
            <w:tcW w:w="1118" w:type="dxa"/>
          </w:tcPr>
          <w:p w14:paraId="29D84BEB"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4.5-5.0</w:t>
            </w:r>
          </w:p>
        </w:tc>
        <w:tc>
          <w:tcPr>
            <w:tcW w:w="2131" w:type="dxa"/>
            <w:vAlign w:val="center"/>
          </w:tcPr>
          <w:p w14:paraId="69E533BC"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0.94(0.81,1.09)</w:t>
            </w:r>
          </w:p>
        </w:tc>
        <w:tc>
          <w:tcPr>
            <w:tcW w:w="1129" w:type="dxa"/>
          </w:tcPr>
          <w:p w14:paraId="18FEAA70"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4.5-5.0</w:t>
            </w:r>
          </w:p>
        </w:tc>
        <w:tc>
          <w:tcPr>
            <w:tcW w:w="1581" w:type="dxa"/>
            <w:vAlign w:val="center"/>
          </w:tcPr>
          <w:p w14:paraId="7CDD36D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0.78(0.66,0.96)</w:t>
            </w:r>
          </w:p>
        </w:tc>
        <w:tc>
          <w:tcPr>
            <w:tcW w:w="1112" w:type="dxa"/>
          </w:tcPr>
          <w:p w14:paraId="4D8CEF9A"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4.5-5.3</w:t>
            </w:r>
          </w:p>
        </w:tc>
        <w:tc>
          <w:tcPr>
            <w:tcW w:w="1581" w:type="dxa"/>
            <w:vAlign w:val="center"/>
          </w:tcPr>
          <w:p w14:paraId="32D0D491" w14:textId="77777777" w:rsidR="00851D0D" w:rsidRPr="00851D0D" w:rsidRDefault="00851D0D" w:rsidP="00176DB1">
            <w:pP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0.89(0.80,0.99)</w:t>
            </w:r>
          </w:p>
        </w:tc>
      </w:tr>
      <w:tr w:rsidR="00851D0D" w:rsidRPr="00851D0D" w14:paraId="7393EE2F" w14:textId="77777777" w:rsidTr="00176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5A482D3" w14:textId="77777777" w:rsidR="00851D0D" w:rsidRPr="00851D0D" w:rsidRDefault="00851D0D" w:rsidP="00176DB1">
            <w:pPr>
              <w:rPr>
                <w:rFonts w:ascii="Times New Roman" w:hAnsi="Times New Roman" w:cs="Times New Roman"/>
                <w:b w:val="0"/>
                <w:sz w:val="13"/>
                <w:szCs w:val="13"/>
              </w:rPr>
            </w:pPr>
            <w:r w:rsidRPr="00851D0D">
              <w:rPr>
                <w:rFonts w:ascii="Times New Roman" w:hAnsi="Times New Roman" w:cs="Times New Roman"/>
                <w:b w:val="0"/>
                <w:sz w:val="13"/>
                <w:szCs w:val="13"/>
              </w:rPr>
              <w:t xml:space="preserve"> 5.4-7.0</w:t>
            </w:r>
          </w:p>
        </w:tc>
        <w:tc>
          <w:tcPr>
            <w:tcW w:w="1581" w:type="dxa"/>
            <w:vAlign w:val="center"/>
          </w:tcPr>
          <w:p w14:paraId="233BBD0F"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0.92(0.38,2.24)</w:t>
            </w:r>
          </w:p>
        </w:tc>
        <w:tc>
          <w:tcPr>
            <w:tcW w:w="1118" w:type="dxa"/>
          </w:tcPr>
          <w:p w14:paraId="45D0AB3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5.1-7.0</w:t>
            </w:r>
          </w:p>
        </w:tc>
        <w:tc>
          <w:tcPr>
            <w:tcW w:w="2131" w:type="dxa"/>
            <w:vAlign w:val="center"/>
          </w:tcPr>
          <w:p w14:paraId="71450A62"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1.72(0.43,6.92)</w:t>
            </w:r>
          </w:p>
        </w:tc>
        <w:tc>
          <w:tcPr>
            <w:tcW w:w="1129" w:type="dxa"/>
          </w:tcPr>
          <w:p w14:paraId="00AC54A8"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5.1-7.0</w:t>
            </w:r>
          </w:p>
        </w:tc>
        <w:tc>
          <w:tcPr>
            <w:tcW w:w="1581" w:type="dxa"/>
            <w:vAlign w:val="center"/>
          </w:tcPr>
          <w:p w14:paraId="6E3858AA"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0.93(0.50,1.78)</w:t>
            </w:r>
          </w:p>
        </w:tc>
        <w:tc>
          <w:tcPr>
            <w:tcW w:w="1112" w:type="dxa"/>
          </w:tcPr>
          <w:p w14:paraId="02AE7556"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851D0D">
              <w:rPr>
                <w:rFonts w:ascii="Times New Roman" w:hAnsi="Times New Roman" w:cs="Times New Roman"/>
                <w:sz w:val="13"/>
                <w:szCs w:val="13"/>
              </w:rPr>
              <w:t>5.1-7.0</w:t>
            </w:r>
          </w:p>
        </w:tc>
        <w:tc>
          <w:tcPr>
            <w:tcW w:w="1581" w:type="dxa"/>
            <w:vAlign w:val="center"/>
          </w:tcPr>
          <w:p w14:paraId="79D821C1" w14:textId="77777777" w:rsidR="00851D0D" w:rsidRPr="00851D0D" w:rsidRDefault="00851D0D" w:rsidP="00176DB1">
            <w:pP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sz w:val="13"/>
                <w:szCs w:val="13"/>
              </w:rPr>
            </w:pPr>
            <w:r w:rsidRPr="00851D0D">
              <w:rPr>
                <w:rFonts w:ascii="Times New Roman" w:eastAsia="等线" w:hAnsi="Times New Roman" w:cs="Times New Roman"/>
                <w:color w:val="000000"/>
                <w:sz w:val="13"/>
                <w:szCs w:val="13"/>
              </w:rPr>
              <w:t>0.72(0.45,1.17)</w:t>
            </w:r>
          </w:p>
        </w:tc>
      </w:tr>
    </w:tbl>
    <w:p w14:paraId="0D2588C6" w14:textId="77777777" w:rsidR="00851D0D" w:rsidRPr="004A3E35" w:rsidRDefault="00851D0D" w:rsidP="00851D0D">
      <w:pPr>
        <w:rPr>
          <w:rFonts w:ascii="Times New Roman" w:hAnsi="Times New Roman" w:cs="Times New Roman"/>
          <w:sz w:val="18"/>
          <w:szCs w:val="15"/>
        </w:rPr>
      </w:pPr>
      <w:r>
        <w:rPr>
          <w:rFonts w:ascii="Times New Roman" w:hAnsi="Times New Roman" w:cs="Times New Roman"/>
          <w:sz w:val="18"/>
          <w:szCs w:val="15"/>
        </w:rPr>
        <w:t>All estimates accounted for complex survey designs of NHANES.</w:t>
      </w:r>
    </w:p>
    <w:p w14:paraId="73FCC59B" w14:textId="77777777" w:rsidR="00851D0D" w:rsidRPr="006636D9" w:rsidRDefault="00851D0D" w:rsidP="00851D0D">
      <w:pPr>
        <w:rPr>
          <w:rFonts w:ascii="Times New Roman" w:eastAsia="宋体" w:hAnsi="Times New Roman" w:cs="Times New Roman"/>
          <w:sz w:val="18"/>
          <w:szCs w:val="15"/>
        </w:rPr>
      </w:pPr>
      <w:r w:rsidRPr="006636D9">
        <w:rPr>
          <w:rFonts w:ascii="Times New Roman" w:eastAsia="宋体" w:hAnsi="Times New Roman" w:cs="Times New Roman"/>
          <w:sz w:val="18"/>
          <w:szCs w:val="15"/>
        </w:rPr>
        <w:t xml:space="preserve">Abbreviations: </w:t>
      </w:r>
      <w:r>
        <w:rPr>
          <w:rFonts w:ascii="Times New Roman" w:eastAsia="宋体" w:hAnsi="Times New Roman" w:cs="Times New Roman"/>
          <w:sz w:val="18"/>
          <w:szCs w:val="15"/>
        </w:rPr>
        <w:t>HR, hazard ratio</w:t>
      </w:r>
      <w:r w:rsidRPr="006636D9">
        <w:rPr>
          <w:rFonts w:ascii="Times New Roman" w:eastAsia="宋体" w:hAnsi="Times New Roman" w:cs="Times New Roman"/>
          <w:sz w:val="18"/>
          <w:szCs w:val="15"/>
        </w:rPr>
        <w:t>; ALT, alanine aminotransferase; AST, aspartate aminotransferase; GGT, gamma-glutamyl transferase; ALP, alkaline phosphatase; TB, total bilirubin; ALB: Albumin; CI, confidence interval.</w:t>
      </w:r>
      <w:r>
        <w:rPr>
          <w:rFonts w:ascii="Times New Roman" w:eastAsia="宋体" w:hAnsi="Times New Roman" w:cs="Times New Roman"/>
          <w:sz w:val="18"/>
          <w:szCs w:val="15"/>
        </w:rPr>
        <w:t xml:space="preserve"> Ref., reference.</w:t>
      </w:r>
    </w:p>
    <w:p w14:paraId="4335B58F" w14:textId="77777777" w:rsidR="00DA064F" w:rsidRDefault="00DA064F">
      <w:pPr>
        <w:rPr>
          <w:rFonts w:ascii="Times New Roman" w:hAnsi="Times New Roman" w:cs="Times New Roman"/>
        </w:rPr>
      </w:pPr>
    </w:p>
    <w:p w14:paraId="7E82F84D" w14:textId="77777777" w:rsidR="00851D0D" w:rsidRDefault="00851D0D">
      <w:pPr>
        <w:rPr>
          <w:rFonts w:ascii="Times New Roman" w:hAnsi="Times New Roman" w:cs="Times New Roman"/>
        </w:rPr>
      </w:pPr>
    </w:p>
    <w:p w14:paraId="017C9B83" w14:textId="77777777" w:rsidR="008223AE" w:rsidRDefault="008223AE" w:rsidP="004C00D0">
      <w:pPr>
        <w:outlineLvl w:val="0"/>
        <w:rPr>
          <w:rFonts w:ascii="Times New Roman" w:hAnsi="Times New Roman" w:cs="Times New Roman"/>
          <w:b/>
        </w:rPr>
        <w:sectPr w:rsidR="008223AE">
          <w:pgSz w:w="11906" w:h="16838"/>
          <w:pgMar w:top="1440" w:right="1800" w:bottom="1440" w:left="1800" w:header="851" w:footer="992" w:gutter="0"/>
          <w:cols w:space="425"/>
          <w:docGrid w:type="lines" w:linePitch="312"/>
        </w:sectPr>
      </w:pPr>
      <w:bookmarkStart w:id="5" w:name="_Toc45195069"/>
    </w:p>
    <w:p w14:paraId="246695AE" w14:textId="77777777" w:rsidR="008918B0" w:rsidRDefault="00EE52C1" w:rsidP="004C00D0">
      <w:pPr>
        <w:outlineLvl w:val="0"/>
        <w:rPr>
          <w:rFonts w:ascii="Times New Roman" w:hAnsi="Times New Roman" w:cs="Times New Roman"/>
          <w:b/>
        </w:rPr>
      </w:pPr>
      <w:r>
        <w:rPr>
          <w:rFonts w:ascii="Times New Roman" w:hAnsi="Times New Roman" w:cs="Times New Roman" w:hint="eastAsia"/>
          <w:b/>
        </w:rPr>
        <w:lastRenderedPageBreak/>
        <w:t>F</w:t>
      </w:r>
      <w:r>
        <w:rPr>
          <w:rFonts w:ascii="Times New Roman" w:hAnsi="Times New Roman" w:cs="Times New Roman"/>
          <w:b/>
        </w:rPr>
        <w:t>igure S1. The distributions of serum liver of liver function biomarkers by sex.</w:t>
      </w:r>
      <w:bookmarkEnd w:id="5"/>
    </w:p>
    <w:p w14:paraId="0E890AAF" w14:textId="77777777" w:rsidR="00EE52C1" w:rsidRPr="00EE52C1" w:rsidRDefault="00EE52C1" w:rsidP="00EE52C1">
      <w:pPr>
        <w:rPr>
          <w:rFonts w:ascii="Times New Roman" w:hAnsi="Times New Roman" w:cs="Times New Roman"/>
        </w:rPr>
      </w:pPr>
      <w:r w:rsidRPr="00EE52C1">
        <w:rPr>
          <w:rFonts w:ascii="Times New Roman" w:hAnsi="Times New Roman" w:cs="Times New Roman"/>
        </w:rPr>
        <w:t>ALT, alanine aminotransferase; AST, aspartate aminotransferase; GGT, gamma-glutamyl transferase; ALP, alkaline phosphatase; TB, total bilirubin; ALB: Albumin.</w:t>
      </w:r>
    </w:p>
    <w:p w14:paraId="3A6B8BB7" w14:textId="77777777" w:rsidR="00EE52C1" w:rsidRDefault="00EE52C1" w:rsidP="008918B0">
      <w:pPr>
        <w:rPr>
          <w:rFonts w:ascii="Times New Roman" w:hAnsi="Times New Roman" w:cs="Times New Roman"/>
          <w:b/>
        </w:rPr>
      </w:pPr>
      <w:r w:rsidRPr="00EE52C1">
        <w:rPr>
          <w:rFonts w:ascii="Times New Roman" w:hAnsi="Times New Roman" w:cs="Times New Roman"/>
          <w:b/>
          <w:noProof/>
        </w:rPr>
        <w:drawing>
          <wp:inline distT="0" distB="0" distL="0" distR="0" wp14:anchorId="70280EED" wp14:editId="4BD18818">
            <wp:extent cx="5274310" cy="3202940"/>
            <wp:effectExtent l="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202940"/>
                    </a:xfrm>
                    <a:prstGeom prst="rect">
                      <a:avLst/>
                    </a:prstGeom>
                  </pic:spPr>
                </pic:pic>
              </a:graphicData>
            </a:graphic>
          </wp:inline>
        </w:drawing>
      </w:r>
    </w:p>
    <w:p w14:paraId="4ADBCD26" w14:textId="77777777" w:rsidR="00EE52C1" w:rsidRDefault="00EE52C1" w:rsidP="008918B0">
      <w:pPr>
        <w:rPr>
          <w:rFonts w:ascii="Times New Roman" w:hAnsi="Times New Roman" w:cs="Times New Roman"/>
          <w:b/>
        </w:rPr>
      </w:pPr>
    </w:p>
    <w:p w14:paraId="6D5A0EE8" w14:textId="77777777" w:rsidR="00851D0D" w:rsidRPr="00EE52C1" w:rsidRDefault="00851D0D" w:rsidP="008918B0">
      <w:pPr>
        <w:rPr>
          <w:rFonts w:ascii="Times New Roman" w:hAnsi="Times New Roman" w:cs="Times New Roman"/>
          <w:b/>
        </w:rPr>
      </w:pPr>
    </w:p>
    <w:p w14:paraId="32FACDE6" w14:textId="77777777" w:rsidR="004C00D0" w:rsidRPr="001079DE" w:rsidRDefault="004C00D0" w:rsidP="004C00D0">
      <w:pPr>
        <w:outlineLvl w:val="0"/>
        <w:rPr>
          <w:rFonts w:ascii="Times New Roman" w:hAnsi="Times New Roman" w:cs="Times New Roman"/>
          <w:b/>
        </w:rPr>
      </w:pPr>
      <w:bookmarkStart w:id="6" w:name="_Toc45195070"/>
      <w:r w:rsidRPr="001079DE">
        <w:rPr>
          <w:rFonts w:ascii="Times New Roman" w:hAnsi="Times New Roman" w:cs="Times New Roman" w:hint="eastAsia"/>
          <w:b/>
        </w:rPr>
        <w:t>F</w:t>
      </w:r>
      <w:r w:rsidRPr="001079DE">
        <w:rPr>
          <w:rFonts w:ascii="Times New Roman" w:hAnsi="Times New Roman" w:cs="Times New Roman"/>
          <w:b/>
        </w:rPr>
        <w:t>igure S</w:t>
      </w:r>
      <w:r w:rsidR="00EE52C1">
        <w:rPr>
          <w:rFonts w:ascii="Times New Roman" w:hAnsi="Times New Roman" w:cs="Times New Roman"/>
          <w:b/>
        </w:rPr>
        <w:t>2</w:t>
      </w:r>
      <w:r w:rsidRPr="001079DE">
        <w:rPr>
          <w:rFonts w:ascii="Times New Roman" w:hAnsi="Times New Roman" w:cs="Times New Roman"/>
          <w:b/>
        </w:rPr>
        <w:t>. The associations of serum levels of six liver function biomarkers with</w:t>
      </w:r>
      <w:r>
        <w:rPr>
          <w:rFonts w:ascii="Times New Roman" w:hAnsi="Times New Roman" w:cs="Times New Roman"/>
          <w:b/>
        </w:rPr>
        <w:t xml:space="preserve"> all-cause</w:t>
      </w:r>
      <w:r w:rsidRPr="001079DE">
        <w:rPr>
          <w:rFonts w:ascii="Times New Roman" w:hAnsi="Times New Roman" w:cs="Times New Roman"/>
          <w:b/>
        </w:rPr>
        <w:t xml:space="preserve"> related deaths in </w:t>
      </w:r>
      <w:r>
        <w:rPr>
          <w:rFonts w:ascii="Times New Roman" w:hAnsi="Times New Roman" w:cs="Times New Roman"/>
          <w:b/>
        </w:rPr>
        <w:t>males</w:t>
      </w:r>
      <w:r w:rsidRPr="001079DE">
        <w:rPr>
          <w:rFonts w:ascii="Times New Roman" w:hAnsi="Times New Roman" w:cs="Times New Roman"/>
          <w:b/>
        </w:rPr>
        <w:t>.</w:t>
      </w:r>
      <w:bookmarkEnd w:id="6"/>
    </w:p>
    <w:p w14:paraId="5AB9AE85" w14:textId="77777777" w:rsidR="004C00D0" w:rsidRDefault="004C00D0" w:rsidP="004C00D0">
      <w:pPr>
        <w:rPr>
          <w:rFonts w:ascii="Times New Roman" w:hAnsi="Times New Roman" w:cs="Times New Roman"/>
        </w:rPr>
      </w:pPr>
      <w:r>
        <w:rPr>
          <w:rFonts w:ascii="Times New Roman" w:hAnsi="Times New Roman" w:cs="Times New Roman"/>
        </w:rPr>
        <w:t>The degrees of freedom of ALT, AST, GGT, ALP, TB, and ALB was 3, 3, 3, 6, 2, and 2, respectively.</w:t>
      </w:r>
    </w:p>
    <w:p w14:paraId="2069067A" w14:textId="77777777" w:rsidR="004C00D0" w:rsidRDefault="00324CD9" w:rsidP="004C00D0">
      <w:pPr>
        <w:rPr>
          <w:rFonts w:ascii="Times New Roman" w:hAnsi="Times New Roman" w:cs="Times New Roman"/>
        </w:rPr>
      </w:pPr>
      <w:r>
        <w:rPr>
          <w:noProof/>
        </w:rPr>
        <w:drawing>
          <wp:inline distT="0" distB="0" distL="0" distR="0" wp14:anchorId="405ECD12" wp14:editId="0FEE08E7">
            <wp:extent cx="5274310" cy="3085465"/>
            <wp:effectExtent l="0" t="0" r="25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085465"/>
                    </a:xfrm>
                    <a:prstGeom prst="rect">
                      <a:avLst/>
                    </a:prstGeom>
                  </pic:spPr>
                </pic:pic>
              </a:graphicData>
            </a:graphic>
          </wp:inline>
        </w:drawing>
      </w:r>
    </w:p>
    <w:p w14:paraId="782A27D8" w14:textId="77777777" w:rsidR="004C00D0" w:rsidRDefault="004C00D0" w:rsidP="004C00D0">
      <w:pPr>
        <w:rPr>
          <w:rFonts w:ascii="Times New Roman" w:hAnsi="Times New Roman" w:cs="Times New Roman"/>
        </w:rPr>
      </w:pPr>
    </w:p>
    <w:p w14:paraId="04478C26" w14:textId="77777777" w:rsidR="004C00D0" w:rsidRDefault="004C00D0" w:rsidP="004C00D0">
      <w:pPr>
        <w:rPr>
          <w:rFonts w:ascii="Times New Roman" w:hAnsi="Times New Roman" w:cs="Times New Roman"/>
        </w:rPr>
      </w:pPr>
    </w:p>
    <w:p w14:paraId="47D838E3" w14:textId="77777777" w:rsidR="00EE52C1" w:rsidRDefault="00EE52C1" w:rsidP="004C00D0">
      <w:pPr>
        <w:rPr>
          <w:rFonts w:ascii="Times New Roman" w:hAnsi="Times New Roman" w:cs="Times New Roman"/>
        </w:rPr>
      </w:pPr>
    </w:p>
    <w:p w14:paraId="4D0B4750" w14:textId="77777777" w:rsidR="004C00D0" w:rsidRPr="001079DE" w:rsidRDefault="004C00D0" w:rsidP="004C00D0">
      <w:pPr>
        <w:outlineLvl w:val="0"/>
        <w:rPr>
          <w:rFonts w:ascii="Times New Roman" w:hAnsi="Times New Roman" w:cs="Times New Roman"/>
          <w:b/>
        </w:rPr>
      </w:pPr>
      <w:bookmarkStart w:id="7" w:name="_Toc45195071"/>
      <w:r w:rsidRPr="001079DE">
        <w:rPr>
          <w:rFonts w:ascii="Times New Roman" w:hAnsi="Times New Roman" w:cs="Times New Roman" w:hint="eastAsia"/>
          <w:b/>
        </w:rPr>
        <w:lastRenderedPageBreak/>
        <w:t>F</w:t>
      </w:r>
      <w:r w:rsidRPr="001079DE">
        <w:rPr>
          <w:rFonts w:ascii="Times New Roman" w:hAnsi="Times New Roman" w:cs="Times New Roman"/>
          <w:b/>
        </w:rPr>
        <w:t>igure S</w:t>
      </w:r>
      <w:r w:rsidR="00EE52C1">
        <w:rPr>
          <w:rFonts w:ascii="Times New Roman" w:hAnsi="Times New Roman" w:cs="Times New Roman"/>
          <w:b/>
        </w:rPr>
        <w:t>3</w:t>
      </w:r>
      <w:r w:rsidRPr="001079DE">
        <w:rPr>
          <w:rFonts w:ascii="Times New Roman" w:hAnsi="Times New Roman" w:cs="Times New Roman"/>
          <w:b/>
        </w:rPr>
        <w:t>. The associations of serum levels of six liver function biomarkers with</w:t>
      </w:r>
      <w:r>
        <w:rPr>
          <w:rFonts w:ascii="Times New Roman" w:hAnsi="Times New Roman" w:cs="Times New Roman"/>
          <w:b/>
        </w:rPr>
        <w:t xml:space="preserve"> all-cause</w:t>
      </w:r>
      <w:r w:rsidRPr="001079DE">
        <w:rPr>
          <w:rFonts w:ascii="Times New Roman" w:hAnsi="Times New Roman" w:cs="Times New Roman"/>
          <w:b/>
        </w:rPr>
        <w:t xml:space="preserve"> related deaths in </w:t>
      </w:r>
      <w:r>
        <w:rPr>
          <w:rFonts w:ascii="Times New Roman" w:hAnsi="Times New Roman" w:cs="Times New Roman"/>
          <w:b/>
        </w:rPr>
        <w:t>females</w:t>
      </w:r>
      <w:r w:rsidRPr="001079DE">
        <w:rPr>
          <w:rFonts w:ascii="Times New Roman" w:hAnsi="Times New Roman" w:cs="Times New Roman"/>
          <w:b/>
        </w:rPr>
        <w:t>.</w:t>
      </w:r>
      <w:bookmarkEnd w:id="7"/>
    </w:p>
    <w:p w14:paraId="44BBA2A7" w14:textId="77777777" w:rsidR="004C00D0" w:rsidRDefault="004C00D0" w:rsidP="004C00D0">
      <w:pPr>
        <w:rPr>
          <w:rFonts w:ascii="Times New Roman" w:hAnsi="Times New Roman" w:cs="Times New Roman"/>
        </w:rPr>
      </w:pPr>
      <w:r>
        <w:rPr>
          <w:rFonts w:ascii="Times New Roman" w:hAnsi="Times New Roman" w:cs="Times New Roman"/>
        </w:rPr>
        <w:t>The degrees of freedom of ALT, AST, GGT, ALP, TB, and ALB was 3, 3, 1, 5, 3, and 2, respectively.</w:t>
      </w:r>
    </w:p>
    <w:p w14:paraId="6D5BAB4B" w14:textId="77777777" w:rsidR="004C00D0" w:rsidRDefault="00324CD9" w:rsidP="004C00D0">
      <w:pPr>
        <w:rPr>
          <w:rFonts w:ascii="Times New Roman" w:hAnsi="Times New Roman" w:cs="Times New Roman"/>
        </w:rPr>
      </w:pPr>
      <w:r>
        <w:rPr>
          <w:noProof/>
        </w:rPr>
        <w:drawing>
          <wp:inline distT="0" distB="0" distL="0" distR="0" wp14:anchorId="39D845D5" wp14:editId="38FBD3E5">
            <wp:extent cx="5274310" cy="29908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90850"/>
                    </a:xfrm>
                    <a:prstGeom prst="rect">
                      <a:avLst/>
                    </a:prstGeom>
                  </pic:spPr>
                </pic:pic>
              </a:graphicData>
            </a:graphic>
          </wp:inline>
        </w:drawing>
      </w:r>
    </w:p>
    <w:p w14:paraId="70C75926" w14:textId="77777777" w:rsidR="004C00D0" w:rsidRDefault="004C00D0" w:rsidP="004C00D0">
      <w:pPr>
        <w:rPr>
          <w:rFonts w:ascii="Times New Roman" w:hAnsi="Times New Roman" w:cs="Times New Roman"/>
        </w:rPr>
      </w:pPr>
    </w:p>
    <w:p w14:paraId="2AB3FF37" w14:textId="77777777" w:rsidR="004C00D0" w:rsidRDefault="004C00D0" w:rsidP="004C00D0">
      <w:pPr>
        <w:outlineLvl w:val="0"/>
        <w:rPr>
          <w:rFonts w:ascii="Times New Roman" w:hAnsi="Times New Roman" w:cs="Times New Roman"/>
          <w:b/>
        </w:rPr>
      </w:pPr>
    </w:p>
    <w:p w14:paraId="5652B6EC" w14:textId="77777777" w:rsidR="004C00D0" w:rsidRDefault="004C00D0" w:rsidP="004C00D0">
      <w:pPr>
        <w:outlineLvl w:val="0"/>
        <w:rPr>
          <w:rFonts w:ascii="Times New Roman" w:hAnsi="Times New Roman" w:cs="Times New Roman"/>
          <w:b/>
        </w:rPr>
      </w:pPr>
    </w:p>
    <w:p w14:paraId="3E4062B0" w14:textId="77777777" w:rsidR="004C00D0" w:rsidRDefault="004C00D0" w:rsidP="004C00D0">
      <w:pPr>
        <w:outlineLvl w:val="0"/>
        <w:rPr>
          <w:rFonts w:ascii="Times New Roman" w:hAnsi="Times New Roman" w:cs="Times New Roman"/>
          <w:b/>
        </w:rPr>
      </w:pPr>
    </w:p>
    <w:p w14:paraId="4716C371" w14:textId="77777777" w:rsidR="001079DE" w:rsidRPr="001079DE" w:rsidRDefault="001079DE" w:rsidP="004C00D0">
      <w:pPr>
        <w:outlineLvl w:val="0"/>
        <w:rPr>
          <w:rFonts w:ascii="Times New Roman" w:hAnsi="Times New Roman" w:cs="Times New Roman"/>
          <w:b/>
        </w:rPr>
      </w:pPr>
      <w:bookmarkStart w:id="8" w:name="_Toc45195072"/>
      <w:r w:rsidRPr="001079DE">
        <w:rPr>
          <w:rFonts w:ascii="Times New Roman" w:hAnsi="Times New Roman" w:cs="Times New Roman" w:hint="eastAsia"/>
          <w:b/>
        </w:rPr>
        <w:t>F</w:t>
      </w:r>
      <w:r w:rsidRPr="001079DE">
        <w:rPr>
          <w:rFonts w:ascii="Times New Roman" w:hAnsi="Times New Roman" w:cs="Times New Roman"/>
          <w:b/>
        </w:rPr>
        <w:t>igure S</w:t>
      </w:r>
      <w:r w:rsidR="00EE52C1">
        <w:rPr>
          <w:rFonts w:ascii="Times New Roman" w:hAnsi="Times New Roman" w:cs="Times New Roman"/>
          <w:b/>
        </w:rPr>
        <w:t>4</w:t>
      </w:r>
      <w:r w:rsidRPr="001079DE">
        <w:rPr>
          <w:rFonts w:ascii="Times New Roman" w:hAnsi="Times New Roman" w:cs="Times New Roman"/>
          <w:b/>
        </w:rPr>
        <w:t>. The associations of serum levels of six liver function biomarkers with heart and cerebrovascular diseases related deaths in NHANES population.</w:t>
      </w:r>
      <w:bookmarkEnd w:id="8"/>
    </w:p>
    <w:p w14:paraId="4F54A728" w14:textId="77777777" w:rsidR="001079DE" w:rsidRDefault="001079DE">
      <w:pPr>
        <w:rPr>
          <w:rFonts w:ascii="Times New Roman" w:hAnsi="Times New Roman" w:cs="Times New Roman"/>
        </w:rPr>
      </w:pPr>
      <w:r>
        <w:rPr>
          <w:rFonts w:ascii="Times New Roman" w:hAnsi="Times New Roman" w:cs="Times New Roman"/>
        </w:rPr>
        <w:t>The degrees of freedom of ALT, AST, GGT, ALP, TB, and ALB was 4, 3, 2, 12, 3, and 2, respectively.</w:t>
      </w:r>
    </w:p>
    <w:p w14:paraId="7D9D92F4" w14:textId="77777777" w:rsidR="001079DE" w:rsidRDefault="00324CD9">
      <w:pPr>
        <w:rPr>
          <w:rFonts w:ascii="Times New Roman" w:hAnsi="Times New Roman" w:cs="Times New Roman"/>
        </w:rPr>
      </w:pPr>
      <w:r>
        <w:rPr>
          <w:noProof/>
        </w:rPr>
        <w:drawing>
          <wp:inline distT="0" distB="0" distL="0" distR="0" wp14:anchorId="2FFCD807" wp14:editId="11F8443C">
            <wp:extent cx="5274310" cy="28073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807335"/>
                    </a:xfrm>
                    <a:prstGeom prst="rect">
                      <a:avLst/>
                    </a:prstGeom>
                  </pic:spPr>
                </pic:pic>
              </a:graphicData>
            </a:graphic>
          </wp:inline>
        </w:drawing>
      </w:r>
    </w:p>
    <w:p w14:paraId="211B8A49" w14:textId="77777777" w:rsidR="001079DE" w:rsidRDefault="001079DE">
      <w:pPr>
        <w:rPr>
          <w:rFonts w:ascii="Times New Roman" w:hAnsi="Times New Roman" w:cs="Times New Roman"/>
        </w:rPr>
      </w:pPr>
    </w:p>
    <w:p w14:paraId="3894DEDF" w14:textId="77777777" w:rsidR="00E15765" w:rsidRDefault="00E15765">
      <w:pPr>
        <w:rPr>
          <w:rFonts w:ascii="Times New Roman" w:hAnsi="Times New Roman" w:cs="Times New Roman"/>
        </w:rPr>
      </w:pPr>
    </w:p>
    <w:p w14:paraId="4236EE5F" w14:textId="77777777" w:rsidR="00E15765" w:rsidRDefault="00E15765">
      <w:pPr>
        <w:rPr>
          <w:rFonts w:ascii="Times New Roman" w:hAnsi="Times New Roman" w:cs="Times New Roman"/>
        </w:rPr>
      </w:pPr>
    </w:p>
    <w:p w14:paraId="506398CA" w14:textId="77777777" w:rsidR="001079DE" w:rsidRPr="001079DE" w:rsidRDefault="001079DE" w:rsidP="004C00D0">
      <w:pPr>
        <w:outlineLvl w:val="0"/>
        <w:rPr>
          <w:rFonts w:ascii="Times New Roman" w:hAnsi="Times New Roman" w:cs="Times New Roman"/>
          <w:b/>
        </w:rPr>
      </w:pPr>
      <w:bookmarkStart w:id="9" w:name="_Toc45195073"/>
      <w:r w:rsidRPr="001079DE">
        <w:rPr>
          <w:rFonts w:ascii="Times New Roman" w:hAnsi="Times New Roman" w:cs="Times New Roman" w:hint="eastAsia"/>
          <w:b/>
        </w:rPr>
        <w:lastRenderedPageBreak/>
        <w:t>F</w:t>
      </w:r>
      <w:r w:rsidRPr="001079DE">
        <w:rPr>
          <w:rFonts w:ascii="Times New Roman" w:hAnsi="Times New Roman" w:cs="Times New Roman"/>
          <w:b/>
        </w:rPr>
        <w:t>igure S</w:t>
      </w:r>
      <w:r w:rsidR="00EE52C1">
        <w:rPr>
          <w:rFonts w:ascii="Times New Roman" w:hAnsi="Times New Roman" w:cs="Times New Roman"/>
          <w:b/>
        </w:rPr>
        <w:t>5</w:t>
      </w:r>
      <w:r w:rsidRPr="001079DE">
        <w:rPr>
          <w:rFonts w:ascii="Times New Roman" w:hAnsi="Times New Roman" w:cs="Times New Roman"/>
          <w:b/>
        </w:rPr>
        <w:t>. The associations of serum levels of six liver function biomarkers with</w:t>
      </w:r>
      <w:r>
        <w:rPr>
          <w:rFonts w:ascii="Times New Roman" w:hAnsi="Times New Roman" w:cs="Times New Roman"/>
          <w:b/>
        </w:rPr>
        <w:t xml:space="preserve"> cancer</w:t>
      </w:r>
      <w:r w:rsidRPr="001079DE">
        <w:rPr>
          <w:rFonts w:ascii="Times New Roman" w:hAnsi="Times New Roman" w:cs="Times New Roman"/>
          <w:b/>
        </w:rPr>
        <w:t xml:space="preserve"> related deaths in NHANES population.</w:t>
      </w:r>
      <w:bookmarkEnd w:id="9"/>
    </w:p>
    <w:p w14:paraId="17E954E7" w14:textId="77777777" w:rsidR="001079DE" w:rsidRDefault="001079DE" w:rsidP="001079DE">
      <w:pPr>
        <w:rPr>
          <w:rFonts w:ascii="Times New Roman" w:hAnsi="Times New Roman" w:cs="Times New Roman"/>
        </w:rPr>
      </w:pPr>
      <w:r>
        <w:rPr>
          <w:rFonts w:ascii="Times New Roman" w:hAnsi="Times New Roman" w:cs="Times New Roman"/>
        </w:rPr>
        <w:t xml:space="preserve">The degrees of freedom of ALT, AST, GGT, ALP, TB, and ALB was </w:t>
      </w:r>
      <w:r w:rsidR="00E15765">
        <w:rPr>
          <w:rFonts w:ascii="Times New Roman" w:hAnsi="Times New Roman" w:cs="Times New Roman"/>
        </w:rPr>
        <w:t>3</w:t>
      </w:r>
      <w:r>
        <w:rPr>
          <w:rFonts w:ascii="Times New Roman" w:hAnsi="Times New Roman" w:cs="Times New Roman"/>
        </w:rPr>
        <w:t xml:space="preserve">, 3, 2, </w:t>
      </w:r>
      <w:r w:rsidR="00E15765">
        <w:rPr>
          <w:rFonts w:ascii="Times New Roman" w:hAnsi="Times New Roman" w:cs="Times New Roman"/>
        </w:rPr>
        <w:t>5</w:t>
      </w:r>
      <w:r>
        <w:rPr>
          <w:rFonts w:ascii="Times New Roman" w:hAnsi="Times New Roman" w:cs="Times New Roman"/>
        </w:rPr>
        <w:t>, 3, and 2, respectively.</w:t>
      </w:r>
    </w:p>
    <w:p w14:paraId="6D6ADB63" w14:textId="77777777" w:rsidR="001079DE" w:rsidRDefault="00324CD9">
      <w:pPr>
        <w:rPr>
          <w:rFonts w:ascii="Times New Roman" w:hAnsi="Times New Roman" w:cs="Times New Roman"/>
        </w:rPr>
      </w:pPr>
      <w:r>
        <w:rPr>
          <w:noProof/>
        </w:rPr>
        <w:drawing>
          <wp:inline distT="0" distB="0" distL="0" distR="0" wp14:anchorId="7C5E7468" wp14:editId="4EA4A5FA">
            <wp:extent cx="5274310" cy="2722880"/>
            <wp:effectExtent l="0" t="0" r="254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722880"/>
                    </a:xfrm>
                    <a:prstGeom prst="rect">
                      <a:avLst/>
                    </a:prstGeom>
                  </pic:spPr>
                </pic:pic>
              </a:graphicData>
            </a:graphic>
          </wp:inline>
        </w:drawing>
      </w:r>
    </w:p>
    <w:p w14:paraId="376F4B05" w14:textId="77777777" w:rsidR="00E15765" w:rsidRDefault="00E15765">
      <w:pPr>
        <w:rPr>
          <w:rFonts w:ascii="Times New Roman" w:hAnsi="Times New Roman" w:cs="Times New Roman"/>
        </w:rPr>
      </w:pPr>
    </w:p>
    <w:p w14:paraId="439DC194" w14:textId="77777777" w:rsidR="00E15765" w:rsidRDefault="00E15765">
      <w:pPr>
        <w:rPr>
          <w:rFonts w:ascii="Times New Roman" w:hAnsi="Times New Roman" w:cs="Times New Roman"/>
        </w:rPr>
      </w:pPr>
    </w:p>
    <w:p w14:paraId="16181E8A" w14:textId="77777777" w:rsidR="00E15765" w:rsidRPr="001079DE" w:rsidRDefault="00E15765" w:rsidP="004C00D0">
      <w:pPr>
        <w:outlineLvl w:val="0"/>
        <w:rPr>
          <w:rFonts w:ascii="Times New Roman" w:hAnsi="Times New Roman" w:cs="Times New Roman"/>
          <w:b/>
        </w:rPr>
      </w:pPr>
      <w:bookmarkStart w:id="10" w:name="_Toc45195074"/>
      <w:r w:rsidRPr="001079DE">
        <w:rPr>
          <w:rFonts w:ascii="Times New Roman" w:hAnsi="Times New Roman" w:cs="Times New Roman" w:hint="eastAsia"/>
          <w:b/>
        </w:rPr>
        <w:t>F</w:t>
      </w:r>
      <w:r w:rsidRPr="001079DE">
        <w:rPr>
          <w:rFonts w:ascii="Times New Roman" w:hAnsi="Times New Roman" w:cs="Times New Roman"/>
          <w:b/>
        </w:rPr>
        <w:t>igure S</w:t>
      </w:r>
      <w:r w:rsidR="00EE52C1">
        <w:rPr>
          <w:rFonts w:ascii="Times New Roman" w:hAnsi="Times New Roman" w:cs="Times New Roman"/>
          <w:b/>
        </w:rPr>
        <w:t>6</w:t>
      </w:r>
      <w:r w:rsidRPr="001079DE">
        <w:rPr>
          <w:rFonts w:ascii="Times New Roman" w:hAnsi="Times New Roman" w:cs="Times New Roman"/>
          <w:b/>
        </w:rPr>
        <w:t>. The associations of serum levels of six liver function biomarkers with</w:t>
      </w:r>
      <w:r>
        <w:rPr>
          <w:rFonts w:ascii="Times New Roman" w:hAnsi="Times New Roman" w:cs="Times New Roman"/>
          <w:b/>
        </w:rPr>
        <w:t xml:space="preserve"> other causes</w:t>
      </w:r>
      <w:r w:rsidRPr="001079DE">
        <w:rPr>
          <w:rFonts w:ascii="Times New Roman" w:hAnsi="Times New Roman" w:cs="Times New Roman"/>
          <w:b/>
        </w:rPr>
        <w:t xml:space="preserve"> related deaths in NHANES population.</w:t>
      </w:r>
      <w:bookmarkEnd w:id="10"/>
    </w:p>
    <w:p w14:paraId="36584A75" w14:textId="77777777" w:rsidR="00E15765" w:rsidRDefault="00E15765" w:rsidP="00E15765">
      <w:pPr>
        <w:rPr>
          <w:rFonts w:ascii="Times New Roman" w:hAnsi="Times New Roman" w:cs="Times New Roman"/>
        </w:rPr>
      </w:pPr>
      <w:r>
        <w:rPr>
          <w:rFonts w:ascii="Times New Roman" w:hAnsi="Times New Roman" w:cs="Times New Roman"/>
        </w:rPr>
        <w:t>The degrees of freedom of ALT, AST, GGT, ALP, TB, and ALB was 3, 3, 2, 5, 2, and 2, respectively.</w:t>
      </w:r>
    </w:p>
    <w:p w14:paraId="742D386D" w14:textId="77777777" w:rsidR="00E15765" w:rsidRDefault="00324CD9">
      <w:pPr>
        <w:rPr>
          <w:rFonts w:ascii="Times New Roman" w:hAnsi="Times New Roman" w:cs="Times New Roman"/>
        </w:rPr>
      </w:pPr>
      <w:r>
        <w:rPr>
          <w:noProof/>
        </w:rPr>
        <w:drawing>
          <wp:inline distT="0" distB="0" distL="0" distR="0" wp14:anchorId="1D804CC0" wp14:editId="5E0D2EED">
            <wp:extent cx="5274310" cy="27717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771775"/>
                    </a:xfrm>
                    <a:prstGeom prst="rect">
                      <a:avLst/>
                    </a:prstGeom>
                  </pic:spPr>
                </pic:pic>
              </a:graphicData>
            </a:graphic>
          </wp:inline>
        </w:drawing>
      </w:r>
    </w:p>
    <w:p w14:paraId="05DAAA35" w14:textId="77777777" w:rsidR="00E15765" w:rsidRDefault="00E15765">
      <w:pPr>
        <w:rPr>
          <w:rFonts w:ascii="Times New Roman" w:hAnsi="Times New Roman" w:cs="Times New Roman"/>
        </w:rPr>
      </w:pPr>
    </w:p>
    <w:p w14:paraId="30C0696E" w14:textId="77777777" w:rsidR="00E15765" w:rsidRDefault="00E15765">
      <w:pPr>
        <w:rPr>
          <w:rFonts w:ascii="Times New Roman" w:hAnsi="Times New Roman" w:cs="Times New Roman"/>
        </w:rPr>
      </w:pPr>
    </w:p>
    <w:p w14:paraId="609960F3" w14:textId="77777777" w:rsidR="00E15765" w:rsidRDefault="00E15765">
      <w:pPr>
        <w:rPr>
          <w:rFonts w:ascii="Times New Roman" w:hAnsi="Times New Roman" w:cs="Times New Roman"/>
        </w:rPr>
      </w:pPr>
    </w:p>
    <w:p w14:paraId="772928C2" w14:textId="77777777" w:rsidR="00022BC3" w:rsidRDefault="00022BC3">
      <w:pPr>
        <w:rPr>
          <w:rFonts w:ascii="Times New Roman" w:hAnsi="Times New Roman" w:cs="Times New Roman"/>
        </w:rPr>
      </w:pPr>
    </w:p>
    <w:p w14:paraId="010D9C8E" w14:textId="77777777" w:rsidR="00022BC3" w:rsidRDefault="00022BC3">
      <w:pPr>
        <w:rPr>
          <w:rFonts w:ascii="Times New Roman" w:hAnsi="Times New Roman" w:cs="Times New Roman"/>
        </w:rPr>
      </w:pPr>
    </w:p>
    <w:p w14:paraId="023BB3A7" w14:textId="77777777" w:rsidR="00022BC3" w:rsidRDefault="00022BC3">
      <w:pPr>
        <w:rPr>
          <w:rFonts w:ascii="Times New Roman" w:hAnsi="Times New Roman" w:cs="Times New Roman"/>
        </w:rPr>
      </w:pPr>
    </w:p>
    <w:p w14:paraId="4767CCC2" w14:textId="77777777" w:rsidR="00642AD3" w:rsidRDefault="00642AD3">
      <w:pPr>
        <w:rPr>
          <w:rFonts w:ascii="Times New Roman" w:hAnsi="Times New Roman" w:cs="Times New Roman"/>
        </w:rPr>
      </w:pPr>
    </w:p>
    <w:p w14:paraId="74271190" w14:textId="77777777" w:rsidR="006F4FA0" w:rsidRPr="006F4FA0" w:rsidRDefault="006F4FA0" w:rsidP="00022BC3">
      <w:pPr>
        <w:outlineLvl w:val="0"/>
        <w:rPr>
          <w:rFonts w:ascii="Times New Roman" w:hAnsi="Times New Roman" w:cs="Times New Roman"/>
          <w:b/>
          <w:szCs w:val="21"/>
        </w:rPr>
      </w:pPr>
      <w:bookmarkStart w:id="11" w:name="_Toc45195075"/>
      <w:r w:rsidRPr="006F4FA0">
        <w:rPr>
          <w:rFonts w:ascii="Times New Roman" w:hAnsi="Times New Roman" w:cs="Times New Roman" w:hint="eastAsia"/>
          <w:b/>
          <w:szCs w:val="21"/>
        </w:rPr>
        <w:lastRenderedPageBreak/>
        <w:t>F</w:t>
      </w:r>
      <w:r w:rsidRPr="006F4FA0">
        <w:rPr>
          <w:rFonts w:ascii="Times New Roman" w:hAnsi="Times New Roman" w:cs="Times New Roman"/>
          <w:b/>
          <w:szCs w:val="21"/>
        </w:rPr>
        <w:t>igure S7. The effect estimates of discrete levels of liver function biomarkers on all-cause mortality (A) and the relative importance of the six biomarkers for all-cause mortality (B).</w:t>
      </w:r>
      <w:bookmarkEnd w:id="11"/>
      <w:r w:rsidRPr="006F4FA0">
        <w:rPr>
          <w:rFonts w:ascii="Times New Roman" w:hAnsi="Times New Roman" w:cs="Times New Roman"/>
          <w:b/>
          <w:szCs w:val="21"/>
        </w:rPr>
        <w:t xml:space="preserve"> </w:t>
      </w:r>
    </w:p>
    <w:p w14:paraId="19D9C62A" w14:textId="77777777" w:rsidR="006F4FA0" w:rsidRPr="006F4FA0" w:rsidRDefault="006F4FA0" w:rsidP="006F4FA0">
      <w:pPr>
        <w:rPr>
          <w:rFonts w:ascii="Times New Roman" w:hAnsi="Times New Roman" w:cs="Times New Roman"/>
          <w:b/>
          <w:sz w:val="18"/>
        </w:rPr>
      </w:pPr>
      <w:r w:rsidRPr="006F4FA0">
        <w:rPr>
          <w:rFonts w:ascii="Times New Roman" w:hAnsi="Times New Roman" w:cs="Times New Roman"/>
          <w:szCs w:val="24"/>
        </w:rPr>
        <w:t>The dots represent the point estimates and the error bars means the corresponding 95% confidence intervals. The squares denote the reference group.</w:t>
      </w:r>
    </w:p>
    <w:p w14:paraId="5293EEAE" w14:textId="77777777" w:rsidR="006F4FA0" w:rsidRDefault="006F4FA0" w:rsidP="006F4FA0">
      <w:pPr>
        <w:rPr>
          <w:rFonts w:ascii="Times New Roman" w:hAnsi="Times New Roman" w:cs="Times New Roman"/>
          <w:b/>
        </w:rPr>
      </w:pPr>
      <w:r>
        <w:rPr>
          <w:noProof/>
        </w:rPr>
        <w:drawing>
          <wp:inline distT="0" distB="0" distL="0" distR="0" wp14:anchorId="3ACE1762" wp14:editId="0F63E9EA">
            <wp:extent cx="5274310" cy="2795905"/>
            <wp:effectExtent l="0" t="0" r="254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795905"/>
                    </a:xfrm>
                    <a:prstGeom prst="rect">
                      <a:avLst/>
                    </a:prstGeom>
                  </pic:spPr>
                </pic:pic>
              </a:graphicData>
            </a:graphic>
          </wp:inline>
        </w:drawing>
      </w:r>
    </w:p>
    <w:p w14:paraId="1038769C" w14:textId="77777777" w:rsidR="006F4FA0" w:rsidRDefault="006F4FA0" w:rsidP="006F4FA0">
      <w:pPr>
        <w:rPr>
          <w:rFonts w:ascii="Times New Roman" w:hAnsi="Times New Roman" w:cs="Times New Roman"/>
          <w:b/>
        </w:rPr>
      </w:pPr>
    </w:p>
    <w:p w14:paraId="612AF9A4" w14:textId="77777777" w:rsidR="006F4FA0" w:rsidRDefault="006F4FA0" w:rsidP="006F4FA0">
      <w:pPr>
        <w:rPr>
          <w:rFonts w:ascii="Times New Roman" w:hAnsi="Times New Roman" w:cs="Times New Roman"/>
          <w:b/>
        </w:rPr>
      </w:pPr>
    </w:p>
    <w:p w14:paraId="48B7E08B" w14:textId="77777777" w:rsidR="006F4FA0" w:rsidRDefault="006F4FA0" w:rsidP="00022BC3">
      <w:pPr>
        <w:outlineLvl w:val="0"/>
        <w:rPr>
          <w:rFonts w:ascii="Times New Roman" w:hAnsi="Times New Roman" w:cs="Times New Roman"/>
          <w:b/>
        </w:rPr>
      </w:pPr>
    </w:p>
    <w:p w14:paraId="512E17C6" w14:textId="77777777" w:rsidR="00022BC3" w:rsidRPr="00022BC3" w:rsidRDefault="00022BC3" w:rsidP="00022BC3">
      <w:pPr>
        <w:outlineLvl w:val="0"/>
        <w:rPr>
          <w:rFonts w:ascii="Times New Roman" w:hAnsi="Times New Roman" w:cs="Times New Roman"/>
          <w:b/>
        </w:rPr>
      </w:pPr>
      <w:bookmarkStart w:id="12" w:name="_Toc45195076"/>
      <w:r w:rsidRPr="00022BC3">
        <w:rPr>
          <w:rFonts w:ascii="Times New Roman" w:hAnsi="Times New Roman" w:cs="Times New Roman" w:hint="eastAsia"/>
          <w:b/>
        </w:rPr>
        <w:t>F</w:t>
      </w:r>
      <w:r w:rsidRPr="00022BC3">
        <w:rPr>
          <w:rFonts w:ascii="Times New Roman" w:hAnsi="Times New Roman" w:cs="Times New Roman"/>
          <w:b/>
        </w:rPr>
        <w:t>igure S</w:t>
      </w:r>
      <w:r w:rsidR="006F4FA0">
        <w:rPr>
          <w:rFonts w:ascii="Times New Roman" w:hAnsi="Times New Roman" w:cs="Times New Roman"/>
          <w:b/>
        </w:rPr>
        <w:t>8</w:t>
      </w:r>
      <w:r w:rsidRPr="00022BC3">
        <w:rPr>
          <w:rFonts w:ascii="Times New Roman" w:hAnsi="Times New Roman" w:cs="Times New Roman"/>
          <w:b/>
        </w:rPr>
        <w:t>. The distribution of risk scores at log scale among heart and cerebrovascular diseases related deaths and alive people (A) and the survival curves of people with high and low risk scores (B).</w:t>
      </w:r>
      <w:bookmarkEnd w:id="12"/>
    </w:p>
    <w:p w14:paraId="7052FA9E" w14:textId="77777777" w:rsidR="00022BC3" w:rsidRDefault="00022BC3">
      <w:pPr>
        <w:rPr>
          <w:rFonts w:ascii="Times New Roman" w:hAnsi="Times New Roman" w:cs="Times New Roman"/>
        </w:rPr>
      </w:pPr>
      <w:r>
        <w:rPr>
          <w:noProof/>
        </w:rPr>
        <w:drawing>
          <wp:inline distT="0" distB="0" distL="0" distR="0" wp14:anchorId="07116B49" wp14:editId="424D889D">
            <wp:extent cx="5274310" cy="22675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267585"/>
                    </a:xfrm>
                    <a:prstGeom prst="rect">
                      <a:avLst/>
                    </a:prstGeom>
                  </pic:spPr>
                </pic:pic>
              </a:graphicData>
            </a:graphic>
          </wp:inline>
        </w:drawing>
      </w:r>
    </w:p>
    <w:p w14:paraId="3A656A9F" w14:textId="77777777" w:rsidR="00022BC3" w:rsidRDefault="00022BC3">
      <w:pPr>
        <w:rPr>
          <w:rFonts w:ascii="Times New Roman" w:hAnsi="Times New Roman" w:cs="Times New Roman"/>
        </w:rPr>
      </w:pPr>
    </w:p>
    <w:p w14:paraId="5FB82CE7" w14:textId="77777777" w:rsidR="006F4FA0" w:rsidRDefault="006F4FA0">
      <w:pPr>
        <w:rPr>
          <w:rFonts w:ascii="Times New Roman" w:hAnsi="Times New Roman" w:cs="Times New Roman"/>
        </w:rPr>
      </w:pPr>
    </w:p>
    <w:p w14:paraId="379F7D46" w14:textId="77777777" w:rsidR="006F4FA0" w:rsidRDefault="006F4FA0">
      <w:pPr>
        <w:rPr>
          <w:rFonts w:ascii="Times New Roman" w:hAnsi="Times New Roman" w:cs="Times New Roman"/>
        </w:rPr>
      </w:pPr>
    </w:p>
    <w:p w14:paraId="7C95BAB8" w14:textId="77777777" w:rsidR="006F4FA0" w:rsidRDefault="006F4FA0">
      <w:pPr>
        <w:rPr>
          <w:rFonts w:ascii="Times New Roman" w:hAnsi="Times New Roman" w:cs="Times New Roman"/>
        </w:rPr>
      </w:pPr>
    </w:p>
    <w:p w14:paraId="17293250" w14:textId="77777777" w:rsidR="006F4FA0" w:rsidRDefault="006F4FA0">
      <w:pPr>
        <w:rPr>
          <w:rFonts w:ascii="Times New Roman" w:hAnsi="Times New Roman" w:cs="Times New Roman"/>
        </w:rPr>
      </w:pPr>
    </w:p>
    <w:p w14:paraId="227BD825" w14:textId="77777777" w:rsidR="006F4FA0" w:rsidRDefault="006F4FA0">
      <w:pPr>
        <w:rPr>
          <w:rFonts w:ascii="Times New Roman" w:hAnsi="Times New Roman" w:cs="Times New Roman"/>
        </w:rPr>
      </w:pPr>
    </w:p>
    <w:p w14:paraId="041FB5F2" w14:textId="77777777" w:rsidR="00642AD3" w:rsidRDefault="00642AD3">
      <w:pPr>
        <w:rPr>
          <w:rFonts w:ascii="Times New Roman" w:hAnsi="Times New Roman" w:cs="Times New Roman"/>
        </w:rPr>
      </w:pPr>
    </w:p>
    <w:p w14:paraId="4F93C8B9" w14:textId="77777777" w:rsidR="00022BC3" w:rsidRDefault="00022BC3" w:rsidP="00022BC3">
      <w:pPr>
        <w:outlineLvl w:val="0"/>
        <w:rPr>
          <w:rFonts w:ascii="Times New Roman" w:hAnsi="Times New Roman" w:cs="Times New Roman"/>
        </w:rPr>
      </w:pPr>
      <w:bookmarkStart w:id="13" w:name="_Toc45195077"/>
      <w:r w:rsidRPr="00022BC3">
        <w:rPr>
          <w:rFonts w:ascii="Times New Roman" w:hAnsi="Times New Roman" w:cs="Times New Roman"/>
          <w:b/>
        </w:rPr>
        <w:lastRenderedPageBreak/>
        <w:t>Figure S</w:t>
      </w:r>
      <w:r w:rsidR="006F4FA0">
        <w:rPr>
          <w:rFonts w:ascii="Times New Roman" w:hAnsi="Times New Roman" w:cs="Times New Roman"/>
          <w:b/>
        </w:rPr>
        <w:t>9</w:t>
      </w:r>
      <w:r w:rsidRPr="00022BC3">
        <w:rPr>
          <w:rFonts w:ascii="Times New Roman" w:hAnsi="Times New Roman" w:cs="Times New Roman"/>
          <w:b/>
        </w:rPr>
        <w:t>. The distribution of risk scores at log scale among cancer related deaths and alive people (A) and the survival curves of people with high and low risk scores (B).</w:t>
      </w:r>
      <w:bookmarkEnd w:id="13"/>
    </w:p>
    <w:p w14:paraId="738849CE" w14:textId="77777777" w:rsidR="00022BC3" w:rsidRDefault="00022BC3">
      <w:pPr>
        <w:rPr>
          <w:rFonts w:ascii="Times New Roman" w:hAnsi="Times New Roman" w:cs="Times New Roman"/>
        </w:rPr>
      </w:pPr>
      <w:r>
        <w:rPr>
          <w:noProof/>
        </w:rPr>
        <w:drawing>
          <wp:inline distT="0" distB="0" distL="0" distR="0" wp14:anchorId="337ED89C" wp14:editId="2448AFE4">
            <wp:extent cx="5274310" cy="213804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138045"/>
                    </a:xfrm>
                    <a:prstGeom prst="rect">
                      <a:avLst/>
                    </a:prstGeom>
                  </pic:spPr>
                </pic:pic>
              </a:graphicData>
            </a:graphic>
          </wp:inline>
        </w:drawing>
      </w:r>
    </w:p>
    <w:p w14:paraId="4E84538E" w14:textId="77777777" w:rsidR="00851D0D" w:rsidRDefault="00851D0D" w:rsidP="00022BC3">
      <w:pPr>
        <w:outlineLvl w:val="0"/>
        <w:rPr>
          <w:rFonts w:ascii="Times New Roman" w:hAnsi="Times New Roman" w:cs="Times New Roman"/>
          <w:b/>
        </w:rPr>
      </w:pPr>
    </w:p>
    <w:p w14:paraId="458641D5" w14:textId="77777777" w:rsidR="00022BC3" w:rsidRDefault="00022BC3" w:rsidP="00022BC3">
      <w:pPr>
        <w:outlineLvl w:val="0"/>
        <w:rPr>
          <w:rFonts w:ascii="Times New Roman" w:hAnsi="Times New Roman" w:cs="Times New Roman"/>
        </w:rPr>
      </w:pPr>
      <w:bookmarkStart w:id="14" w:name="_Toc45195078"/>
      <w:r w:rsidRPr="00022BC3">
        <w:rPr>
          <w:rFonts w:ascii="Times New Roman" w:hAnsi="Times New Roman" w:cs="Times New Roman" w:hint="eastAsia"/>
          <w:b/>
        </w:rPr>
        <w:t>F</w:t>
      </w:r>
      <w:r w:rsidRPr="00022BC3">
        <w:rPr>
          <w:rFonts w:ascii="Times New Roman" w:hAnsi="Times New Roman" w:cs="Times New Roman"/>
          <w:b/>
        </w:rPr>
        <w:t>igure S</w:t>
      </w:r>
      <w:r w:rsidR="006F4FA0">
        <w:rPr>
          <w:rFonts w:ascii="Times New Roman" w:hAnsi="Times New Roman" w:cs="Times New Roman"/>
          <w:b/>
        </w:rPr>
        <w:t>10</w:t>
      </w:r>
      <w:r w:rsidRPr="00022BC3">
        <w:rPr>
          <w:rFonts w:ascii="Times New Roman" w:hAnsi="Times New Roman" w:cs="Times New Roman"/>
          <w:b/>
        </w:rPr>
        <w:t>. The distribution of risk scores at log scale among other causes related deaths and alive people (A) and the survival curves of people with high and low risk scores (B).</w:t>
      </w:r>
      <w:bookmarkEnd w:id="14"/>
    </w:p>
    <w:p w14:paraId="4A985AA6" w14:textId="77777777" w:rsidR="002B1BB1" w:rsidRDefault="00022BC3" w:rsidP="001D7EB4">
      <w:pPr>
        <w:rPr>
          <w:rFonts w:ascii="Times New Roman" w:hAnsi="Times New Roman" w:cs="Times New Roman"/>
        </w:rPr>
      </w:pPr>
      <w:r>
        <w:rPr>
          <w:noProof/>
        </w:rPr>
        <w:drawing>
          <wp:inline distT="0" distB="0" distL="0" distR="0" wp14:anchorId="139081CB" wp14:editId="29CFF28F">
            <wp:extent cx="5274310" cy="22771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277110"/>
                    </a:xfrm>
                    <a:prstGeom prst="rect">
                      <a:avLst/>
                    </a:prstGeom>
                  </pic:spPr>
                </pic:pic>
              </a:graphicData>
            </a:graphic>
          </wp:inline>
        </w:drawing>
      </w:r>
    </w:p>
    <w:p w14:paraId="51DA7D14" w14:textId="77777777" w:rsidR="001D05B8" w:rsidRPr="002B1BB1" w:rsidRDefault="001D05B8" w:rsidP="001D05B8">
      <w:pPr>
        <w:outlineLvl w:val="0"/>
        <w:rPr>
          <w:rFonts w:ascii="Times New Roman" w:hAnsi="Times New Roman" w:cs="Times New Roman"/>
          <w:b/>
        </w:rPr>
      </w:pPr>
      <w:bookmarkStart w:id="15" w:name="_Toc45195079"/>
      <w:r w:rsidRPr="002B1BB1">
        <w:rPr>
          <w:rFonts w:ascii="Times New Roman" w:hAnsi="Times New Roman" w:cs="Times New Roman" w:hint="eastAsia"/>
          <w:b/>
        </w:rPr>
        <w:t>F</w:t>
      </w:r>
      <w:r w:rsidRPr="002B1BB1">
        <w:rPr>
          <w:rFonts w:ascii="Times New Roman" w:hAnsi="Times New Roman" w:cs="Times New Roman"/>
          <w:b/>
        </w:rPr>
        <w:t>igure S1</w:t>
      </w:r>
      <w:r w:rsidR="001D7EB4">
        <w:rPr>
          <w:rFonts w:ascii="Times New Roman" w:hAnsi="Times New Roman" w:cs="Times New Roman"/>
          <w:b/>
        </w:rPr>
        <w:t>1</w:t>
      </w:r>
      <w:r w:rsidRPr="002B1BB1">
        <w:rPr>
          <w:rFonts w:ascii="Times New Roman" w:hAnsi="Times New Roman" w:cs="Times New Roman"/>
          <w:b/>
        </w:rPr>
        <w:t xml:space="preserve">. The areas under ROC curves of LFRSs, by </w:t>
      </w:r>
      <w:r>
        <w:rPr>
          <w:rFonts w:ascii="Times New Roman" w:hAnsi="Times New Roman" w:cs="Times New Roman"/>
          <w:b/>
        </w:rPr>
        <w:t>cause of mortality</w:t>
      </w:r>
      <w:r w:rsidRPr="002B1BB1">
        <w:rPr>
          <w:rFonts w:ascii="Times New Roman" w:hAnsi="Times New Roman" w:cs="Times New Roman"/>
          <w:b/>
        </w:rPr>
        <w:t>.</w:t>
      </w:r>
      <w:bookmarkEnd w:id="15"/>
    </w:p>
    <w:p w14:paraId="45FD3BE3" w14:textId="77777777" w:rsidR="001D05B8" w:rsidRDefault="001D05B8" w:rsidP="002B1BB1">
      <w:pPr>
        <w:jc w:val="left"/>
        <w:rPr>
          <w:rFonts w:ascii="Times New Roman" w:hAnsi="Times New Roman" w:cs="Times New Roman"/>
        </w:rPr>
      </w:pPr>
      <w:r>
        <w:rPr>
          <w:noProof/>
        </w:rPr>
        <w:drawing>
          <wp:inline distT="0" distB="0" distL="0" distR="0" wp14:anchorId="29991910" wp14:editId="71634EBB">
            <wp:extent cx="5274310" cy="3039745"/>
            <wp:effectExtent l="0" t="0" r="254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039745"/>
                    </a:xfrm>
                    <a:prstGeom prst="rect">
                      <a:avLst/>
                    </a:prstGeom>
                  </pic:spPr>
                </pic:pic>
              </a:graphicData>
            </a:graphic>
          </wp:inline>
        </w:drawing>
      </w:r>
    </w:p>
    <w:p w14:paraId="1EEF4238" w14:textId="77777777" w:rsidR="00851D0D" w:rsidRPr="001D05B8" w:rsidRDefault="00851D0D" w:rsidP="002B1BB1">
      <w:pPr>
        <w:jc w:val="left"/>
        <w:rPr>
          <w:rFonts w:ascii="Times New Roman" w:hAnsi="Times New Roman" w:cs="Times New Roman"/>
        </w:rPr>
      </w:pPr>
    </w:p>
    <w:p w14:paraId="5BCC0E26" w14:textId="77777777" w:rsidR="00700A30" w:rsidRPr="005D761B" w:rsidRDefault="00700A30" w:rsidP="002B353D">
      <w:pPr>
        <w:jc w:val="left"/>
        <w:outlineLvl w:val="0"/>
        <w:rPr>
          <w:rFonts w:ascii="Times New Roman" w:hAnsi="Times New Roman" w:cs="Times New Roman"/>
          <w:b/>
        </w:rPr>
      </w:pPr>
      <w:bookmarkStart w:id="16" w:name="_Toc45195080"/>
      <w:r w:rsidRPr="005D761B">
        <w:rPr>
          <w:rFonts w:ascii="Times New Roman" w:hAnsi="Times New Roman" w:cs="Times New Roman" w:hint="eastAsia"/>
          <w:b/>
        </w:rPr>
        <w:t>F</w:t>
      </w:r>
      <w:r w:rsidRPr="005D761B">
        <w:rPr>
          <w:rFonts w:ascii="Times New Roman" w:hAnsi="Times New Roman" w:cs="Times New Roman"/>
          <w:b/>
        </w:rPr>
        <w:t>igure S1</w:t>
      </w:r>
      <w:r w:rsidR="001D7EB4">
        <w:rPr>
          <w:rFonts w:ascii="Times New Roman" w:hAnsi="Times New Roman" w:cs="Times New Roman"/>
          <w:b/>
        </w:rPr>
        <w:t>2</w:t>
      </w:r>
      <w:r w:rsidRPr="005D761B">
        <w:rPr>
          <w:rFonts w:ascii="Times New Roman" w:hAnsi="Times New Roman" w:cs="Times New Roman"/>
          <w:b/>
        </w:rPr>
        <w:t xml:space="preserve">. Result of the first sensitivity analysis: associations of serum level of </w:t>
      </w:r>
      <w:r w:rsidR="005D761B">
        <w:rPr>
          <w:rFonts w:ascii="Times New Roman" w:hAnsi="Times New Roman" w:cs="Times New Roman"/>
          <w:b/>
        </w:rPr>
        <w:t>liver function biomarker with all-cause mortality</w:t>
      </w:r>
      <w:r w:rsidR="002B353D">
        <w:rPr>
          <w:rFonts w:ascii="Times New Roman" w:hAnsi="Times New Roman" w:cs="Times New Roman"/>
          <w:b/>
        </w:rPr>
        <w:t xml:space="preserve"> among participants who were followed up </w:t>
      </w:r>
      <w:r w:rsidR="002B353D" w:rsidRPr="002B353D">
        <w:rPr>
          <w:rFonts w:ascii="Times New Roman" w:eastAsia="宋体" w:hAnsi="Times New Roman" w:cs="Times New Roman"/>
          <w:b/>
        </w:rPr>
        <w:t>≥</w:t>
      </w:r>
      <w:r w:rsidR="002B353D">
        <w:rPr>
          <w:rFonts w:ascii="Times New Roman" w:hAnsi="Times New Roman" w:cs="Times New Roman"/>
          <w:b/>
        </w:rPr>
        <w:t xml:space="preserve"> 36 months.</w:t>
      </w:r>
      <w:bookmarkEnd w:id="16"/>
    </w:p>
    <w:p w14:paraId="3E479D4C" w14:textId="77777777" w:rsidR="005D761B" w:rsidRDefault="00A7414D" w:rsidP="002B1BB1">
      <w:pPr>
        <w:jc w:val="left"/>
        <w:rPr>
          <w:rFonts w:ascii="Times New Roman" w:hAnsi="Times New Roman" w:cs="Times New Roman"/>
        </w:rPr>
      </w:pPr>
      <w:r>
        <w:rPr>
          <w:noProof/>
        </w:rPr>
        <w:drawing>
          <wp:inline distT="0" distB="0" distL="0" distR="0" wp14:anchorId="09D0468F" wp14:editId="162FA1B6">
            <wp:extent cx="5274310" cy="276733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767330"/>
                    </a:xfrm>
                    <a:prstGeom prst="rect">
                      <a:avLst/>
                    </a:prstGeom>
                  </pic:spPr>
                </pic:pic>
              </a:graphicData>
            </a:graphic>
          </wp:inline>
        </w:drawing>
      </w:r>
    </w:p>
    <w:p w14:paraId="5C6A501D" w14:textId="77777777" w:rsidR="00A7414D" w:rsidRDefault="00A7414D" w:rsidP="002B1BB1">
      <w:pPr>
        <w:jc w:val="left"/>
        <w:rPr>
          <w:rFonts w:ascii="Times New Roman" w:hAnsi="Times New Roman" w:cs="Times New Roman"/>
        </w:rPr>
      </w:pPr>
    </w:p>
    <w:p w14:paraId="75904AC3" w14:textId="77777777" w:rsidR="005D761B" w:rsidRDefault="005D761B" w:rsidP="002B1BB1">
      <w:pPr>
        <w:jc w:val="left"/>
        <w:rPr>
          <w:rFonts w:ascii="Times New Roman" w:hAnsi="Times New Roman" w:cs="Times New Roman"/>
        </w:rPr>
      </w:pPr>
    </w:p>
    <w:p w14:paraId="3B912010" w14:textId="77777777" w:rsidR="005D761B" w:rsidRPr="005D761B" w:rsidRDefault="005D761B" w:rsidP="00BB36D9">
      <w:pPr>
        <w:jc w:val="left"/>
        <w:outlineLvl w:val="0"/>
        <w:rPr>
          <w:rFonts w:ascii="Times New Roman" w:hAnsi="Times New Roman" w:cs="Times New Roman"/>
          <w:b/>
        </w:rPr>
      </w:pPr>
      <w:bookmarkStart w:id="17" w:name="_Toc45195081"/>
      <w:r w:rsidRPr="005D761B">
        <w:rPr>
          <w:rFonts w:ascii="Times New Roman" w:hAnsi="Times New Roman" w:cs="Times New Roman" w:hint="eastAsia"/>
          <w:b/>
        </w:rPr>
        <w:t>F</w:t>
      </w:r>
      <w:r w:rsidRPr="005D761B">
        <w:rPr>
          <w:rFonts w:ascii="Times New Roman" w:hAnsi="Times New Roman" w:cs="Times New Roman"/>
          <w:b/>
        </w:rPr>
        <w:t>igure S1</w:t>
      </w:r>
      <w:r w:rsidR="001D7EB4">
        <w:rPr>
          <w:rFonts w:ascii="Times New Roman" w:hAnsi="Times New Roman" w:cs="Times New Roman"/>
          <w:b/>
        </w:rPr>
        <w:t>3</w:t>
      </w:r>
      <w:r w:rsidRPr="005D761B">
        <w:rPr>
          <w:rFonts w:ascii="Times New Roman" w:hAnsi="Times New Roman" w:cs="Times New Roman"/>
          <w:b/>
        </w:rPr>
        <w:t xml:space="preserve">. Result of the </w:t>
      </w:r>
      <w:r w:rsidR="002B353D">
        <w:rPr>
          <w:rFonts w:ascii="Times New Roman" w:hAnsi="Times New Roman" w:cs="Times New Roman"/>
          <w:b/>
        </w:rPr>
        <w:t>second</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w:t>
      </w:r>
      <w:r w:rsidR="002B353D">
        <w:rPr>
          <w:rFonts w:ascii="Times New Roman" w:hAnsi="Times New Roman" w:cs="Times New Roman"/>
          <w:b/>
        </w:rPr>
        <w:t xml:space="preserve"> all-cause</w:t>
      </w:r>
      <w:r>
        <w:rPr>
          <w:rFonts w:ascii="Times New Roman" w:hAnsi="Times New Roman" w:cs="Times New Roman"/>
          <w:b/>
        </w:rPr>
        <w:t xml:space="preserve"> mortality</w:t>
      </w:r>
      <w:r w:rsidR="002B353D">
        <w:rPr>
          <w:rFonts w:ascii="Times New Roman" w:hAnsi="Times New Roman" w:cs="Times New Roman"/>
          <w:b/>
        </w:rPr>
        <w:t xml:space="preserve"> among participants who were free of diabetes, cancer, heart diseases at the baseline</w:t>
      </w:r>
      <w:r>
        <w:rPr>
          <w:rFonts w:ascii="Times New Roman" w:hAnsi="Times New Roman" w:cs="Times New Roman"/>
          <w:b/>
        </w:rPr>
        <w:t>.</w:t>
      </w:r>
      <w:bookmarkEnd w:id="17"/>
    </w:p>
    <w:p w14:paraId="4987DE27" w14:textId="77777777" w:rsidR="005D761B" w:rsidRDefault="002B353D" w:rsidP="002B1BB1">
      <w:pPr>
        <w:jc w:val="left"/>
        <w:rPr>
          <w:rFonts w:ascii="Times New Roman" w:hAnsi="Times New Roman" w:cs="Times New Roman"/>
        </w:rPr>
      </w:pPr>
      <w:r>
        <w:rPr>
          <w:noProof/>
        </w:rPr>
        <w:drawing>
          <wp:inline distT="0" distB="0" distL="0" distR="0" wp14:anchorId="3C5B7AB7" wp14:editId="1C7F8FC8">
            <wp:extent cx="5274310" cy="269938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699385"/>
                    </a:xfrm>
                    <a:prstGeom prst="rect">
                      <a:avLst/>
                    </a:prstGeom>
                  </pic:spPr>
                </pic:pic>
              </a:graphicData>
            </a:graphic>
          </wp:inline>
        </w:drawing>
      </w:r>
    </w:p>
    <w:p w14:paraId="7C625DEC" w14:textId="77777777" w:rsidR="002B353D" w:rsidRDefault="002B353D" w:rsidP="002B1BB1">
      <w:pPr>
        <w:jc w:val="left"/>
        <w:rPr>
          <w:rFonts w:ascii="Times New Roman" w:hAnsi="Times New Roman" w:cs="Times New Roman"/>
        </w:rPr>
      </w:pPr>
    </w:p>
    <w:p w14:paraId="64BA2C2E" w14:textId="77777777" w:rsidR="001D05B8" w:rsidRDefault="001D05B8" w:rsidP="002B1BB1">
      <w:pPr>
        <w:jc w:val="left"/>
        <w:rPr>
          <w:rFonts w:ascii="Times New Roman" w:hAnsi="Times New Roman" w:cs="Times New Roman"/>
        </w:rPr>
      </w:pPr>
    </w:p>
    <w:p w14:paraId="553DCDE1" w14:textId="77777777" w:rsidR="001D05B8" w:rsidRDefault="001D05B8" w:rsidP="002B1BB1">
      <w:pPr>
        <w:jc w:val="left"/>
        <w:rPr>
          <w:rFonts w:ascii="Times New Roman" w:hAnsi="Times New Roman" w:cs="Times New Roman"/>
        </w:rPr>
      </w:pPr>
    </w:p>
    <w:p w14:paraId="3F102387" w14:textId="77777777" w:rsidR="001D05B8" w:rsidRDefault="001D05B8" w:rsidP="002B1BB1">
      <w:pPr>
        <w:jc w:val="left"/>
        <w:rPr>
          <w:rFonts w:ascii="Times New Roman" w:hAnsi="Times New Roman" w:cs="Times New Roman"/>
        </w:rPr>
      </w:pPr>
    </w:p>
    <w:p w14:paraId="692FD65F" w14:textId="77777777" w:rsidR="001D7EB4" w:rsidRDefault="001D7EB4" w:rsidP="002B1BB1">
      <w:pPr>
        <w:jc w:val="left"/>
        <w:rPr>
          <w:rFonts w:ascii="Times New Roman" w:hAnsi="Times New Roman" w:cs="Times New Roman"/>
        </w:rPr>
      </w:pPr>
    </w:p>
    <w:p w14:paraId="6B3FDCAA" w14:textId="77777777" w:rsidR="008223AE" w:rsidRDefault="008223AE" w:rsidP="002B1BB1">
      <w:pPr>
        <w:jc w:val="left"/>
        <w:rPr>
          <w:rFonts w:ascii="Times New Roman" w:hAnsi="Times New Roman" w:cs="Times New Roman"/>
        </w:rPr>
      </w:pPr>
    </w:p>
    <w:p w14:paraId="0C016404" w14:textId="77777777" w:rsidR="008223AE" w:rsidRDefault="008223AE" w:rsidP="002B1BB1">
      <w:pPr>
        <w:jc w:val="left"/>
        <w:rPr>
          <w:rFonts w:ascii="Times New Roman" w:hAnsi="Times New Roman" w:cs="Times New Roman"/>
        </w:rPr>
      </w:pPr>
    </w:p>
    <w:p w14:paraId="2C66A37A" w14:textId="77777777" w:rsidR="00BB36D9" w:rsidRPr="005D761B" w:rsidRDefault="00BB36D9" w:rsidP="00BB36D9">
      <w:pPr>
        <w:jc w:val="left"/>
        <w:outlineLvl w:val="0"/>
        <w:rPr>
          <w:rFonts w:ascii="Times New Roman" w:hAnsi="Times New Roman" w:cs="Times New Roman"/>
          <w:b/>
        </w:rPr>
      </w:pPr>
      <w:bookmarkStart w:id="18" w:name="_Toc45195082"/>
      <w:r w:rsidRPr="005D761B">
        <w:rPr>
          <w:rFonts w:ascii="Times New Roman" w:hAnsi="Times New Roman" w:cs="Times New Roman" w:hint="eastAsia"/>
          <w:b/>
        </w:rPr>
        <w:lastRenderedPageBreak/>
        <w:t>F</w:t>
      </w:r>
      <w:r w:rsidRPr="005D761B">
        <w:rPr>
          <w:rFonts w:ascii="Times New Roman" w:hAnsi="Times New Roman" w:cs="Times New Roman"/>
          <w:b/>
        </w:rPr>
        <w:t>igure S1</w:t>
      </w:r>
      <w:r w:rsidR="001D05B8">
        <w:rPr>
          <w:rFonts w:ascii="Times New Roman" w:hAnsi="Times New Roman" w:cs="Times New Roman"/>
          <w:b/>
        </w:rPr>
        <w:t>4</w:t>
      </w:r>
      <w:r w:rsidRPr="005D761B">
        <w:rPr>
          <w:rFonts w:ascii="Times New Roman" w:hAnsi="Times New Roman" w:cs="Times New Roman"/>
          <w:b/>
        </w:rPr>
        <w:t xml:space="preserve">. Result of the </w:t>
      </w:r>
      <w:r>
        <w:rPr>
          <w:rFonts w:ascii="Times New Roman" w:hAnsi="Times New Roman" w:cs="Times New Roman"/>
          <w:b/>
        </w:rPr>
        <w:t>third</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 all-cause mortality among participants from NHANES III.</w:t>
      </w:r>
      <w:bookmarkEnd w:id="18"/>
    </w:p>
    <w:p w14:paraId="789A57BC" w14:textId="77777777" w:rsidR="002B353D" w:rsidRPr="00BB36D9" w:rsidRDefault="00BB36D9" w:rsidP="002B1BB1">
      <w:pPr>
        <w:jc w:val="left"/>
        <w:rPr>
          <w:rFonts w:ascii="Times New Roman" w:hAnsi="Times New Roman" w:cs="Times New Roman"/>
        </w:rPr>
      </w:pPr>
      <w:r>
        <w:rPr>
          <w:noProof/>
        </w:rPr>
        <w:drawing>
          <wp:inline distT="0" distB="0" distL="0" distR="0" wp14:anchorId="64BBA234" wp14:editId="0D4A87B9">
            <wp:extent cx="5274310" cy="282448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824480"/>
                    </a:xfrm>
                    <a:prstGeom prst="rect">
                      <a:avLst/>
                    </a:prstGeom>
                  </pic:spPr>
                </pic:pic>
              </a:graphicData>
            </a:graphic>
          </wp:inline>
        </w:drawing>
      </w:r>
    </w:p>
    <w:p w14:paraId="5424AE06" w14:textId="77777777" w:rsidR="005D761B" w:rsidRDefault="005D761B" w:rsidP="002B1BB1">
      <w:pPr>
        <w:jc w:val="left"/>
        <w:rPr>
          <w:rFonts w:ascii="Times New Roman" w:hAnsi="Times New Roman" w:cs="Times New Roman"/>
        </w:rPr>
      </w:pPr>
    </w:p>
    <w:p w14:paraId="1E34F738" w14:textId="77777777" w:rsidR="00BB36D9" w:rsidRDefault="00BB36D9" w:rsidP="002B1BB1">
      <w:pPr>
        <w:jc w:val="left"/>
        <w:rPr>
          <w:rFonts w:ascii="Times New Roman" w:hAnsi="Times New Roman" w:cs="Times New Roman"/>
        </w:rPr>
      </w:pPr>
    </w:p>
    <w:p w14:paraId="70FCED6B" w14:textId="77777777" w:rsidR="00BB36D9" w:rsidRDefault="00BB36D9" w:rsidP="002B1BB1">
      <w:pPr>
        <w:jc w:val="left"/>
        <w:rPr>
          <w:rFonts w:ascii="Times New Roman" w:hAnsi="Times New Roman" w:cs="Times New Roman"/>
        </w:rPr>
      </w:pPr>
    </w:p>
    <w:p w14:paraId="322D060D" w14:textId="77777777" w:rsidR="00BB36D9" w:rsidRDefault="00BB36D9" w:rsidP="002B1BB1">
      <w:pPr>
        <w:jc w:val="left"/>
        <w:rPr>
          <w:rFonts w:ascii="Times New Roman" w:hAnsi="Times New Roman" w:cs="Times New Roman"/>
        </w:rPr>
      </w:pPr>
    </w:p>
    <w:p w14:paraId="044DF505" w14:textId="77777777" w:rsidR="00BB36D9" w:rsidRPr="005D761B" w:rsidRDefault="00BB36D9" w:rsidP="00BB36D9">
      <w:pPr>
        <w:jc w:val="left"/>
        <w:outlineLvl w:val="0"/>
        <w:rPr>
          <w:rFonts w:ascii="Times New Roman" w:hAnsi="Times New Roman" w:cs="Times New Roman"/>
          <w:b/>
        </w:rPr>
      </w:pPr>
      <w:bookmarkStart w:id="19" w:name="_Toc45195083"/>
      <w:r w:rsidRPr="005D761B">
        <w:rPr>
          <w:rFonts w:ascii="Times New Roman" w:hAnsi="Times New Roman" w:cs="Times New Roman" w:hint="eastAsia"/>
          <w:b/>
        </w:rPr>
        <w:t>F</w:t>
      </w:r>
      <w:r w:rsidRPr="005D761B">
        <w:rPr>
          <w:rFonts w:ascii="Times New Roman" w:hAnsi="Times New Roman" w:cs="Times New Roman"/>
          <w:b/>
        </w:rPr>
        <w:t>igure S1</w:t>
      </w:r>
      <w:r w:rsidR="001D05B8">
        <w:rPr>
          <w:rFonts w:ascii="Times New Roman" w:hAnsi="Times New Roman" w:cs="Times New Roman"/>
          <w:b/>
        </w:rPr>
        <w:t>5</w:t>
      </w:r>
      <w:r w:rsidRPr="005D761B">
        <w:rPr>
          <w:rFonts w:ascii="Times New Roman" w:hAnsi="Times New Roman" w:cs="Times New Roman"/>
          <w:b/>
        </w:rPr>
        <w:t xml:space="preserve">. Result of the </w:t>
      </w:r>
      <w:r>
        <w:rPr>
          <w:rFonts w:ascii="Times New Roman" w:hAnsi="Times New Roman" w:cs="Times New Roman"/>
          <w:b/>
        </w:rPr>
        <w:t>third</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 all-cause mortality among participants from NHANES 1999-2014.</w:t>
      </w:r>
      <w:bookmarkEnd w:id="19"/>
    </w:p>
    <w:p w14:paraId="3DBD818E" w14:textId="77777777" w:rsidR="00BB36D9" w:rsidRDefault="00AF4D7B" w:rsidP="002B1BB1">
      <w:pPr>
        <w:jc w:val="left"/>
        <w:rPr>
          <w:rFonts w:ascii="Times New Roman" w:hAnsi="Times New Roman" w:cs="Times New Roman"/>
        </w:rPr>
      </w:pPr>
      <w:r>
        <w:rPr>
          <w:noProof/>
        </w:rPr>
        <w:drawing>
          <wp:inline distT="0" distB="0" distL="0" distR="0" wp14:anchorId="7F458E15" wp14:editId="2A68BF94">
            <wp:extent cx="5274310" cy="2796540"/>
            <wp:effectExtent l="0" t="0" r="254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796540"/>
                    </a:xfrm>
                    <a:prstGeom prst="rect">
                      <a:avLst/>
                    </a:prstGeom>
                  </pic:spPr>
                </pic:pic>
              </a:graphicData>
            </a:graphic>
          </wp:inline>
        </w:drawing>
      </w:r>
    </w:p>
    <w:p w14:paraId="2A1FFC07" w14:textId="77777777" w:rsidR="00AF4D7B" w:rsidRDefault="00AF4D7B" w:rsidP="002B1BB1">
      <w:pPr>
        <w:jc w:val="left"/>
        <w:rPr>
          <w:rFonts w:ascii="Times New Roman" w:hAnsi="Times New Roman" w:cs="Times New Roman"/>
        </w:rPr>
      </w:pPr>
    </w:p>
    <w:p w14:paraId="28147169" w14:textId="77777777" w:rsidR="001D05B8" w:rsidRDefault="001D05B8" w:rsidP="002B1BB1">
      <w:pPr>
        <w:jc w:val="left"/>
        <w:rPr>
          <w:rFonts w:ascii="Times New Roman" w:hAnsi="Times New Roman" w:cs="Times New Roman"/>
        </w:rPr>
      </w:pPr>
    </w:p>
    <w:p w14:paraId="334F8CF5" w14:textId="77777777" w:rsidR="001D05B8" w:rsidRDefault="001D05B8" w:rsidP="002B1BB1">
      <w:pPr>
        <w:jc w:val="left"/>
        <w:rPr>
          <w:rFonts w:ascii="Times New Roman" w:hAnsi="Times New Roman" w:cs="Times New Roman"/>
        </w:rPr>
      </w:pPr>
    </w:p>
    <w:p w14:paraId="0DDF553E" w14:textId="77777777" w:rsidR="001D05B8" w:rsidRDefault="001D05B8" w:rsidP="002B1BB1">
      <w:pPr>
        <w:jc w:val="left"/>
        <w:rPr>
          <w:rFonts w:ascii="Times New Roman" w:hAnsi="Times New Roman" w:cs="Times New Roman"/>
        </w:rPr>
      </w:pPr>
    </w:p>
    <w:p w14:paraId="4BD5F4E1" w14:textId="77777777" w:rsidR="001D05B8" w:rsidRDefault="001D05B8" w:rsidP="002B1BB1">
      <w:pPr>
        <w:jc w:val="left"/>
        <w:rPr>
          <w:rFonts w:ascii="Times New Roman" w:hAnsi="Times New Roman" w:cs="Times New Roman"/>
        </w:rPr>
      </w:pPr>
    </w:p>
    <w:p w14:paraId="6A202EE8" w14:textId="77777777" w:rsidR="001D05B8" w:rsidRDefault="001D05B8" w:rsidP="002B1BB1">
      <w:pPr>
        <w:jc w:val="left"/>
        <w:rPr>
          <w:rFonts w:ascii="Times New Roman" w:hAnsi="Times New Roman" w:cs="Times New Roman"/>
        </w:rPr>
      </w:pPr>
    </w:p>
    <w:p w14:paraId="6FB46BF2" w14:textId="77777777" w:rsidR="00AF4D7B" w:rsidRPr="005D761B" w:rsidRDefault="00AF4D7B" w:rsidP="00AF4D7B">
      <w:pPr>
        <w:jc w:val="left"/>
        <w:outlineLvl w:val="0"/>
        <w:rPr>
          <w:rFonts w:ascii="Times New Roman" w:hAnsi="Times New Roman" w:cs="Times New Roman"/>
          <w:b/>
        </w:rPr>
      </w:pPr>
      <w:bookmarkStart w:id="20" w:name="_Toc45195084"/>
      <w:r w:rsidRPr="005D761B">
        <w:rPr>
          <w:rFonts w:ascii="Times New Roman" w:hAnsi="Times New Roman" w:cs="Times New Roman" w:hint="eastAsia"/>
          <w:b/>
        </w:rPr>
        <w:lastRenderedPageBreak/>
        <w:t>F</w:t>
      </w:r>
      <w:r w:rsidRPr="005D761B">
        <w:rPr>
          <w:rFonts w:ascii="Times New Roman" w:hAnsi="Times New Roman" w:cs="Times New Roman"/>
          <w:b/>
        </w:rPr>
        <w:t>igure S1</w:t>
      </w:r>
      <w:r w:rsidR="001D05B8">
        <w:rPr>
          <w:rFonts w:ascii="Times New Roman" w:hAnsi="Times New Roman" w:cs="Times New Roman"/>
          <w:b/>
        </w:rPr>
        <w:t>6</w:t>
      </w:r>
      <w:r w:rsidRPr="005D761B">
        <w:rPr>
          <w:rFonts w:ascii="Times New Roman" w:hAnsi="Times New Roman" w:cs="Times New Roman"/>
          <w:b/>
        </w:rPr>
        <w:t xml:space="preserve">. Result of the </w:t>
      </w:r>
      <w:r>
        <w:rPr>
          <w:rFonts w:ascii="Times New Roman" w:hAnsi="Times New Roman" w:cs="Times New Roman"/>
          <w:b/>
        </w:rPr>
        <w:t>fourth</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 all-cause mortality based on complete models.</w:t>
      </w:r>
      <w:bookmarkEnd w:id="20"/>
    </w:p>
    <w:p w14:paraId="779E11CE" w14:textId="77777777" w:rsidR="00AF4D7B" w:rsidRDefault="00AF4D7B" w:rsidP="002B1BB1">
      <w:pPr>
        <w:jc w:val="left"/>
        <w:rPr>
          <w:rFonts w:ascii="Times New Roman" w:hAnsi="Times New Roman" w:cs="Times New Roman"/>
        </w:rPr>
      </w:pPr>
      <w:r>
        <w:rPr>
          <w:noProof/>
        </w:rPr>
        <w:drawing>
          <wp:inline distT="0" distB="0" distL="0" distR="0" wp14:anchorId="0F8A65AA" wp14:editId="4B6AD684">
            <wp:extent cx="5274310" cy="2644140"/>
            <wp:effectExtent l="0" t="0" r="254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644140"/>
                    </a:xfrm>
                    <a:prstGeom prst="rect">
                      <a:avLst/>
                    </a:prstGeom>
                  </pic:spPr>
                </pic:pic>
              </a:graphicData>
            </a:graphic>
          </wp:inline>
        </w:drawing>
      </w:r>
    </w:p>
    <w:p w14:paraId="061E0573" w14:textId="77777777" w:rsidR="00AF4D7B" w:rsidRDefault="00AF4D7B" w:rsidP="002B1BB1">
      <w:pPr>
        <w:jc w:val="left"/>
        <w:rPr>
          <w:rFonts w:ascii="Times New Roman" w:hAnsi="Times New Roman" w:cs="Times New Roman"/>
        </w:rPr>
      </w:pPr>
    </w:p>
    <w:p w14:paraId="48C3B8C3" w14:textId="77777777" w:rsidR="00AF4D7B" w:rsidRPr="005D761B" w:rsidRDefault="00AF4D7B" w:rsidP="00AF4D7B">
      <w:pPr>
        <w:jc w:val="left"/>
        <w:outlineLvl w:val="0"/>
        <w:rPr>
          <w:rFonts w:ascii="Times New Roman" w:hAnsi="Times New Roman" w:cs="Times New Roman"/>
          <w:b/>
        </w:rPr>
      </w:pPr>
      <w:bookmarkStart w:id="21" w:name="_Toc45195085"/>
      <w:r w:rsidRPr="005D761B">
        <w:rPr>
          <w:rFonts w:ascii="Times New Roman" w:hAnsi="Times New Roman" w:cs="Times New Roman" w:hint="eastAsia"/>
          <w:b/>
        </w:rPr>
        <w:t>F</w:t>
      </w:r>
      <w:r w:rsidRPr="005D761B">
        <w:rPr>
          <w:rFonts w:ascii="Times New Roman" w:hAnsi="Times New Roman" w:cs="Times New Roman"/>
          <w:b/>
        </w:rPr>
        <w:t>igure S1</w:t>
      </w:r>
      <w:r w:rsidR="001D05B8">
        <w:rPr>
          <w:rFonts w:ascii="Times New Roman" w:hAnsi="Times New Roman" w:cs="Times New Roman"/>
          <w:b/>
        </w:rPr>
        <w:t>7</w:t>
      </w:r>
      <w:r w:rsidRPr="005D761B">
        <w:rPr>
          <w:rFonts w:ascii="Times New Roman" w:hAnsi="Times New Roman" w:cs="Times New Roman"/>
          <w:b/>
        </w:rPr>
        <w:t>. Result of the</w:t>
      </w:r>
      <w:r>
        <w:rPr>
          <w:rFonts w:ascii="Times New Roman" w:hAnsi="Times New Roman" w:cs="Times New Roman"/>
          <w:b/>
        </w:rPr>
        <w:t xml:space="preserve"> fifth</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 all-cause mortality among participants aged &lt; 60 years.</w:t>
      </w:r>
      <w:bookmarkEnd w:id="21"/>
    </w:p>
    <w:p w14:paraId="1793DC38" w14:textId="77777777" w:rsidR="00AF4D7B" w:rsidRDefault="00AF4D7B" w:rsidP="002B1BB1">
      <w:pPr>
        <w:jc w:val="left"/>
        <w:rPr>
          <w:rFonts w:ascii="Times New Roman" w:hAnsi="Times New Roman" w:cs="Times New Roman"/>
        </w:rPr>
      </w:pPr>
      <w:r>
        <w:rPr>
          <w:noProof/>
        </w:rPr>
        <w:drawing>
          <wp:inline distT="0" distB="0" distL="0" distR="0" wp14:anchorId="5CB462CA" wp14:editId="0F3EBB40">
            <wp:extent cx="5274310" cy="2738755"/>
            <wp:effectExtent l="0" t="0" r="254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738755"/>
                    </a:xfrm>
                    <a:prstGeom prst="rect">
                      <a:avLst/>
                    </a:prstGeom>
                  </pic:spPr>
                </pic:pic>
              </a:graphicData>
            </a:graphic>
          </wp:inline>
        </w:drawing>
      </w:r>
    </w:p>
    <w:p w14:paraId="1E741FD8" w14:textId="77777777" w:rsidR="00AF4D7B" w:rsidRDefault="00AF4D7B" w:rsidP="002B1BB1">
      <w:pPr>
        <w:jc w:val="left"/>
        <w:rPr>
          <w:rFonts w:ascii="Times New Roman" w:hAnsi="Times New Roman" w:cs="Times New Roman"/>
        </w:rPr>
      </w:pPr>
    </w:p>
    <w:p w14:paraId="67F67097" w14:textId="77777777" w:rsidR="001D05B8" w:rsidRDefault="001D05B8" w:rsidP="002B1BB1">
      <w:pPr>
        <w:jc w:val="left"/>
        <w:rPr>
          <w:rFonts w:ascii="Times New Roman" w:hAnsi="Times New Roman" w:cs="Times New Roman"/>
        </w:rPr>
      </w:pPr>
    </w:p>
    <w:p w14:paraId="744A49DD" w14:textId="77777777" w:rsidR="001D05B8" w:rsidRDefault="001D05B8" w:rsidP="002B1BB1">
      <w:pPr>
        <w:jc w:val="left"/>
        <w:rPr>
          <w:rFonts w:ascii="Times New Roman" w:hAnsi="Times New Roman" w:cs="Times New Roman"/>
        </w:rPr>
      </w:pPr>
    </w:p>
    <w:p w14:paraId="61008A89" w14:textId="77777777" w:rsidR="001D05B8" w:rsidRDefault="001D05B8" w:rsidP="002B1BB1">
      <w:pPr>
        <w:jc w:val="left"/>
        <w:rPr>
          <w:rFonts w:ascii="Times New Roman" w:hAnsi="Times New Roman" w:cs="Times New Roman"/>
        </w:rPr>
      </w:pPr>
    </w:p>
    <w:p w14:paraId="6CCF8F4C" w14:textId="77777777" w:rsidR="001D05B8" w:rsidRDefault="001D05B8" w:rsidP="002B1BB1">
      <w:pPr>
        <w:jc w:val="left"/>
        <w:rPr>
          <w:rFonts w:ascii="Times New Roman" w:hAnsi="Times New Roman" w:cs="Times New Roman"/>
        </w:rPr>
      </w:pPr>
    </w:p>
    <w:p w14:paraId="71B9352B" w14:textId="77777777" w:rsidR="001D05B8" w:rsidRDefault="001D05B8" w:rsidP="002B1BB1">
      <w:pPr>
        <w:jc w:val="left"/>
        <w:rPr>
          <w:rFonts w:ascii="Times New Roman" w:hAnsi="Times New Roman" w:cs="Times New Roman"/>
        </w:rPr>
      </w:pPr>
    </w:p>
    <w:p w14:paraId="69399573" w14:textId="77777777" w:rsidR="001D05B8" w:rsidRDefault="001D05B8" w:rsidP="002B1BB1">
      <w:pPr>
        <w:jc w:val="left"/>
        <w:rPr>
          <w:rFonts w:ascii="Times New Roman" w:hAnsi="Times New Roman" w:cs="Times New Roman"/>
        </w:rPr>
      </w:pPr>
    </w:p>
    <w:p w14:paraId="61274D18" w14:textId="77777777" w:rsidR="001D05B8" w:rsidRDefault="001D05B8" w:rsidP="002B1BB1">
      <w:pPr>
        <w:jc w:val="left"/>
        <w:rPr>
          <w:rFonts w:ascii="Times New Roman" w:hAnsi="Times New Roman" w:cs="Times New Roman"/>
        </w:rPr>
      </w:pPr>
    </w:p>
    <w:p w14:paraId="3BC57646" w14:textId="77777777" w:rsidR="001D05B8" w:rsidRDefault="001D05B8" w:rsidP="002B1BB1">
      <w:pPr>
        <w:jc w:val="left"/>
        <w:rPr>
          <w:rFonts w:ascii="Times New Roman" w:hAnsi="Times New Roman" w:cs="Times New Roman"/>
        </w:rPr>
      </w:pPr>
    </w:p>
    <w:p w14:paraId="21572C21" w14:textId="77777777" w:rsidR="001D05B8" w:rsidRDefault="001D05B8" w:rsidP="002B1BB1">
      <w:pPr>
        <w:jc w:val="left"/>
        <w:rPr>
          <w:rFonts w:ascii="Times New Roman" w:hAnsi="Times New Roman" w:cs="Times New Roman"/>
        </w:rPr>
      </w:pPr>
    </w:p>
    <w:p w14:paraId="2844B985" w14:textId="77777777" w:rsidR="001D05B8" w:rsidRDefault="001D05B8" w:rsidP="002B1BB1">
      <w:pPr>
        <w:jc w:val="left"/>
        <w:rPr>
          <w:rFonts w:ascii="Times New Roman" w:hAnsi="Times New Roman" w:cs="Times New Roman"/>
        </w:rPr>
      </w:pPr>
    </w:p>
    <w:p w14:paraId="6F8DDA63" w14:textId="77777777" w:rsidR="00935C00" w:rsidRPr="005D761B" w:rsidRDefault="00935C00" w:rsidP="00935C00">
      <w:pPr>
        <w:jc w:val="left"/>
        <w:outlineLvl w:val="0"/>
        <w:rPr>
          <w:rFonts w:ascii="Times New Roman" w:hAnsi="Times New Roman" w:cs="Times New Roman"/>
          <w:b/>
        </w:rPr>
      </w:pPr>
      <w:bookmarkStart w:id="22" w:name="_Toc45195086"/>
      <w:r w:rsidRPr="005D761B">
        <w:rPr>
          <w:rFonts w:ascii="Times New Roman" w:hAnsi="Times New Roman" w:cs="Times New Roman" w:hint="eastAsia"/>
          <w:b/>
        </w:rPr>
        <w:lastRenderedPageBreak/>
        <w:t>F</w:t>
      </w:r>
      <w:r w:rsidRPr="005D761B">
        <w:rPr>
          <w:rFonts w:ascii="Times New Roman" w:hAnsi="Times New Roman" w:cs="Times New Roman"/>
          <w:b/>
        </w:rPr>
        <w:t>igure S1</w:t>
      </w:r>
      <w:r w:rsidR="001D05B8">
        <w:rPr>
          <w:rFonts w:ascii="Times New Roman" w:hAnsi="Times New Roman" w:cs="Times New Roman"/>
          <w:b/>
        </w:rPr>
        <w:t>8</w:t>
      </w:r>
      <w:r w:rsidRPr="005D761B">
        <w:rPr>
          <w:rFonts w:ascii="Times New Roman" w:hAnsi="Times New Roman" w:cs="Times New Roman"/>
          <w:b/>
        </w:rPr>
        <w:t>. Result of the</w:t>
      </w:r>
      <w:r>
        <w:rPr>
          <w:rFonts w:ascii="Times New Roman" w:hAnsi="Times New Roman" w:cs="Times New Roman"/>
          <w:b/>
        </w:rPr>
        <w:t xml:space="preserve"> fifth</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 all-cause mortality among participants aged &gt;= 60 years.</w:t>
      </w:r>
      <w:bookmarkEnd w:id="22"/>
    </w:p>
    <w:p w14:paraId="2FFFF536" w14:textId="77777777" w:rsidR="00AF4D7B" w:rsidRDefault="00DD7017" w:rsidP="002B1BB1">
      <w:pPr>
        <w:jc w:val="left"/>
        <w:rPr>
          <w:rFonts w:ascii="Times New Roman" w:hAnsi="Times New Roman" w:cs="Times New Roman"/>
        </w:rPr>
      </w:pPr>
      <w:r>
        <w:rPr>
          <w:noProof/>
        </w:rPr>
        <w:drawing>
          <wp:inline distT="0" distB="0" distL="0" distR="0" wp14:anchorId="74A22DE2" wp14:editId="0CC73AAE">
            <wp:extent cx="5274310" cy="2719705"/>
            <wp:effectExtent l="0" t="0" r="254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719705"/>
                    </a:xfrm>
                    <a:prstGeom prst="rect">
                      <a:avLst/>
                    </a:prstGeom>
                  </pic:spPr>
                </pic:pic>
              </a:graphicData>
            </a:graphic>
          </wp:inline>
        </w:drawing>
      </w:r>
    </w:p>
    <w:p w14:paraId="096EEC2A" w14:textId="77777777" w:rsidR="00DD7017" w:rsidRDefault="00DD7017" w:rsidP="002B1BB1">
      <w:pPr>
        <w:jc w:val="left"/>
        <w:rPr>
          <w:rFonts w:ascii="Times New Roman" w:hAnsi="Times New Roman" w:cs="Times New Roman"/>
        </w:rPr>
      </w:pPr>
    </w:p>
    <w:p w14:paraId="7F66CF09" w14:textId="77777777" w:rsidR="00DD7017" w:rsidRPr="005D761B" w:rsidRDefault="00DD7017" w:rsidP="00DD7017">
      <w:pPr>
        <w:jc w:val="left"/>
        <w:outlineLvl w:val="0"/>
        <w:rPr>
          <w:rFonts w:ascii="Times New Roman" w:hAnsi="Times New Roman" w:cs="Times New Roman"/>
          <w:b/>
        </w:rPr>
      </w:pPr>
      <w:bookmarkStart w:id="23" w:name="_Toc45195087"/>
      <w:r w:rsidRPr="005D761B">
        <w:rPr>
          <w:rFonts w:ascii="Times New Roman" w:hAnsi="Times New Roman" w:cs="Times New Roman" w:hint="eastAsia"/>
          <w:b/>
        </w:rPr>
        <w:t>F</w:t>
      </w:r>
      <w:r w:rsidRPr="005D761B">
        <w:rPr>
          <w:rFonts w:ascii="Times New Roman" w:hAnsi="Times New Roman" w:cs="Times New Roman"/>
          <w:b/>
        </w:rPr>
        <w:t>igure S1</w:t>
      </w:r>
      <w:r w:rsidR="001D05B8">
        <w:rPr>
          <w:rFonts w:ascii="Times New Roman" w:hAnsi="Times New Roman" w:cs="Times New Roman"/>
          <w:b/>
        </w:rPr>
        <w:t>9</w:t>
      </w:r>
      <w:r w:rsidRPr="005D761B">
        <w:rPr>
          <w:rFonts w:ascii="Times New Roman" w:hAnsi="Times New Roman" w:cs="Times New Roman"/>
          <w:b/>
        </w:rPr>
        <w:t>. Result of the</w:t>
      </w:r>
      <w:r>
        <w:rPr>
          <w:rFonts w:ascii="Times New Roman" w:hAnsi="Times New Roman" w:cs="Times New Roman"/>
          <w:b/>
        </w:rPr>
        <w:t xml:space="preserve"> sixth</w:t>
      </w:r>
      <w:r w:rsidRPr="005D761B">
        <w:rPr>
          <w:rFonts w:ascii="Times New Roman" w:hAnsi="Times New Roman" w:cs="Times New Roman"/>
          <w:b/>
        </w:rPr>
        <w:t xml:space="preserve"> sensitivity analysis: associations of serum level of </w:t>
      </w:r>
      <w:r>
        <w:rPr>
          <w:rFonts w:ascii="Times New Roman" w:hAnsi="Times New Roman" w:cs="Times New Roman"/>
          <w:b/>
        </w:rPr>
        <w:t>liver function biomarker with all-cause mortality among participants whose serum level of biomarkers were within 1-99% quantile.</w:t>
      </w:r>
      <w:bookmarkEnd w:id="23"/>
    </w:p>
    <w:p w14:paraId="26218CEC" w14:textId="77777777" w:rsidR="00DD7017" w:rsidRPr="00DD7017" w:rsidRDefault="00DD7017" w:rsidP="002B1BB1">
      <w:pPr>
        <w:jc w:val="left"/>
        <w:rPr>
          <w:rFonts w:ascii="Times New Roman" w:hAnsi="Times New Roman" w:cs="Times New Roman"/>
        </w:rPr>
      </w:pPr>
      <w:r>
        <w:rPr>
          <w:noProof/>
        </w:rPr>
        <w:drawing>
          <wp:inline distT="0" distB="0" distL="0" distR="0" wp14:anchorId="5222D730" wp14:editId="1DA62C33">
            <wp:extent cx="5274310" cy="2914015"/>
            <wp:effectExtent l="0" t="0" r="2540"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914015"/>
                    </a:xfrm>
                    <a:prstGeom prst="rect">
                      <a:avLst/>
                    </a:prstGeom>
                  </pic:spPr>
                </pic:pic>
              </a:graphicData>
            </a:graphic>
          </wp:inline>
        </w:drawing>
      </w:r>
    </w:p>
    <w:sectPr w:rsidR="00DD7017" w:rsidRPr="00DD70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AE560" w14:textId="77777777" w:rsidR="00976C8C" w:rsidRDefault="00976C8C" w:rsidP="006439A5">
      <w:r>
        <w:separator/>
      </w:r>
    </w:p>
  </w:endnote>
  <w:endnote w:type="continuationSeparator" w:id="0">
    <w:p w14:paraId="456F2B20" w14:textId="77777777" w:rsidR="00976C8C" w:rsidRDefault="00976C8C" w:rsidP="0064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933184"/>
      <w:docPartObj>
        <w:docPartGallery w:val="Page Numbers (Bottom of Page)"/>
        <w:docPartUnique/>
      </w:docPartObj>
    </w:sdtPr>
    <w:sdtEndPr/>
    <w:sdtContent>
      <w:p w14:paraId="091A5DE8" w14:textId="77777777" w:rsidR="002B353D" w:rsidRDefault="002B353D">
        <w:pPr>
          <w:pStyle w:val="a5"/>
        </w:pPr>
        <w:r>
          <w:fldChar w:fldCharType="begin"/>
        </w:r>
        <w:r>
          <w:instrText>PAGE   \* MERGEFORMAT</w:instrText>
        </w:r>
        <w:r>
          <w:fldChar w:fldCharType="separate"/>
        </w:r>
        <w:r w:rsidR="008223AE" w:rsidRPr="008223AE">
          <w:rPr>
            <w:noProof/>
            <w:lang w:val="zh-CN"/>
          </w:rPr>
          <w:t>15</w:t>
        </w:r>
        <w:r>
          <w:fldChar w:fldCharType="end"/>
        </w:r>
      </w:p>
    </w:sdtContent>
  </w:sdt>
  <w:p w14:paraId="539152BD" w14:textId="77777777" w:rsidR="002B353D" w:rsidRDefault="002B35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54051" w14:textId="77777777" w:rsidR="00976C8C" w:rsidRDefault="00976C8C" w:rsidP="006439A5">
      <w:r>
        <w:separator/>
      </w:r>
    </w:p>
  </w:footnote>
  <w:footnote w:type="continuationSeparator" w:id="0">
    <w:p w14:paraId="755CEE1B" w14:textId="77777777" w:rsidR="00976C8C" w:rsidRDefault="00976C8C" w:rsidP="00643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43C72"/>
    <w:multiLevelType w:val="hybridMultilevel"/>
    <w:tmpl w:val="7D6277AE"/>
    <w:lvl w:ilvl="0" w:tplc="1B4C88FE">
      <w:start w:val="1"/>
      <w:numFmt w:val="decimal"/>
      <w:lvlText w:val="%1."/>
      <w:lvlJc w:val="left"/>
      <w:pPr>
        <w:ind w:left="360" w:hanging="360"/>
      </w:pPr>
      <w:rPr>
        <w:rFonts w:hint="default"/>
      </w:rPr>
    </w:lvl>
    <w:lvl w:ilvl="1" w:tplc="E0163CC2" w:tentative="1">
      <w:start w:val="1"/>
      <w:numFmt w:val="lowerLetter"/>
      <w:lvlText w:val="%2)"/>
      <w:lvlJc w:val="left"/>
      <w:pPr>
        <w:ind w:left="840" w:hanging="420"/>
      </w:pPr>
    </w:lvl>
    <w:lvl w:ilvl="2" w:tplc="6FE04B16" w:tentative="1">
      <w:start w:val="1"/>
      <w:numFmt w:val="lowerRoman"/>
      <w:lvlText w:val="%3."/>
      <w:lvlJc w:val="right"/>
      <w:pPr>
        <w:ind w:left="1260" w:hanging="420"/>
      </w:pPr>
    </w:lvl>
    <w:lvl w:ilvl="3" w:tplc="23E8E11A" w:tentative="1">
      <w:start w:val="1"/>
      <w:numFmt w:val="decimal"/>
      <w:lvlText w:val="%4."/>
      <w:lvlJc w:val="left"/>
      <w:pPr>
        <w:ind w:left="1680" w:hanging="420"/>
      </w:pPr>
    </w:lvl>
    <w:lvl w:ilvl="4" w:tplc="572C9034" w:tentative="1">
      <w:start w:val="1"/>
      <w:numFmt w:val="lowerLetter"/>
      <w:lvlText w:val="%5)"/>
      <w:lvlJc w:val="left"/>
      <w:pPr>
        <w:ind w:left="2100" w:hanging="420"/>
      </w:pPr>
    </w:lvl>
    <w:lvl w:ilvl="5" w:tplc="A19ED2D8" w:tentative="1">
      <w:start w:val="1"/>
      <w:numFmt w:val="lowerRoman"/>
      <w:lvlText w:val="%6."/>
      <w:lvlJc w:val="right"/>
      <w:pPr>
        <w:ind w:left="2520" w:hanging="420"/>
      </w:pPr>
    </w:lvl>
    <w:lvl w:ilvl="6" w:tplc="36548EC4" w:tentative="1">
      <w:start w:val="1"/>
      <w:numFmt w:val="decimal"/>
      <w:lvlText w:val="%7."/>
      <w:lvlJc w:val="left"/>
      <w:pPr>
        <w:ind w:left="2940" w:hanging="420"/>
      </w:pPr>
    </w:lvl>
    <w:lvl w:ilvl="7" w:tplc="6A26CB3C" w:tentative="1">
      <w:start w:val="1"/>
      <w:numFmt w:val="lowerLetter"/>
      <w:lvlText w:val="%8)"/>
      <w:lvlJc w:val="left"/>
      <w:pPr>
        <w:ind w:left="3360" w:hanging="420"/>
      </w:pPr>
    </w:lvl>
    <w:lvl w:ilvl="8" w:tplc="5DB0996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E8B"/>
    <w:rsid w:val="000169F2"/>
    <w:rsid w:val="00022BC3"/>
    <w:rsid w:val="000849FC"/>
    <w:rsid w:val="00087D05"/>
    <w:rsid w:val="001079DE"/>
    <w:rsid w:val="00134BA3"/>
    <w:rsid w:val="001D05B8"/>
    <w:rsid w:val="001D7EB4"/>
    <w:rsid w:val="00210180"/>
    <w:rsid w:val="00281386"/>
    <w:rsid w:val="002B1BB1"/>
    <w:rsid w:val="002B353D"/>
    <w:rsid w:val="00324CD9"/>
    <w:rsid w:val="0035352D"/>
    <w:rsid w:val="003A2894"/>
    <w:rsid w:val="003D5292"/>
    <w:rsid w:val="00465D10"/>
    <w:rsid w:val="004C00D0"/>
    <w:rsid w:val="005469F3"/>
    <w:rsid w:val="005D761B"/>
    <w:rsid w:val="00602273"/>
    <w:rsid w:val="006215B9"/>
    <w:rsid w:val="00641B4E"/>
    <w:rsid w:val="00642AD3"/>
    <w:rsid w:val="006439A5"/>
    <w:rsid w:val="006B4CB9"/>
    <w:rsid w:val="006E7260"/>
    <w:rsid w:val="006F4FA0"/>
    <w:rsid w:val="00700A30"/>
    <w:rsid w:val="00762A06"/>
    <w:rsid w:val="007E12DB"/>
    <w:rsid w:val="008223AE"/>
    <w:rsid w:val="00824890"/>
    <w:rsid w:val="00851D0D"/>
    <w:rsid w:val="00857C3B"/>
    <w:rsid w:val="00862757"/>
    <w:rsid w:val="0088510E"/>
    <w:rsid w:val="008918B0"/>
    <w:rsid w:val="008A5D69"/>
    <w:rsid w:val="00935534"/>
    <w:rsid w:val="00935C00"/>
    <w:rsid w:val="00976C8C"/>
    <w:rsid w:val="0099161D"/>
    <w:rsid w:val="00A7414D"/>
    <w:rsid w:val="00A74CD9"/>
    <w:rsid w:val="00AF4D7B"/>
    <w:rsid w:val="00B05027"/>
    <w:rsid w:val="00B60AA4"/>
    <w:rsid w:val="00B66603"/>
    <w:rsid w:val="00B72291"/>
    <w:rsid w:val="00BB36D9"/>
    <w:rsid w:val="00BC178C"/>
    <w:rsid w:val="00BF60FF"/>
    <w:rsid w:val="00C52FEE"/>
    <w:rsid w:val="00CB3ACA"/>
    <w:rsid w:val="00CF052A"/>
    <w:rsid w:val="00D12F61"/>
    <w:rsid w:val="00DA064F"/>
    <w:rsid w:val="00DB2958"/>
    <w:rsid w:val="00DC1E8B"/>
    <w:rsid w:val="00DD7017"/>
    <w:rsid w:val="00E15765"/>
    <w:rsid w:val="00EA6C81"/>
    <w:rsid w:val="00EC4071"/>
    <w:rsid w:val="00EE52C1"/>
    <w:rsid w:val="00F00728"/>
    <w:rsid w:val="00FD6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223A4"/>
  <w15:chartTrackingRefBased/>
  <w15:docId w15:val="{A41BE77A-6E7D-4DC4-8327-572C57F2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918B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39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39A5"/>
    <w:rPr>
      <w:sz w:val="18"/>
      <w:szCs w:val="18"/>
    </w:rPr>
  </w:style>
  <w:style w:type="paragraph" w:styleId="a5">
    <w:name w:val="footer"/>
    <w:basedOn w:val="a"/>
    <w:link w:val="a6"/>
    <w:uiPriority w:val="99"/>
    <w:unhideWhenUsed/>
    <w:rsid w:val="006439A5"/>
    <w:pPr>
      <w:tabs>
        <w:tab w:val="center" w:pos="4153"/>
        <w:tab w:val="right" w:pos="8306"/>
      </w:tabs>
      <w:snapToGrid w:val="0"/>
      <w:jc w:val="left"/>
    </w:pPr>
    <w:rPr>
      <w:sz w:val="18"/>
      <w:szCs w:val="18"/>
    </w:rPr>
  </w:style>
  <w:style w:type="character" w:customStyle="1" w:styleId="a6">
    <w:name w:val="页脚 字符"/>
    <w:basedOn w:val="a0"/>
    <w:link w:val="a5"/>
    <w:uiPriority w:val="99"/>
    <w:rsid w:val="006439A5"/>
    <w:rPr>
      <w:sz w:val="18"/>
      <w:szCs w:val="18"/>
    </w:rPr>
  </w:style>
  <w:style w:type="table" w:styleId="a7">
    <w:name w:val="Table Grid"/>
    <w:basedOn w:val="a1"/>
    <w:uiPriority w:val="39"/>
    <w:rsid w:val="00BC1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862757"/>
    <w:rPr>
      <w:color w:val="808080"/>
    </w:rPr>
  </w:style>
  <w:style w:type="character" w:customStyle="1" w:styleId="10">
    <w:name w:val="标题 1 字符"/>
    <w:basedOn w:val="a0"/>
    <w:link w:val="1"/>
    <w:uiPriority w:val="9"/>
    <w:rsid w:val="008918B0"/>
    <w:rPr>
      <w:b/>
      <w:bCs/>
      <w:kern w:val="44"/>
      <w:sz w:val="44"/>
      <w:szCs w:val="44"/>
    </w:rPr>
  </w:style>
  <w:style w:type="paragraph" w:styleId="TOC">
    <w:name w:val="TOC Heading"/>
    <w:basedOn w:val="1"/>
    <w:next w:val="a"/>
    <w:uiPriority w:val="39"/>
    <w:unhideWhenUsed/>
    <w:qFormat/>
    <w:rsid w:val="008918B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8918B0"/>
  </w:style>
  <w:style w:type="character" w:styleId="a9">
    <w:name w:val="Hyperlink"/>
    <w:basedOn w:val="a0"/>
    <w:uiPriority w:val="99"/>
    <w:unhideWhenUsed/>
    <w:rsid w:val="008918B0"/>
    <w:rPr>
      <w:color w:val="0563C1" w:themeColor="hyperlink"/>
      <w:u w:val="single"/>
    </w:rPr>
  </w:style>
  <w:style w:type="paragraph" w:customStyle="1" w:styleId="Body">
    <w:name w:val="Body"/>
    <w:rsid w:val="00A74CD9"/>
    <w:pPr>
      <w:widowControl w:val="0"/>
      <w:pBdr>
        <w:top w:val="nil"/>
        <w:left w:val="nil"/>
        <w:bottom w:val="nil"/>
        <w:right w:val="nil"/>
        <w:between w:val="nil"/>
        <w:bar w:val="nil"/>
      </w:pBdr>
      <w:jc w:val="both"/>
    </w:pPr>
    <w:rPr>
      <w:rFonts w:ascii="Calibri" w:eastAsia="Calibri" w:hAnsi="Calibri" w:cs="Calibri"/>
      <w:color w:val="000000"/>
      <w:szCs w:val="21"/>
      <w:u w:color="000000"/>
      <w:bdr w:val="nil"/>
      <w:lang w:eastAsia="en-GB"/>
    </w:rPr>
  </w:style>
  <w:style w:type="paragraph" w:styleId="aa">
    <w:name w:val="List Paragraph"/>
    <w:basedOn w:val="a"/>
    <w:uiPriority w:val="34"/>
    <w:qFormat/>
    <w:rsid w:val="00A74CD9"/>
    <w:pPr>
      <w:ind w:firstLineChars="200" w:firstLine="420"/>
    </w:pPr>
  </w:style>
  <w:style w:type="table" w:styleId="2">
    <w:name w:val="Plain Table 2"/>
    <w:basedOn w:val="a1"/>
    <w:uiPriority w:val="42"/>
    <w:rsid w:val="00851D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14908">
      <w:bodyDiv w:val="1"/>
      <w:marLeft w:val="0"/>
      <w:marRight w:val="0"/>
      <w:marTop w:val="0"/>
      <w:marBottom w:val="0"/>
      <w:divBdr>
        <w:top w:val="none" w:sz="0" w:space="0" w:color="auto"/>
        <w:left w:val="none" w:sz="0" w:space="0" w:color="auto"/>
        <w:bottom w:val="none" w:sz="0" w:space="0" w:color="auto"/>
        <w:right w:val="none" w:sz="0" w:space="0" w:color="auto"/>
      </w:divBdr>
    </w:div>
    <w:div w:id="977145789">
      <w:bodyDiv w:val="1"/>
      <w:marLeft w:val="0"/>
      <w:marRight w:val="0"/>
      <w:marTop w:val="0"/>
      <w:marBottom w:val="0"/>
      <w:divBdr>
        <w:top w:val="none" w:sz="0" w:space="0" w:color="auto"/>
        <w:left w:val="none" w:sz="0" w:space="0" w:color="auto"/>
        <w:bottom w:val="none" w:sz="0" w:space="0" w:color="auto"/>
        <w:right w:val="none" w:sz="0" w:space="0" w:color="auto"/>
      </w:divBdr>
    </w:div>
    <w:div w:id="206624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5974F-4F53-4204-8193-BC505F9C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15</Pages>
  <Words>2989</Words>
  <Characters>17039</Characters>
  <Application>Microsoft Office Word</Application>
  <DocSecurity>0</DocSecurity>
  <Lines>141</Lines>
  <Paragraphs>39</Paragraphs>
  <ScaleCrop>false</ScaleCrop>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 L</cp:lastModifiedBy>
  <cp:revision>32</cp:revision>
  <dcterms:created xsi:type="dcterms:W3CDTF">2019-12-02T04:49:00Z</dcterms:created>
  <dcterms:modified xsi:type="dcterms:W3CDTF">2023-08-12T02:45:00Z</dcterms:modified>
</cp:coreProperties>
</file>