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E57" w:rsidRPr="003D44BF" w:rsidRDefault="008C5E57" w:rsidP="008C5E57">
      <w:pPr>
        <w:rPr>
          <w:rStyle w:val="a4"/>
          <w:szCs w:val="21"/>
        </w:rPr>
      </w:pPr>
      <w:r w:rsidRPr="003D44BF">
        <w:rPr>
          <w:rStyle w:val="a4"/>
          <w:rFonts w:hint="eastAsia"/>
          <w:szCs w:val="21"/>
        </w:rPr>
        <w:t>Table</w:t>
      </w:r>
      <w:r w:rsidRPr="003D44BF">
        <w:rPr>
          <w:rStyle w:val="a4"/>
          <w:szCs w:val="21"/>
        </w:rPr>
        <w:t xml:space="preserve"> S7 </w:t>
      </w:r>
      <w:r w:rsidRPr="003D44BF">
        <w:t>Hub genes of the black, green-yellow, magenta, pink, purple, tan, blue, green, red, and turquoise modules.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2"/>
        <w:gridCol w:w="1446"/>
        <w:gridCol w:w="5588"/>
      </w:tblGrid>
      <w:tr w:rsidR="008C5E57" w:rsidRPr="003D44BF" w:rsidTr="009C0480"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Module</w:t>
            </w:r>
          </w:p>
        </w:tc>
        <w:tc>
          <w:tcPr>
            <w:tcW w:w="1316" w:type="dxa"/>
            <w:tcBorders>
              <w:top w:val="single" w:sz="12" w:space="0" w:color="auto"/>
              <w:bottom w:val="single" w:sz="8" w:space="0" w:color="auto"/>
            </w:tcBorders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Gene ID</w:t>
            </w:r>
          </w:p>
        </w:tc>
        <w:tc>
          <w:tcPr>
            <w:tcW w:w="5625" w:type="dxa"/>
            <w:tcBorders>
              <w:top w:val="single" w:sz="12" w:space="0" w:color="auto"/>
              <w:bottom w:val="single" w:sz="8" w:space="0" w:color="auto"/>
            </w:tcBorders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Description</w:t>
            </w:r>
          </w:p>
        </w:tc>
      </w:tr>
      <w:tr w:rsidR="008C5E57" w:rsidRPr="003D44BF" w:rsidTr="009C0480">
        <w:tc>
          <w:tcPr>
            <w:tcW w:w="1276" w:type="dxa"/>
            <w:tcBorders>
              <w:top w:val="single" w:sz="8" w:space="0" w:color="auto"/>
            </w:tcBorders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  <w:tcBorders>
              <w:top w:val="single" w:sz="8" w:space="0" w:color="auto"/>
            </w:tcBorders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Lchi00871</w:t>
            </w:r>
          </w:p>
        </w:tc>
        <w:tc>
          <w:tcPr>
            <w:tcW w:w="5625" w:type="dxa"/>
            <w:tcBorders>
              <w:top w:val="single" w:sz="8" w:space="0" w:color="auto"/>
            </w:tcBorders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Tetraketide alpha-pyrone reductase 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Lchi02285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MADS-box protein JOINTLESS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Lchi07896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BEL1-like homeodomain protein 9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Lchi13040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 xml:space="preserve">Putative UDP-rhamnose: rhamnosyltransferase  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Lchi14328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Myb family transcription factor PHL8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Lchi16274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Endonuclease 2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Lchi19635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 xml:space="preserve">Annexin D5 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Lchi30427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CSC1-like protein ERD4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Black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Novelgene5836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Heat stress transcription factor B-4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Lchi02441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Cytochrome c oxidase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tabs>
                <w:tab w:val="left" w:pos="1117"/>
              </w:tabs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Lchi06954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Glucan endo-1,3-beta-D-glucosidase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Lchi18919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Auxin response factor 6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Lchi30196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 xml:space="preserve">Wall-associated receptor kinase 2 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Lchi33269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Protein O-glucosyltransferase 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Novelgene0428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Protein BIG GRAIN 1-like E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Novelgene6677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Disease resistance protein RPM1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Green-yellow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Novelgene9431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Mitochondrial morphogenesis regulator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Lchi06772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Probable plastid-lipid-associated protein 13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Lchi06779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Enoyl-[acyl-carrier-protein] reductase [NADH]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Lchi07188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DUF21 domain-containing protein At1g55930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Lchi23469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Probable trehalose-phosphate phosphatase 2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Lchi24097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Dihydrolipoyllysine-residue acetyltransferase component 4 of pyruvate dehydrogenase complex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Lchi25595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Embryogenesis-associated protein EMB8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Lchi25597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Cwf15/Cwc15 cell cycle control protein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Lchi28551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bookmarkStart w:id="0" w:name="OLE_LINK3"/>
            <w:r w:rsidRPr="003D44BF">
              <w:rPr>
                <w:sz w:val="18"/>
                <w:szCs w:val="18"/>
              </w:rPr>
              <w:t>Protein SLOW GREEN 1</w:t>
            </w:r>
            <w:bookmarkEnd w:id="0"/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Magenta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Novelgene2238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 xml:space="preserve">Abhydrolase domain-containing protein 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Pink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Lchi01065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Reverse transcriptase (RNA-dependent DNA polymerase)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Pink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Lchi01276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Light-harvesting complex-like protein 3 isotype 2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Pink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Lchi04341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N</w:t>
            </w:r>
            <w:r w:rsidRPr="003D44BF">
              <w:rPr>
                <w:sz w:val="18"/>
                <w:szCs w:val="18"/>
              </w:rPr>
              <w:t>o description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Pink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Lchi18683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 xml:space="preserve">Plastocyanin 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Pink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Lchi19253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Light-harvesting complex-like protein 3 isotype 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Lchi00105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Dihydrolipoyl dehydrogenase 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Lchi05482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Presenilin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Lchi08335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Cinnamyl alcohol dehydrogenase (CAD) gene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Lchi09151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Cytochrome P450 72A14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Lchi17768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Pyrophosphate--fructose 6-phosphate 1-phosphotransferase subunit beta 2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Lchi17965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Methylmalonate-semialdehyde dehydrogenase [acylating]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Lchi18340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N</w:t>
            </w:r>
            <w:r w:rsidRPr="003D44BF">
              <w:rPr>
                <w:sz w:val="18"/>
                <w:szCs w:val="18"/>
              </w:rPr>
              <w:t>o description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Lchi19890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Fumarate hydratase 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Purple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Lchi33171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 xml:space="preserve">Dihydrolipoyl dehydrogenase 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lastRenderedPageBreak/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Lchi01972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Probable RNA-binding protein ARP1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Lchi08096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Protein ZINC INDUCED FACILITATOR 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Lchi10425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GDSL esterase/lipase At5g03810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Lchi12694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 xml:space="preserve">Acid phosphatase 1 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Lchi12695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Acid phosphatase 1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Lchi15175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Gibberellin 20-oxidase-like protein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Lchi18103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Probable 2-oxoglutarate-dependent dioxygenase At5g05600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Lchi20965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Protein ABHD17B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Lchi26211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E3 ubiquitin-protein ligase SGR9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Novelgene10174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Probable carboxylesterase 15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Novelgene11496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Protein SPIRAL1-like 5</w:t>
            </w:r>
          </w:p>
        </w:tc>
      </w:tr>
      <w:tr w:rsidR="008C5E57" w:rsidRPr="003D44BF" w:rsidTr="009C0480">
        <w:tc>
          <w:tcPr>
            <w:tcW w:w="127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Tan</w:t>
            </w:r>
          </w:p>
        </w:tc>
        <w:tc>
          <w:tcPr>
            <w:tcW w:w="1316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Novelgene8946</w:t>
            </w:r>
          </w:p>
        </w:tc>
        <w:tc>
          <w:tcPr>
            <w:tcW w:w="5625" w:type="dxa"/>
          </w:tcPr>
          <w:p w:rsidR="008C5E57" w:rsidRPr="003D44BF" w:rsidRDefault="008C5E57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sz w:val="18"/>
                <w:szCs w:val="18"/>
              </w:rPr>
              <w:t>Bowman-Birk type proteinase inhibitor</w:t>
            </w:r>
          </w:p>
        </w:tc>
      </w:tr>
    </w:tbl>
    <w:p w:rsidR="00E773B3" w:rsidRPr="008C5E57" w:rsidRDefault="00E773B3" w:rsidP="008C5E57">
      <w:bookmarkStart w:id="1" w:name="_GoBack"/>
      <w:bookmarkEnd w:id="1"/>
    </w:p>
    <w:sectPr w:rsidR="00E773B3" w:rsidRPr="008C5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D4D" w:rsidRDefault="00B27D4D" w:rsidP="008C5E57">
      <w:r>
        <w:separator/>
      </w:r>
    </w:p>
  </w:endnote>
  <w:endnote w:type="continuationSeparator" w:id="0">
    <w:p w:rsidR="00B27D4D" w:rsidRDefault="00B27D4D" w:rsidP="008C5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D4D" w:rsidRDefault="00B27D4D" w:rsidP="008C5E57">
      <w:r>
        <w:separator/>
      </w:r>
    </w:p>
  </w:footnote>
  <w:footnote w:type="continuationSeparator" w:id="0">
    <w:p w:rsidR="00B27D4D" w:rsidRDefault="00B27D4D" w:rsidP="008C5E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772"/>
    <w:rsid w:val="00820F99"/>
    <w:rsid w:val="008C5E57"/>
    <w:rsid w:val="00B27D4D"/>
    <w:rsid w:val="00CB0772"/>
    <w:rsid w:val="00E7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9177EE"/>
  <w15:chartTrackingRefBased/>
  <w15:docId w15:val="{7585A57F-BA7E-48C0-800B-DDAF09DE1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E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07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CB0772"/>
    <w:rPr>
      <w:b/>
      <w:bCs/>
    </w:rPr>
  </w:style>
  <w:style w:type="paragraph" w:styleId="a5">
    <w:name w:val="header"/>
    <w:basedOn w:val="a"/>
    <w:link w:val="a6"/>
    <w:unhideWhenUsed/>
    <w:rsid w:val="008C5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C5E57"/>
    <w:rPr>
      <w:kern w:val="2"/>
      <w:sz w:val="18"/>
      <w:szCs w:val="18"/>
    </w:rPr>
  </w:style>
  <w:style w:type="paragraph" w:styleId="a7">
    <w:name w:val="footer"/>
    <w:basedOn w:val="a"/>
    <w:link w:val="a8"/>
    <w:unhideWhenUsed/>
    <w:rsid w:val="008C5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C5E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429</Words>
  <Characters>2451</Characters>
  <Application>Microsoft Office Word</Application>
  <DocSecurity>0</DocSecurity>
  <Lines>20</Lines>
  <Paragraphs>5</Paragraphs>
  <ScaleCrop>false</ScaleCrop>
  <Company>HP</Company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2</cp:revision>
  <dcterms:created xsi:type="dcterms:W3CDTF">2019-08-14T08:07:00Z</dcterms:created>
  <dcterms:modified xsi:type="dcterms:W3CDTF">2019-12-09T07:21:00Z</dcterms:modified>
</cp:coreProperties>
</file>