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7DBEC" w14:textId="77777777" w:rsidR="00CC7FB8" w:rsidRPr="00325B0B" w:rsidRDefault="00CC7FB8" w:rsidP="00CC7FB8">
      <w:pPr>
        <w:pStyle w:val="Heading2"/>
        <w:rPr>
          <w:rFonts w:ascii="Times New Roman" w:eastAsiaTheme="minorEastAsia" w:hAnsi="Times New Roman" w:cs="Times New Roman"/>
          <w:b/>
          <w:bCs/>
          <w:color w:val="auto"/>
          <w:sz w:val="24"/>
          <w:szCs w:val="24"/>
        </w:rPr>
      </w:pPr>
      <w:r w:rsidRPr="00325B0B">
        <w:rPr>
          <w:rFonts w:ascii="Times New Roman" w:eastAsiaTheme="minorEastAsia" w:hAnsi="Times New Roman" w:cs="Times New Roman"/>
          <w:b/>
          <w:bCs/>
          <w:color w:val="auto"/>
          <w:sz w:val="24"/>
          <w:szCs w:val="24"/>
        </w:rPr>
        <w:t xml:space="preserve">Appendix </w:t>
      </w:r>
      <w:r>
        <w:rPr>
          <w:rFonts w:ascii="Times New Roman" w:eastAsiaTheme="minorEastAsia" w:hAnsi="Times New Roman" w:cs="Times New Roman"/>
          <w:b/>
          <w:bCs/>
          <w:color w:val="auto"/>
          <w:sz w:val="24"/>
          <w:szCs w:val="24"/>
        </w:rPr>
        <w:t>A</w:t>
      </w:r>
      <w:r w:rsidRPr="00325B0B">
        <w:rPr>
          <w:rFonts w:ascii="Times New Roman" w:eastAsiaTheme="minorEastAsia" w:hAnsi="Times New Roman" w:cs="Times New Roman"/>
          <w:b/>
          <w:bCs/>
          <w:color w:val="auto"/>
          <w:sz w:val="24"/>
          <w:szCs w:val="24"/>
        </w:rPr>
        <w:t>: Selection Effect</w:t>
      </w:r>
    </w:p>
    <w:p w14:paraId="765CDD0D" w14:textId="77777777" w:rsidR="00CC7FB8" w:rsidRPr="00325B0B" w:rsidRDefault="00CC7FB8" w:rsidP="00CC7FB8">
      <w:pPr>
        <w:pStyle w:val="Heading3"/>
        <w:rPr>
          <w:rFonts w:ascii="Times New Roman" w:eastAsiaTheme="minorEastAsia" w:hAnsi="Times New Roman" w:cs="Times New Roman"/>
          <w:color w:val="auto"/>
        </w:rPr>
      </w:pPr>
      <w:r w:rsidRPr="00325B0B">
        <w:rPr>
          <w:rFonts w:ascii="Times New Roman" w:eastAsiaTheme="minorEastAsia" w:hAnsi="Times New Roman" w:cs="Times New Roman"/>
          <w:color w:val="auto"/>
        </w:rPr>
        <w:t>(i) Woolridge’s two-step estimation</w:t>
      </w:r>
    </w:p>
    <w:p w14:paraId="63992046"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 xml:space="preserve">The results reported in </w:t>
      </w:r>
      <w:r w:rsidRPr="00325B0B">
        <w:rPr>
          <w:rFonts w:ascii="Times New Roman" w:eastAsiaTheme="minorEastAsia" w:hAnsi="Times New Roman" w:cs="Times New Roman"/>
        </w:rPr>
        <w:fldChar w:fldCharType="begin"/>
      </w:r>
      <w:r w:rsidRPr="00325B0B">
        <w:rPr>
          <w:rFonts w:ascii="Times New Roman" w:eastAsiaTheme="minorEastAsia" w:hAnsi="Times New Roman" w:cs="Times New Roman"/>
        </w:rPr>
        <w:instrText xml:space="preserve"> REF _Ref108391050 \h  \* MERGEFORMAT </w:instrText>
      </w:r>
      <w:r w:rsidRPr="00325B0B">
        <w:rPr>
          <w:rFonts w:ascii="Times New Roman" w:eastAsiaTheme="minorEastAsia" w:hAnsi="Times New Roman" w:cs="Times New Roman"/>
        </w:rPr>
      </w:r>
      <w:r w:rsidRPr="00325B0B">
        <w:rPr>
          <w:rFonts w:ascii="Times New Roman" w:eastAsiaTheme="minorEastAsia" w:hAnsi="Times New Roman" w:cs="Times New Roman"/>
        </w:rPr>
        <w:fldChar w:fldCharType="separate"/>
      </w:r>
      <w:r w:rsidRPr="00EA5781">
        <w:rPr>
          <w:rFonts w:ascii="Times New Roman" w:hAnsi="Times New Roman" w:cs="Times New Roman"/>
        </w:rPr>
        <w:t xml:space="preserve">Table </w:t>
      </w:r>
      <w:r w:rsidRPr="00950CAE">
        <w:rPr>
          <w:rFonts w:ascii="Times New Roman" w:hAnsi="Times New Roman" w:cs="Times New Roman"/>
          <w:noProof/>
        </w:rPr>
        <w:t>3</w:t>
      </w:r>
      <w:r w:rsidRPr="00325B0B">
        <w:rPr>
          <w:rFonts w:ascii="Times New Roman" w:eastAsiaTheme="minorEastAsia" w:hAnsi="Times New Roman" w:cs="Times New Roman"/>
        </w:rPr>
        <w:fldChar w:fldCharType="end"/>
      </w:r>
      <w:r w:rsidRPr="00325B0B">
        <w:rPr>
          <w:rFonts w:ascii="Times New Roman" w:eastAsiaTheme="minorEastAsia" w:hAnsi="Times New Roman" w:cs="Times New Roman"/>
        </w:rPr>
        <w:t xml:space="preserve"> to </w:t>
      </w:r>
      <w:r>
        <w:rPr>
          <w:rFonts w:ascii="Times New Roman" w:eastAsiaTheme="minorEastAsia" w:hAnsi="Times New Roman" w:cs="Times New Roman"/>
        </w:rPr>
        <w:t>5</w:t>
      </w:r>
      <w:r w:rsidRPr="00325B0B">
        <w:rPr>
          <w:rFonts w:ascii="Times New Roman" w:eastAsiaTheme="minorEastAsia" w:hAnsi="Times New Roman" w:cs="Times New Roman"/>
        </w:rPr>
        <w:t xml:space="preserve"> are likely to face selection bias as firm’s pricing decisions are only observed when they report positive level of exports. We introduce a variable as a regressor in Table </w:t>
      </w:r>
      <w:r>
        <w:rPr>
          <w:rFonts w:ascii="Times New Roman" w:eastAsiaTheme="minorEastAsia" w:hAnsi="Times New Roman" w:cs="Times New Roman"/>
        </w:rPr>
        <w:t>6</w:t>
      </w:r>
      <w:r w:rsidRPr="00325B0B">
        <w:rPr>
          <w:rFonts w:ascii="Times New Roman" w:eastAsiaTheme="minorEastAsia" w:hAnsi="Times New Roman" w:cs="Times New Roman"/>
        </w:rPr>
        <w:t xml:space="preserve"> labelled as ‘Selection Effect’ to control for the selection bias. We replicate the strategy adopted in Harrigan, Ma and Sch (2015), who derive theirs from the seminal paper of Helpman, Melitz and Rubenstein (2008). </w:t>
      </w:r>
    </w:p>
    <w:p w14:paraId="047814A5"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We first consider the following reduced export value equation:</w:t>
      </w:r>
    </w:p>
    <w:p w14:paraId="0DBCB10C" w14:textId="77777777" w:rsidR="00CC7FB8" w:rsidRPr="00325B0B" w:rsidRDefault="00CC7FB8" w:rsidP="00CC7FB8">
      <w:pPr>
        <w:rPr>
          <w:rFonts w:ascii="Times New Roman" w:eastAsiaTheme="minorEastAsia" w:hAnsi="Times New Roman" w:cs="Times New Roman"/>
        </w:rPr>
      </w:pPr>
      <w:r w:rsidRPr="00325B0B">
        <w:rPr>
          <w:rFonts w:ascii="Times New Roman" w:eastAsiaTheme="minorEastAsia" w:hAnsi="Times New Roman" w:cs="Times New Roman"/>
        </w:rPr>
        <w:t>ln</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ijk</m:t>
            </m:r>
          </m:sub>
        </m:sSub>
        <m:r>
          <w:rPr>
            <w:rFonts w:ascii="Cambria Math" w:eastAsiaTheme="minorEastAsia" w:hAnsi="Cambria Math" w:cs="Times New Roman"/>
          </w:rPr>
          <m:t xml:space="preserve">=Max[0, </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k</m:t>
            </m:r>
          </m:sub>
        </m:sSub>
        <m: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 xml:space="preserve">] </w:t>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t>(B.1)</w:t>
      </w:r>
    </w:p>
    <w:p w14:paraId="1AE0C831"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 xml:space="preserve"> is the value of exports of product </w:t>
      </w:r>
      <w:r w:rsidRPr="00325B0B">
        <w:rPr>
          <w:rFonts w:ascii="Times New Roman" w:eastAsiaTheme="minorEastAsia" w:hAnsi="Times New Roman" w:cs="Times New Roman"/>
          <w:i/>
          <w:iCs/>
        </w:rPr>
        <w:t>k</w:t>
      </w:r>
      <w:r w:rsidRPr="00325B0B">
        <w:rPr>
          <w:rFonts w:ascii="Times New Roman" w:eastAsiaTheme="minorEastAsia" w:hAnsi="Times New Roman" w:cs="Times New Roman"/>
        </w:rPr>
        <w:t xml:space="preserve"> by firm </w:t>
      </w:r>
      <w:r w:rsidRPr="00325B0B">
        <w:rPr>
          <w:rFonts w:ascii="Times New Roman" w:eastAsiaTheme="minorEastAsia" w:hAnsi="Times New Roman" w:cs="Times New Roman"/>
          <w:i/>
          <w:iCs/>
        </w:rPr>
        <w:t>j</w:t>
      </w:r>
      <w:r w:rsidRPr="00325B0B">
        <w:rPr>
          <w:rFonts w:ascii="Times New Roman" w:eastAsiaTheme="minorEastAsia" w:hAnsi="Times New Roman" w:cs="Times New Roman"/>
        </w:rPr>
        <w:t xml:space="preserve"> to market </w:t>
      </w:r>
      <w:r w:rsidRPr="00325B0B">
        <w:rPr>
          <w:rFonts w:ascii="Times New Roman" w:eastAsiaTheme="minorEastAsia" w:hAnsi="Times New Roman" w:cs="Times New Roman"/>
          <w:i/>
          <w:iCs/>
        </w:rPr>
        <w:t>i.</w:t>
      </w:r>
      <w:r w:rsidRPr="00325B0B">
        <w:rPr>
          <w:rFonts w:ascii="Times New Roman" w:eastAsiaTheme="minorEastAsia" w:hAnsi="Times New Roman" w:cs="Times New Roman"/>
        </w:rPr>
        <w:t xml:space="preserve"> We assume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 xml:space="preserve"> to be normally distributed. We censor the data where export sales at the firm-product destination level is at least US $10,000. Further, we assume that </w:t>
      </w:r>
      <m:oMath>
        <m:acc>
          <m:accPr>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r>
              <m:rPr>
                <m:sty m:val="p"/>
              </m:rPr>
              <w:rPr>
                <w:rFonts w:ascii="Cambria Math" w:eastAsiaTheme="minorEastAsia" w:hAnsi="Cambria Math" w:cs="Times New Roman"/>
              </w:rPr>
              <m:t xml:space="preserve"> </m:t>
            </m:r>
          </m:e>
        </m:acc>
      </m:oMath>
      <w:r w:rsidRPr="00325B0B">
        <w:rPr>
          <w:rFonts w:ascii="Times New Roman" w:eastAsiaTheme="minorEastAsia" w:hAnsi="Times New Roman" w:cs="Times New Roman"/>
        </w:rPr>
        <w:t xml:space="preserve">, an estimation of the errors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 xml:space="preserve">, will be correlated with the error term in Equation (9). Market specific shocks that can impact demand and supply of the products exported by a firm can lead to selection bias. Using </w:t>
      </w:r>
      <m:oMath>
        <m:acc>
          <m:accPr>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r>
              <m:rPr>
                <m:sty m:val="p"/>
              </m:rPr>
              <w:rPr>
                <w:rFonts w:ascii="Cambria Math" w:eastAsiaTheme="minorEastAsia" w:hAnsi="Cambria Math" w:cs="Times New Roman"/>
              </w:rPr>
              <m:t xml:space="preserve"> </m:t>
            </m:r>
          </m:e>
        </m:acc>
      </m:oMath>
      <w:r w:rsidRPr="00325B0B">
        <w:rPr>
          <w:rFonts w:ascii="Times New Roman" w:eastAsiaTheme="minorEastAsia" w:hAnsi="Times New Roman" w:cs="Times New Roman"/>
        </w:rPr>
        <w:t>, we estimate the following equation by OLS:</w:t>
      </w:r>
    </w:p>
    <w:p w14:paraId="3C6CC76F" w14:textId="77777777" w:rsidR="00CC7FB8" w:rsidRPr="00325B0B" w:rsidRDefault="00CC7FB8" w:rsidP="00CC7FB8">
      <w:pPr>
        <w:rPr>
          <w:rFonts w:ascii="Times New Roman" w:eastAsiaTheme="minorEastAsia" w:hAnsi="Times New Roman" w:cs="Times New Roman"/>
        </w:rPr>
      </w:pPr>
      <w:r w:rsidRPr="00325B0B">
        <w:rPr>
          <w:rFonts w:ascii="Times New Roman" w:eastAsiaTheme="minorEastAsia" w:hAnsi="Times New Roman" w:cs="Times New Roman"/>
        </w:rPr>
        <w:t>ln</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ijk</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k</m:t>
            </m:r>
          </m:sub>
        </m:sSub>
        <m: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+χ</m:t>
        </m:r>
        <m:acc>
          <m:accPr>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r>
              <m:rPr>
                <m:sty m:val="p"/>
              </m:rPr>
              <w:rPr>
                <w:rFonts w:ascii="Cambria Math" w:eastAsiaTheme="minorEastAsia" w:hAnsi="Cambria Math" w:cs="Times New Roman"/>
              </w:rPr>
              <m:t xml:space="preserve"> </m:t>
            </m:r>
          </m:e>
        </m:acc>
      </m:oMath>
      <w:r w:rsidRPr="00325B0B">
        <w:rPr>
          <w:rFonts w:ascii="Times New Roman" w:eastAsiaTheme="minorEastAsia" w:hAnsi="Times New Roman" w:cs="Times New Roman"/>
        </w:rPr>
        <w:t xml:space="preserve"> + </w:t>
      </w:r>
      <m:oMath>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t>(B.2)</w:t>
      </w:r>
    </w:p>
    <w:p w14:paraId="342BB9AD" w14:textId="77777777" w:rsidR="00CC7FB8"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 xml:space="preserve">where the variables are as defined in Equation B.1. </w:t>
      </w:r>
    </w:p>
    <w:p w14:paraId="0C7EFF36" w14:textId="77777777" w:rsidR="00CC7FB8" w:rsidRPr="00325B0B" w:rsidRDefault="00CC7FB8" w:rsidP="00CC7FB8">
      <w:pPr>
        <w:pStyle w:val="Heading3"/>
        <w:rPr>
          <w:rFonts w:ascii="Times New Roman" w:hAnsi="Times New Roman" w:cs="Times New Roman"/>
          <w:color w:val="auto"/>
        </w:rPr>
      </w:pPr>
      <w:r w:rsidRPr="00325B0B">
        <w:rPr>
          <w:rFonts w:ascii="Times New Roman" w:hAnsi="Times New Roman" w:cs="Times New Roman"/>
          <w:color w:val="auto"/>
        </w:rPr>
        <w:t>(ii) Woolridge’s three-step estimation</w:t>
      </w:r>
    </w:p>
    <w:p w14:paraId="7F117A87"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 xml:space="preserve">A major drawback of the Woolridge’s two-step estimator is that it assumes </w:t>
      </w:r>
      <m:oMath>
        <m:r>
          <w:rPr>
            <w:rFonts w:ascii="Cambria Math" w:eastAsiaTheme="minorEastAsia" w:hAnsi="Cambria Math" w:cs="Times New Roman"/>
          </w:rPr>
          <m:t>δ</m:t>
        </m:r>
      </m:oMath>
      <w:r w:rsidRPr="00325B0B">
        <w:rPr>
          <w:rFonts w:ascii="Times New Roman" w:eastAsiaTheme="minorEastAsia" w:hAnsi="Times New Roman" w:cs="Times New Roman"/>
        </w:rPr>
        <w:t xml:space="preserve"> to be constant for all values of latent exports. We use Woolridge’s three-step estimator to avoid the drawback. This involves using a Probit estimator to estimate the probability of an exporter entering a particular market, followed by estimating the export value for positive value of exports using OLS. We set US $10,000 as the threshold for positive export value at the firm-product-destination level as </w:t>
      </w:r>
      <w:r w:rsidRPr="00325B0B">
        <w:rPr>
          <w:rFonts w:ascii="Times New Roman" w:eastAsiaTheme="minorEastAsia" w:hAnsi="Times New Roman" w:cs="Times New Roman"/>
        </w:rPr>
        <w:lastRenderedPageBreak/>
        <w:t>discussed in the section describing the data. The third step involves incorporating the residuals from the second-step equation as a control for selection in the export price equation, the third-step</w:t>
      </w:r>
      <w:r w:rsidRPr="00325B0B">
        <w:rPr>
          <w:rStyle w:val="FootnoteReference"/>
          <w:rFonts w:ascii="Times New Roman" w:eastAsiaTheme="minorEastAsia" w:hAnsi="Times New Roman" w:cs="Times New Roman"/>
        </w:rPr>
        <w:footnoteReference w:id="1"/>
      </w:r>
      <w:r w:rsidRPr="00325B0B">
        <w:rPr>
          <w:rFonts w:ascii="Times New Roman" w:eastAsiaTheme="minorEastAsia" w:hAnsi="Times New Roman" w:cs="Times New Roman"/>
        </w:rPr>
        <w:t>.</w:t>
      </w:r>
    </w:p>
    <w:p w14:paraId="5C968AEC"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The first step involves using a Probit estimation:</w:t>
      </w:r>
    </w:p>
    <w:p w14:paraId="165C5F92" w14:textId="77777777" w:rsidR="00CC7FB8" w:rsidRPr="00325B0B" w:rsidRDefault="00CC7FB8" w:rsidP="00CC7FB8">
      <w:pPr>
        <w:rPr>
          <w:rFonts w:ascii="Times New Roman" w:eastAsiaTheme="minorEastAsia" w:hAnsi="Times New Roman" w:cs="Times New Roman"/>
        </w:rPr>
      </w:pPr>
      <m:oMath>
        <m:func>
          <m:funcPr>
            <m:ctrlPr>
              <w:rPr>
                <w:rFonts w:ascii="Cambria Math" w:eastAsiaTheme="minorEastAsia" w:hAnsi="Cambria Math" w:cs="Times New Roman"/>
              </w:rPr>
            </m:ctrlPr>
          </m:funcPr>
          <m:fName>
            <m:r>
              <m:rPr>
                <m:sty m:val="p"/>
              </m:rPr>
              <w:rPr>
                <w:rFonts w:ascii="Cambria Math" w:eastAsiaTheme="minorEastAsia" w:hAnsi="Cambria Math" w:cs="Times New Roman"/>
              </w:rPr>
              <m:t>Pr</m:t>
            </m:r>
          </m:fName>
          <m:e>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ijk</m:t>
                    </m:r>
                  </m:sub>
                </m:sSub>
                <m:r>
                  <w:rPr>
                    <w:rFonts w:ascii="Cambria Math" w:eastAsiaTheme="minorEastAsia" w:hAnsi="Cambria Math" w:cs="Times New Roman"/>
                  </w:rPr>
                  <m:t>&gt;0</m:t>
                </m:r>
              </m:e>
            </m:d>
          </m:e>
        </m:func>
        <m:r>
          <w:rPr>
            <w:rFonts w:ascii="Cambria Math" w:eastAsiaTheme="minorEastAsia" w:hAnsi="Cambria Math" w:cs="Times New Roman"/>
          </w:rPr>
          <m:t>=</m:t>
        </m:r>
        <m:r>
          <m:rPr>
            <m:sty m:val="p"/>
          </m:rPr>
          <w:rPr>
            <w:rFonts w:ascii="Cambria Math" w:eastAsiaTheme="minorEastAsia" w:hAnsi="Cambria Math" w:cs="Times New Roman"/>
          </w:rPr>
          <m:t>Φ</m:t>
        </m:r>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k</m:t>
            </m:r>
          </m:sub>
        </m:sSub>
        <m: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m:t>
        </m:r>
      </m:oMath>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t>(B.3)</w:t>
      </w:r>
    </w:p>
    <w:p w14:paraId="70CB23BA"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 xml:space="preserve">We estimate the inverse Mills ratio, </w:t>
      </w:r>
      <m:oMath>
        <m:acc>
          <m:accPr>
            <m:ctrlPr>
              <w:rPr>
                <w:rFonts w:ascii="Cambria Math" w:eastAsiaTheme="minorEastAsia" w:hAnsi="Cambria Math" w:cs="Times New Roman"/>
                <w:i/>
              </w:rPr>
            </m:ctrlPr>
          </m:accPr>
          <m:e>
            <m:r>
              <w:rPr>
                <w:rFonts w:ascii="Cambria Math" w:eastAsiaTheme="minorEastAsia" w:hAnsi="Cambria Math" w:cs="Times New Roman"/>
              </w:rPr>
              <m:t>λ_ijk</m:t>
            </m:r>
          </m:e>
        </m:acc>
      </m:oMath>
      <w:r w:rsidRPr="00325B0B">
        <w:rPr>
          <w:rFonts w:ascii="Times New Roman" w:eastAsiaTheme="minorEastAsia" w:hAnsi="Times New Roman" w:cs="Times New Roman"/>
        </w:rPr>
        <w:t>, from the above Probit estimation and include it in the list of regressors in the export price equation below and regress by OLS:</w:t>
      </w:r>
    </w:p>
    <w:p w14:paraId="3C267F8C" w14:textId="77777777" w:rsidR="00CC7FB8" w:rsidRPr="00325B0B" w:rsidRDefault="00CC7FB8" w:rsidP="00CC7FB8">
      <w:pPr>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lny</m:t>
            </m:r>
          </m:e>
          <m:sub>
            <m:r>
              <w:rPr>
                <w:rFonts w:ascii="Cambria Math" w:eastAsiaTheme="minorEastAsia" w:hAnsi="Cambria Math" w:cs="Times New Roman"/>
              </w:rPr>
              <m:t>ijk</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k</m:t>
            </m:r>
          </m:sub>
        </m:sSub>
        <m: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+χ</m:t>
        </m:r>
        <m:acc>
          <m:accPr>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λ</m:t>
                </m:r>
              </m:e>
              <m:sub>
                <m:r>
                  <w:rPr>
                    <w:rFonts w:ascii="Cambria Math" w:eastAsiaTheme="minorEastAsia" w:hAnsi="Cambria Math" w:cs="Times New Roman"/>
                  </w:rPr>
                  <m:t>ijk</m:t>
                </m:r>
              </m:sub>
            </m:sSub>
            <m:r>
              <m:rPr>
                <m:sty m:val="p"/>
              </m:rPr>
              <w:rPr>
                <w:rFonts w:ascii="Cambria Math" w:eastAsiaTheme="minorEastAsia" w:hAnsi="Cambria Math" w:cs="Times New Roman"/>
              </w:rPr>
              <m:t xml:space="preserve"> </m:t>
            </m:r>
          </m:e>
        </m:acc>
      </m:oMath>
      <w:r w:rsidRPr="00325B0B">
        <w:rPr>
          <w:rFonts w:ascii="Times New Roman" w:eastAsiaTheme="minorEastAsia" w:hAnsi="Times New Roman" w:cs="Times New Roman"/>
        </w:rPr>
        <w:t xml:space="preserve"> +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t>(B.4)</w:t>
      </w:r>
    </w:p>
    <w:p w14:paraId="2BF7E3C5" w14:textId="77777777" w:rsidR="00CC7FB8" w:rsidRPr="00325B0B" w:rsidRDefault="00CC7FB8" w:rsidP="00CC7FB8">
      <w:pPr>
        <w:spacing w:line="480" w:lineRule="auto"/>
        <w:rPr>
          <w:rFonts w:ascii="Times New Roman" w:eastAsiaTheme="minorEastAsia" w:hAnsi="Times New Roman" w:cs="Times New Roman"/>
        </w:rPr>
      </w:pPr>
      <w:r w:rsidRPr="00325B0B">
        <w:rPr>
          <w:rFonts w:ascii="Times New Roman" w:eastAsiaTheme="minorEastAsia" w:hAnsi="Times New Roman" w:cs="Times New Roman"/>
        </w:rPr>
        <w:t xml:space="preserve">The residual estimated from Equation is then included as a control for selection in the export price equation: </w:t>
      </w:r>
    </w:p>
    <w:p w14:paraId="5FE9C219" w14:textId="77777777" w:rsidR="00CC7FB8" w:rsidRPr="00325B0B" w:rsidRDefault="00CC7FB8" w:rsidP="00CC7FB8">
      <w:pPr>
        <w:rPr>
          <w:rFonts w:ascii="Times New Roman" w:eastAsiaTheme="minorEastAsia" w:hAnsi="Times New Roman" w:cs="Times New Roman"/>
        </w:rPr>
      </w:pPr>
      <w:r w:rsidRPr="00325B0B">
        <w:rPr>
          <w:rFonts w:ascii="Times New Roman" w:eastAsiaTheme="minorEastAsia" w:hAnsi="Times New Roman" w:cs="Times New Roman"/>
        </w:rPr>
        <w:t>ln</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ijk</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γ</m:t>
            </m:r>
          </m:e>
          <m:sub>
            <m:r>
              <w:rPr>
                <w:rFonts w:ascii="Cambria Math" w:eastAsiaTheme="minorEastAsia" w:hAnsi="Cambria Math" w:cs="Times New Roman"/>
              </w:rPr>
              <m:t>k</m:t>
            </m:r>
          </m:sub>
        </m:sSub>
        <m:r>
          <w:rPr>
            <w:rFonts w:ascii="Cambria Math" w:eastAsiaTheme="minorEastAsia" w:hAnsi="Cambria Math" w:cs="Times New Roman"/>
          </w:rPr>
          <m:t>+δ</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i</m:t>
            </m:r>
          </m:sub>
        </m:sSub>
        <m:r>
          <w:rPr>
            <w:rFonts w:ascii="Cambria Math" w:eastAsiaTheme="minorEastAsia" w:hAnsi="Cambria Math" w:cs="Times New Roman"/>
          </w:rPr>
          <m:t>+χ</m:t>
        </m:r>
        <m:acc>
          <m:accPr>
            <m:ctrlPr>
              <w:rPr>
                <w:rFonts w:ascii="Cambria Math" w:eastAsiaTheme="minorEastAsia" w:hAnsi="Cambria Math" w:cs="Times New Roman"/>
                <w:i/>
              </w:rPr>
            </m:ctrlPr>
          </m:accPr>
          <m:e>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ijk</m:t>
                </m:r>
              </m:sub>
            </m:sSub>
            <m:r>
              <m:rPr>
                <m:sty m:val="p"/>
              </m:rPr>
              <w:rPr>
                <w:rFonts w:ascii="Cambria Math" w:eastAsiaTheme="minorEastAsia" w:hAnsi="Cambria Math" w:cs="Times New Roman"/>
              </w:rPr>
              <m:t xml:space="preserve"> </m:t>
            </m:r>
          </m:e>
        </m:acc>
      </m:oMath>
      <w:r w:rsidRPr="00325B0B">
        <w:rPr>
          <w:rFonts w:ascii="Times New Roman" w:eastAsiaTheme="minorEastAsia" w:hAnsi="Times New Roman" w:cs="Times New Roman"/>
        </w:rPr>
        <w:t xml:space="preserve"> + </w:t>
      </w:r>
      <m:oMath>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ijk</m:t>
            </m:r>
          </m:sub>
        </m:sSub>
      </m:oMath>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r>
      <w:r w:rsidRPr="00325B0B">
        <w:rPr>
          <w:rFonts w:ascii="Times New Roman" w:eastAsiaTheme="minorEastAsia" w:hAnsi="Times New Roman" w:cs="Times New Roman"/>
        </w:rPr>
        <w:tab/>
        <w:t>(B.5)</w:t>
      </w:r>
    </w:p>
    <w:p w14:paraId="25C82881" w14:textId="77777777" w:rsidR="00CC7FB8" w:rsidRDefault="00CC7FB8" w:rsidP="00CC7FB8">
      <w:pPr>
        <w:rPr>
          <w:rFonts w:eastAsiaTheme="minorEastAsia"/>
        </w:rPr>
      </w:pPr>
    </w:p>
    <w:p w14:paraId="0AC6942A" w14:textId="77777777" w:rsidR="00CC7FB8" w:rsidRPr="00A23825" w:rsidRDefault="00CC7FB8" w:rsidP="00CC7FB8">
      <w:pPr>
        <w:rPr>
          <w:rFonts w:eastAsiaTheme="minorEastAsia"/>
        </w:rPr>
      </w:pPr>
    </w:p>
    <w:p w14:paraId="0893438B" w14:textId="77777777" w:rsidR="00CA67E5" w:rsidRDefault="00E934D1"/>
    <w:sectPr w:rsidR="00CA67E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A2720" w14:textId="77777777" w:rsidR="00E934D1" w:rsidRDefault="00E934D1" w:rsidP="00CC7FB8">
      <w:pPr>
        <w:spacing w:after="0"/>
      </w:pPr>
      <w:r>
        <w:separator/>
      </w:r>
    </w:p>
  </w:endnote>
  <w:endnote w:type="continuationSeparator" w:id="0">
    <w:p w14:paraId="5C1966AA" w14:textId="77777777" w:rsidR="00E934D1" w:rsidRDefault="00E934D1" w:rsidP="00CC7F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0342812"/>
      <w:docPartObj>
        <w:docPartGallery w:val="Page Numbers (Bottom of Page)"/>
        <w:docPartUnique/>
      </w:docPartObj>
    </w:sdtPr>
    <w:sdtEndPr>
      <w:rPr>
        <w:noProof/>
      </w:rPr>
    </w:sdtEndPr>
    <w:sdtContent>
      <w:p w14:paraId="403C349B" w14:textId="77777777" w:rsidR="003A0C8B" w:rsidRDefault="00E934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AFFA4" w14:textId="77777777" w:rsidR="003A0C8B" w:rsidRDefault="00E93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C6676" w14:textId="77777777" w:rsidR="00E934D1" w:rsidRDefault="00E934D1" w:rsidP="00CC7FB8">
      <w:pPr>
        <w:spacing w:after="0"/>
      </w:pPr>
      <w:r>
        <w:separator/>
      </w:r>
    </w:p>
  </w:footnote>
  <w:footnote w:type="continuationSeparator" w:id="0">
    <w:p w14:paraId="7152BB2D" w14:textId="77777777" w:rsidR="00E934D1" w:rsidRDefault="00E934D1" w:rsidP="00CC7FB8">
      <w:pPr>
        <w:spacing w:after="0"/>
      </w:pPr>
      <w:r>
        <w:continuationSeparator/>
      </w:r>
    </w:p>
  </w:footnote>
  <w:footnote w:id="1">
    <w:p w14:paraId="7F2EC4AE" w14:textId="77777777" w:rsidR="00CC7FB8" w:rsidRPr="005B4B48" w:rsidRDefault="00CC7FB8" w:rsidP="00CC7FB8">
      <w:pPr>
        <w:pStyle w:val="FootnoteText"/>
        <w:rPr>
          <w:rFonts w:cstheme="minorHAnsi"/>
        </w:rPr>
      </w:pPr>
      <w:r w:rsidRPr="00AC7400">
        <w:rPr>
          <w:rStyle w:val="FootnoteReference"/>
          <w:rFonts w:cstheme="minorHAnsi"/>
          <w:sz w:val="16"/>
          <w:szCs w:val="16"/>
        </w:rPr>
        <w:footnoteRef/>
      </w:r>
      <w:r w:rsidRPr="00AC7400">
        <w:rPr>
          <w:rFonts w:cstheme="minorHAnsi"/>
          <w:sz w:val="16"/>
          <w:szCs w:val="16"/>
        </w:rPr>
        <w:t xml:space="preserve"> </w:t>
      </w:r>
      <w:r w:rsidRPr="005B4B48">
        <w:rPr>
          <w:rFonts w:cstheme="minorHAnsi"/>
        </w:rPr>
        <w:t xml:space="preserve">As </w:t>
      </w:r>
      <m:oMath>
        <m:acc>
          <m:accPr>
            <m:ctrlPr>
              <w:rPr>
                <w:rFonts w:ascii="Cambria Math" w:eastAsiaTheme="minorEastAsia" w:hAnsi="Cambria Math" w:cstheme="minorHAnsi"/>
                <w:i/>
              </w:rPr>
            </m:ctrlPr>
          </m:accPr>
          <m:e>
            <m:sSub>
              <m:sSubPr>
                <m:ctrlPr>
                  <w:rPr>
                    <w:rFonts w:ascii="Cambria Math" w:eastAsiaTheme="minorEastAsia" w:hAnsi="Cambria Math" w:cstheme="minorHAnsi"/>
                    <w:i/>
                  </w:rPr>
                </m:ctrlPr>
              </m:sSubPr>
              <m:e>
                <m:r>
                  <w:rPr>
                    <w:rFonts w:ascii="Cambria Math" w:eastAsiaTheme="minorEastAsia" w:hAnsi="Cambria Math" w:cstheme="minorHAnsi"/>
                  </w:rPr>
                  <m:t>μ</m:t>
                </m:r>
              </m:e>
              <m:sub>
                <m:r>
                  <w:rPr>
                    <w:rFonts w:ascii="Cambria Math" w:eastAsiaTheme="minorEastAsia" w:hAnsi="Cambria Math" w:cstheme="minorHAnsi"/>
                  </w:rPr>
                  <m:t>ijk</m:t>
                </m:r>
              </m:sub>
            </m:sSub>
            <m:r>
              <m:rPr>
                <m:sty m:val="p"/>
              </m:rPr>
              <w:rPr>
                <w:rFonts w:ascii="Cambria Math" w:eastAsiaTheme="minorEastAsia" w:hAnsi="Cambria Math" w:cstheme="minorHAnsi"/>
              </w:rPr>
              <m:t xml:space="preserve"> </m:t>
            </m:r>
          </m:e>
        </m:acc>
      </m:oMath>
      <w:r w:rsidRPr="005B4B48">
        <w:rPr>
          <w:rFonts w:eastAsiaTheme="minorEastAsia" w:cstheme="minorHAnsi"/>
        </w:rPr>
        <w:t xml:space="preserve"> is a generated variable, the standard errors need to be adjusted by bootstrapping across the three estimations. This exercise computationally infeasible as it will require many estimations. Although, the standard errors reported in the results are not correct, the coefficient for the selection effect variable is not only small but the influence of the other variables on export unit value are consistent with the results in Table 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B8"/>
    <w:rsid w:val="00703469"/>
    <w:rsid w:val="00753CA0"/>
    <w:rsid w:val="00AC3DA1"/>
    <w:rsid w:val="00CC7FB8"/>
    <w:rsid w:val="00D07031"/>
    <w:rsid w:val="00E93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25E5F"/>
  <w15:chartTrackingRefBased/>
  <w15:docId w15:val="{4FE94718-AC1B-4E8C-A4C9-9B948F8A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FB8"/>
    <w:pPr>
      <w:spacing w:after="200" w:line="240" w:lineRule="auto"/>
    </w:pPr>
    <w:rPr>
      <w:sz w:val="24"/>
      <w:szCs w:val="24"/>
    </w:rPr>
  </w:style>
  <w:style w:type="paragraph" w:styleId="Heading2">
    <w:name w:val="heading 2"/>
    <w:basedOn w:val="Normal"/>
    <w:next w:val="Normal"/>
    <w:link w:val="Heading2Char"/>
    <w:uiPriority w:val="9"/>
    <w:unhideWhenUsed/>
    <w:qFormat/>
    <w:rsid w:val="00CC7F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C7FB8"/>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7FB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C7FB8"/>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CC7FB8"/>
    <w:pPr>
      <w:spacing w:after="0"/>
    </w:pPr>
    <w:rPr>
      <w:sz w:val="20"/>
      <w:szCs w:val="20"/>
    </w:rPr>
  </w:style>
  <w:style w:type="character" w:customStyle="1" w:styleId="FootnoteTextChar">
    <w:name w:val="Footnote Text Char"/>
    <w:basedOn w:val="DefaultParagraphFont"/>
    <w:link w:val="FootnoteText"/>
    <w:uiPriority w:val="99"/>
    <w:semiHidden/>
    <w:rsid w:val="00CC7FB8"/>
    <w:rPr>
      <w:sz w:val="20"/>
      <w:szCs w:val="20"/>
    </w:rPr>
  </w:style>
  <w:style w:type="character" w:styleId="FootnoteReference">
    <w:name w:val="footnote reference"/>
    <w:basedOn w:val="DefaultParagraphFont"/>
    <w:uiPriority w:val="99"/>
    <w:semiHidden/>
    <w:unhideWhenUsed/>
    <w:rsid w:val="00CC7FB8"/>
    <w:rPr>
      <w:vertAlign w:val="superscript"/>
    </w:rPr>
  </w:style>
  <w:style w:type="paragraph" w:styleId="Footer">
    <w:name w:val="footer"/>
    <w:basedOn w:val="Normal"/>
    <w:link w:val="FooterChar"/>
    <w:uiPriority w:val="99"/>
    <w:unhideWhenUsed/>
    <w:rsid w:val="00CC7FB8"/>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C7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2233</Characters>
  <Application>Microsoft Office Word</Application>
  <DocSecurity>0</DocSecurity>
  <Lines>18</Lines>
  <Paragraphs>5</Paragraphs>
  <ScaleCrop>false</ScaleCrop>
  <Company>Springer Nature</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2023-09-27T07:01:00Z</dcterms:created>
  <dcterms:modified xsi:type="dcterms:W3CDTF">2023-09-27T07:01:00Z</dcterms:modified>
</cp:coreProperties>
</file>