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32EA8" w14:textId="77777777" w:rsidR="00457359" w:rsidRDefault="00457359" w:rsidP="00457359">
      <w:pPr>
        <w:rPr>
          <w:rFonts w:ascii="Arial" w:hAnsi="Arial" w:cs="Arial"/>
          <w:i/>
          <w:sz w:val="24"/>
          <w:szCs w:val="24"/>
        </w:rPr>
      </w:pPr>
      <w:bookmarkStart w:id="0" w:name="_GoBack"/>
      <w:bookmarkEnd w:id="0"/>
    </w:p>
    <w:tbl>
      <w:tblPr>
        <w:tblStyle w:val="PlainTable5"/>
        <w:tblpPr w:leftFromText="180" w:rightFromText="180" w:vertAnchor="text" w:horzAnchor="margin" w:tblpY="302"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7359" w14:paraId="5568C520" w14:textId="77777777" w:rsidTr="00457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4" w:type="dxa"/>
            <w:tcBorders>
              <w:top w:val="nil"/>
              <w:left w:val="nil"/>
            </w:tcBorders>
            <w:hideMark/>
          </w:tcPr>
          <w:p w14:paraId="57B18652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Cell line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hideMark/>
          </w:tcPr>
          <w:p w14:paraId="507AE6D5" w14:textId="77777777" w:rsidR="00457359" w:rsidRDefault="004573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Precision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hideMark/>
          </w:tcPr>
          <w:p w14:paraId="15F65A90" w14:textId="77777777" w:rsidR="00457359" w:rsidRDefault="004573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Recall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hideMark/>
          </w:tcPr>
          <w:p w14:paraId="26FD1058" w14:textId="77777777" w:rsidR="00457359" w:rsidRDefault="004573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F1-Score</w:t>
            </w:r>
          </w:p>
        </w:tc>
      </w:tr>
      <w:tr w:rsidR="00457359" w14:paraId="7AD37B76" w14:textId="77777777" w:rsidTr="00457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2F5F4F91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HET-1A</w:t>
            </w:r>
          </w:p>
        </w:tc>
        <w:tc>
          <w:tcPr>
            <w:tcW w:w="2254" w:type="dxa"/>
            <w:hideMark/>
          </w:tcPr>
          <w:p w14:paraId="767C3993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0.917</w:t>
            </w:r>
          </w:p>
        </w:tc>
        <w:tc>
          <w:tcPr>
            <w:tcW w:w="2254" w:type="dxa"/>
            <w:hideMark/>
          </w:tcPr>
          <w:p w14:paraId="16B9BCAF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0.917</w:t>
            </w:r>
          </w:p>
        </w:tc>
        <w:tc>
          <w:tcPr>
            <w:tcW w:w="2254" w:type="dxa"/>
            <w:hideMark/>
          </w:tcPr>
          <w:p w14:paraId="6E8837D9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0.905</w:t>
            </w:r>
          </w:p>
        </w:tc>
      </w:tr>
      <w:tr w:rsidR="00457359" w14:paraId="047E2710" w14:textId="77777777" w:rsidTr="00457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1E3452FC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CP-A</w:t>
            </w:r>
          </w:p>
        </w:tc>
        <w:tc>
          <w:tcPr>
            <w:tcW w:w="2254" w:type="dxa"/>
            <w:hideMark/>
          </w:tcPr>
          <w:p w14:paraId="58603D6D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0.624</w:t>
            </w:r>
          </w:p>
        </w:tc>
        <w:tc>
          <w:tcPr>
            <w:tcW w:w="2254" w:type="dxa"/>
            <w:hideMark/>
          </w:tcPr>
          <w:p w14:paraId="7F215B0E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0.624</w:t>
            </w:r>
          </w:p>
        </w:tc>
        <w:tc>
          <w:tcPr>
            <w:tcW w:w="2254" w:type="dxa"/>
            <w:hideMark/>
          </w:tcPr>
          <w:p w14:paraId="3DAF2DD5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0.610</w:t>
            </w:r>
          </w:p>
        </w:tc>
      </w:tr>
      <w:tr w:rsidR="00457359" w14:paraId="33CB2F92" w14:textId="77777777" w:rsidTr="00457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76AD4CC1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CP-D</w:t>
            </w:r>
          </w:p>
        </w:tc>
        <w:tc>
          <w:tcPr>
            <w:tcW w:w="2254" w:type="dxa"/>
            <w:hideMark/>
          </w:tcPr>
          <w:p w14:paraId="71666DF0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0.644</w:t>
            </w:r>
          </w:p>
        </w:tc>
        <w:tc>
          <w:tcPr>
            <w:tcW w:w="2254" w:type="dxa"/>
            <w:hideMark/>
          </w:tcPr>
          <w:p w14:paraId="01948AB3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0.644</w:t>
            </w:r>
          </w:p>
        </w:tc>
        <w:tc>
          <w:tcPr>
            <w:tcW w:w="2254" w:type="dxa"/>
            <w:hideMark/>
          </w:tcPr>
          <w:p w14:paraId="3A99A7E8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0.63</w:t>
            </w:r>
          </w:p>
        </w:tc>
      </w:tr>
      <w:tr w:rsidR="00457359" w14:paraId="323D0311" w14:textId="77777777" w:rsidTr="00457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14ECD380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OE19</w:t>
            </w:r>
          </w:p>
        </w:tc>
        <w:tc>
          <w:tcPr>
            <w:tcW w:w="2254" w:type="dxa"/>
            <w:hideMark/>
          </w:tcPr>
          <w:p w14:paraId="5C7A98B6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0.833</w:t>
            </w:r>
          </w:p>
        </w:tc>
        <w:tc>
          <w:tcPr>
            <w:tcW w:w="2254" w:type="dxa"/>
            <w:hideMark/>
          </w:tcPr>
          <w:p w14:paraId="66415555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0.833</w:t>
            </w:r>
          </w:p>
        </w:tc>
        <w:tc>
          <w:tcPr>
            <w:tcW w:w="2254" w:type="dxa"/>
            <w:hideMark/>
          </w:tcPr>
          <w:p w14:paraId="73738833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0.938</w:t>
            </w:r>
          </w:p>
        </w:tc>
      </w:tr>
    </w:tbl>
    <w:p w14:paraId="69AB6470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6F38FE8B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i/>
          <w:sz w:val="24"/>
          <w:szCs w:val="24"/>
        </w:rPr>
      </w:pPr>
    </w:p>
    <w:p w14:paraId="7889FCE0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i/>
          <w:sz w:val="24"/>
          <w:szCs w:val="24"/>
        </w:rPr>
      </w:pPr>
    </w:p>
    <w:p w14:paraId="60B70A3F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i/>
          <w:sz w:val="24"/>
          <w:szCs w:val="24"/>
        </w:rPr>
      </w:pPr>
    </w:p>
    <w:p w14:paraId="6910E9E0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Table S1: Precision, recall and F1-scores for 4-fold cross-validation analysis of the LDA scores for HET-1A (healthy), CP-A (non-dysplastic), CP-D (severely dysplastic), and OE19 (cancerous) single cells. The average model accuracy for this analysis was 88 %. </w:t>
      </w:r>
    </w:p>
    <w:p w14:paraId="48E93228" w14:textId="77777777" w:rsidR="00457359" w:rsidRDefault="00457359" w:rsidP="00457359">
      <w:pPr>
        <w:rPr>
          <w:rFonts w:ascii="Arial" w:hAnsi="Arial" w:cs="Arial"/>
          <w:i/>
          <w:sz w:val="24"/>
          <w:szCs w:val="24"/>
        </w:rPr>
      </w:pPr>
    </w:p>
    <w:p w14:paraId="35360512" w14:textId="77777777" w:rsidR="00457359" w:rsidRDefault="00457359" w:rsidP="00457359">
      <w:pPr>
        <w:rPr>
          <w:rFonts w:ascii="Arial" w:hAnsi="Arial" w:cs="Arial"/>
          <w:b/>
          <w:i/>
          <w:sz w:val="24"/>
          <w:szCs w:val="24"/>
        </w:rPr>
      </w:pPr>
    </w:p>
    <w:p w14:paraId="746D4386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EC47088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11DC6D4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E61A06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2253BD7B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198C94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D6ED8CC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07FFDC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93871CC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5726E2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tbl>
      <w:tblPr>
        <w:tblStyle w:val="PlainTable5"/>
        <w:tblW w:w="0" w:type="auto"/>
        <w:tblInd w:w="0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457359" w14:paraId="6DED76E5" w14:textId="77777777" w:rsidTr="004573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54" w:type="dxa"/>
            <w:tcBorders>
              <w:top w:val="nil"/>
              <w:left w:val="nil"/>
            </w:tcBorders>
            <w:hideMark/>
          </w:tcPr>
          <w:p w14:paraId="61F8F209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Cell line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hideMark/>
          </w:tcPr>
          <w:p w14:paraId="266A26A0" w14:textId="77777777" w:rsidR="00457359" w:rsidRDefault="004573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Precision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hideMark/>
          </w:tcPr>
          <w:p w14:paraId="51589C6B" w14:textId="77777777" w:rsidR="00457359" w:rsidRDefault="004573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Recall</w:t>
            </w:r>
          </w:p>
        </w:tc>
        <w:tc>
          <w:tcPr>
            <w:tcW w:w="2254" w:type="dxa"/>
            <w:tcBorders>
              <w:top w:val="nil"/>
              <w:left w:val="nil"/>
              <w:right w:val="nil"/>
            </w:tcBorders>
            <w:hideMark/>
          </w:tcPr>
          <w:p w14:paraId="4F759BF9" w14:textId="77777777" w:rsidR="00457359" w:rsidRDefault="00457359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caps/>
                <w:sz w:val="24"/>
                <w:szCs w:val="24"/>
              </w:rPr>
              <w:t>F1-Score</w:t>
            </w:r>
          </w:p>
        </w:tc>
      </w:tr>
      <w:tr w:rsidR="00457359" w14:paraId="3EC153C4" w14:textId="77777777" w:rsidTr="00457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49F72E6B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CP-B</w:t>
            </w:r>
          </w:p>
        </w:tc>
        <w:tc>
          <w:tcPr>
            <w:tcW w:w="2254" w:type="dxa"/>
            <w:hideMark/>
          </w:tcPr>
          <w:p w14:paraId="2ABCA932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0.799</w:t>
            </w:r>
          </w:p>
        </w:tc>
        <w:tc>
          <w:tcPr>
            <w:tcW w:w="2254" w:type="dxa"/>
            <w:hideMark/>
          </w:tcPr>
          <w:p w14:paraId="22B3B357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0.799</w:t>
            </w:r>
          </w:p>
        </w:tc>
        <w:tc>
          <w:tcPr>
            <w:tcW w:w="2254" w:type="dxa"/>
            <w:hideMark/>
          </w:tcPr>
          <w:p w14:paraId="62F3D1B7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0.8424</w:t>
            </w:r>
          </w:p>
        </w:tc>
      </w:tr>
      <w:tr w:rsidR="00457359" w14:paraId="009BDA69" w14:textId="77777777" w:rsidTr="004573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19B74A77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CP-C</w:t>
            </w:r>
          </w:p>
        </w:tc>
        <w:tc>
          <w:tcPr>
            <w:tcW w:w="2254" w:type="dxa"/>
            <w:hideMark/>
          </w:tcPr>
          <w:p w14:paraId="27B07CEA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0.931</w:t>
            </w:r>
          </w:p>
        </w:tc>
        <w:tc>
          <w:tcPr>
            <w:tcW w:w="2254" w:type="dxa"/>
            <w:hideMark/>
          </w:tcPr>
          <w:p w14:paraId="38B4F400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0.931</w:t>
            </w:r>
          </w:p>
        </w:tc>
        <w:tc>
          <w:tcPr>
            <w:tcW w:w="2254" w:type="dxa"/>
            <w:hideMark/>
          </w:tcPr>
          <w:p w14:paraId="1101796C" w14:textId="77777777" w:rsidR="00457359" w:rsidRDefault="0045735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0.878</w:t>
            </w:r>
          </w:p>
        </w:tc>
      </w:tr>
      <w:tr w:rsidR="00457359" w14:paraId="26C3D62F" w14:textId="77777777" w:rsidTr="00457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4" w:type="dxa"/>
            <w:tcBorders>
              <w:top w:val="nil"/>
              <w:left w:val="nil"/>
              <w:bottom w:val="nil"/>
            </w:tcBorders>
            <w:hideMark/>
          </w:tcPr>
          <w:p w14:paraId="7616AE21" w14:textId="77777777" w:rsidR="00457359" w:rsidRDefault="00457359">
            <w:pPr>
              <w:spacing w:line="240" w:lineRule="auto"/>
              <w:jc w:val="center"/>
              <w:rPr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Fonts w:ascii="Arial" w:hAnsi="Arial" w:cs="Arial"/>
                <w:i w:val="0"/>
                <w:sz w:val="24"/>
                <w:szCs w:val="24"/>
              </w:rPr>
              <w:t>CP-D</w:t>
            </w:r>
          </w:p>
        </w:tc>
        <w:tc>
          <w:tcPr>
            <w:tcW w:w="2254" w:type="dxa"/>
            <w:hideMark/>
          </w:tcPr>
          <w:p w14:paraId="5F232CD6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0.913</w:t>
            </w:r>
          </w:p>
        </w:tc>
        <w:tc>
          <w:tcPr>
            <w:tcW w:w="2254" w:type="dxa"/>
            <w:hideMark/>
          </w:tcPr>
          <w:p w14:paraId="637BF511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0.913</w:t>
            </w:r>
          </w:p>
        </w:tc>
        <w:tc>
          <w:tcPr>
            <w:tcW w:w="2254" w:type="dxa"/>
            <w:hideMark/>
          </w:tcPr>
          <w:p w14:paraId="25757986" w14:textId="77777777" w:rsidR="00457359" w:rsidRDefault="0045735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0.921</w:t>
            </w:r>
          </w:p>
        </w:tc>
      </w:tr>
    </w:tbl>
    <w:p w14:paraId="41FC8E02" w14:textId="77777777" w:rsidR="00457359" w:rsidRDefault="00457359" w:rsidP="00457359">
      <w:pPr>
        <w:spacing w:line="480" w:lineRule="auto"/>
        <w:rPr>
          <w:rFonts w:ascii="Arial" w:hAnsi="Arial" w:cs="Arial"/>
          <w:sz w:val="24"/>
          <w:szCs w:val="24"/>
        </w:rPr>
      </w:pPr>
    </w:p>
    <w:p w14:paraId="10E0C0C4" w14:textId="77777777" w:rsidR="00457359" w:rsidRDefault="00457359" w:rsidP="00457359">
      <w:pPr>
        <w:spacing w:line="480" w:lineRule="auto"/>
        <w:rPr>
          <w:rFonts w:ascii="Arial" w:hAnsi="Arial" w:cs="Arial"/>
          <w:sz w:val="24"/>
          <w:szCs w:val="24"/>
        </w:rPr>
      </w:pPr>
    </w:p>
    <w:p w14:paraId="194FD11C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Table S2: </w:t>
      </w:r>
      <w:r>
        <w:rPr>
          <w:rFonts w:ascii="Arial" w:hAnsi="Arial" w:cs="Arial"/>
          <w:sz w:val="24"/>
          <w:szCs w:val="24"/>
        </w:rPr>
        <w:t xml:space="preserve">Precision, recall and F1-scores for 4-fold cross-validation analysis of the LDA scores for CP-B (mild dysplasia), CP-C (moderate dysplasia) and CP-D (severe dysplasia) single cells. The average accuracy for this classification model was 92 %. </w:t>
      </w:r>
    </w:p>
    <w:p w14:paraId="2615D19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2E16BDC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97BB4B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9D1A601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ADA4B0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37E3800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C36F84C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3E03A1B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C21BDA7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5759113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A4B64D6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96844E7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0281F9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E51D819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4DC1FE9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5168" behindDoc="1" locked="0" layoutInCell="1" allowOverlap="1" wp14:anchorId="05EF750D" wp14:editId="4E6A34AF">
            <wp:simplePos x="0" y="0"/>
            <wp:positionH relativeFrom="column">
              <wp:posOffset>0</wp:posOffset>
            </wp:positionH>
            <wp:positionV relativeFrom="page">
              <wp:posOffset>1022985</wp:posOffset>
            </wp:positionV>
            <wp:extent cx="5708015" cy="5090160"/>
            <wp:effectExtent l="0" t="0" r="6985" b="0"/>
            <wp:wrapTight wrapText="bothSides">
              <wp:wrapPolygon edited="0">
                <wp:start x="0" y="0"/>
                <wp:lineTo x="0" y="21503"/>
                <wp:lineTo x="21554" y="21503"/>
                <wp:lineTo x="2155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509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Figure S1: 2D plot representing the variance explained and the cumulative variance for HET-1A (healthy) vs OE19 (cancerous) single cells. Analysis of this data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can be found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in Figure 3. </w:t>
      </w:r>
    </w:p>
    <w:p w14:paraId="0BC0E58B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232CC4F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1D498C3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3F5552D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5D14BC7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955067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DE679D2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DDC3EBD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5B7409EB" wp14:editId="0DAD6F3D">
            <wp:simplePos x="0" y="0"/>
            <wp:positionH relativeFrom="column">
              <wp:posOffset>278765</wp:posOffset>
            </wp:positionH>
            <wp:positionV relativeFrom="page">
              <wp:posOffset>1433830</wp:posOffset>
            </wp:positionV>
            <wp:extent cx="5285740" cy="3267710"/>
            <wp:effectExtent l="0" t="0" r="0" b="0"/>
            <wp:wrapTight wrapText="bothSides">
              <wp:wrapPolygon edited="0">
                <wp:start x="2569" y="504"/>
                <wp:lineTo x="2569" y="1889"/>
                <wp:lineTo x="4671" y="2770"/>
                <wp:lineTo x="7629" y="2770"/>
                <wp:lineTo x="7629" y="3652"/>
                <wp:lineTo x="9420" y="4785"/>
                <wp:lineTo x="10743" y="4785"/>
                <wp:lineTo x="10743" y="6800"/>
                <wp:lineTo x="2569" y="8311"/>
                <wp:lineTo x="2569" y="9696"/>
                <wp:lineTo x="5683" y="10829"/>
                <wp:lineTo x="7863" y="10829"/>
                <wp:lineTo x="7863" y="11459"/>
                <wp:lineTo x="9887" y="12844"/>
                <wp:lineTo x="10743" y="12844"/>
                <wp:lineTo x="10743" y="14859"/>
                <wp:lineTo x="3892" y="15866"/>
                <wp:lineTo x="3270" y="16118"/>
                <wp:lineTo x="3270" y="17377"/>
                <wp:lineTo x="8875" y="18888"/>
                <wp:lineTo x="10509" y="18888"/>
                <wp:lineTo x="10587" y="19392"/>
                <wp:lineTo x="18138" y="19392"/>
                <wp:lineTo x="18216" y="16118"/>
                <wp:lineTo x="16659" y="15740"/>
                <wp:lineTo x="10665" y="14859"/>
                <wp:lineTo x="10743" y="12844"/>
                <wp:lineTo x="13623" y="12844"/>
                <wp:lineTo x="20707" y="11459"/>
                <wp:lineTo x="20785" y="10074"/>
                <wp:lineTo x="20396" y="9822"/>
                <wp:lineTo x="17126" y="8689"/>
                <wp:lineTo x="10665" y="6800"/>
                <wp:lineTo x="10743" y="4785"/>
                <wp:lineTo x="20085" y="3904"/>
                <wp:lineTo x="20396" y="2393"/>
                <wp:lineTo x="20085" y="2141"/>
                <wp:lineTo x="16037" y="504"/>
                <wp:lineTo x="2569" y="504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3267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5F9D26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601C6F07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DDC5089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80A6E50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336C509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731B92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9998ABA" w14:textId="77777777" w:rsidR="00457359" w:rsidRDefault="00457359" w:rsidP="00457359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Figure S2: Definitions for precision, recall and F1 score as used for statistical analysis. Precision, or positive predictive value,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can be calculated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by dividing the true positive value over the sum of the true positive + the false positive. Recall, also known as sensitivity or true positive rate, is determined by dividing the true positive value over the sum of the true positive + false negative. The F1 score is accounts for both the precision and the recall value, calculating the mean and gives us a better measure than accuracy alone. For this, divide the sum of (precision * recall) over (precision + recall) and multiplying the output value by 2. The F1 score is a larger value only if the precision and recall values are close to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1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26BCED3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CEA328C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FA1D9AF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F28EA96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FBC586E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9948EE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7216" behindDoc="1" locked="0" layoutInCell="1" allowOverlap="1" wp14:anchorId="51913C18" wp14:editId="4BBB42C1">
            <wp:simplePos x="0" y="0"/>
            <wp:positionH relativeFrom="column">
              <wp:posOffset>0</wp:posOffset>
            </wp:positionH>
            <wp:positionV relativeFrom="page">
              <wp:posOffset>913765</wp:posOffset>
            </wp:positionV>
            <wp:extent cx="5729605" cy="4654550"/>
            <wp:effectExtent l="0" t="0" r="4445" b="0"/>
            <wp:wrapTight wrapText="bothSides">
              <wp:wrapPolygon edited="0">
                <wp:start x="0" y="0"/>
                <wp:lineTo x="0" y="21482"/>
                <wp:lineTo x="21545" y="21482"/>
                <wp:lineTo x="2154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465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>Supplementary Figure S3: Truncated Raman spectra (800 -1800 cm-1) for each stage of cancer development. The healthy (HET-1A), non-dysplastic (CP-A), severely dysplastic (CP-D) and cancerous (OE19) cell lines are represented by red, cyan, purple and green spectra, respectively</w:t>
      </w:r>
      <w:r>
        <w:rPr>
          <w:rFonts w:ascii="Arial" w:hAnsi="Arial" w:cs="Arial"/>
          <w:i/>
          <w:sz w:val="24"/>
          <w:szCs w:val="24"/>
        </w:rPr>
        <w:t xml:space="preserve">. </w:t>
      </w:r>
    </w:p>
    <w:p w14:paraId="0E8FAB8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8B518F0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68A8B6D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C139F13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7CA8AD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03E673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650AEA38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EC8517D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69FCBE60" wp14:editId="20206808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22620" cy="2219960"/>
            <wp:effectExtent l="0" t="0" r="0" b="8890"/>
            <wp:wrapTight wrapText="bothSides">
              <wp:wrapPolygon edited="0">
                <wp:start x="647" y="0"/>
                <wp:lineTo x="216" y="2410"/>
                <wp:lineTo x="216" y="2966"/>
                <wp:lineTo x="647" y="2966"/>
                <wp:lineTo x="647" y="21501"/>
                <wp:lineTo x="21499" y="21501"/>
                <wp:lineTo x="21499" y="185"/>
                <wp:lineTo x="11289" y="0"/>
                <wp:lineTo x="647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2219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Figure S4:  (a) 2D plot representing the variance explained and the cumulative variance for HET-1A (healthy), CP-A (non-dysplastic), CP-D (severely dysplastic) and OE19 (cancerous) single cells. (b) The PC loadings from the data shown in Figure 4. Bands of interest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have been highlighted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in blue.   </w:t>
      </w:r>
    </w:p>
    <w:p w14:paraId="15EB1EE0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80C3197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6D7733B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26C5E33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6266941B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144CB7E3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E373E67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861E571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2EABC25F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1" locked="0" layoutInCell="1" allowOverlap="1" wp14:anchorId="1643B7C0" wp14:editId="3EED071C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5713095" cy="4434840"/>
            <wp:effectExtent l="0" t="0" r="1905" b="3810"/>
            <wp:wrapTight wrapText="bothSides">
              <wp:wrapPolygon edited="0">
                <wp:start x="0" y="0"/>
                <wp:lineTo x="0" y="21526"/>
                <wp:lineTo x="21535" y="21526"/>
                <wp:lineTo x="21535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43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4C7155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Figure S5:  2D plot representing the variance explained and the cumulative variance for mild (CP-B), moderate (CP-C) and severe (CP-D) BO.  </w:t>
      </w:r>
    </w:p>
    <w:p w14:paraId="25A493E9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5CB16CE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4B36A96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0B0E136A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60B7D0F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71C98116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5A6A249F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350BDCE0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</w:p>
    <w:p w14:paraId="2325538B" w14:textId="77777777" w:rsidR="00457359" w:rsidRDefault="00457359" w:rsidP="00457359">
      <w:pPr>
        <w:spacing w:line="48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26368627" wp14:editId="14C55CDD">
            <wp:simplePos x="0" y="0"/>
            <wp:positionH relativeFrom="margin">
              <wp:posOffset>0</wp:posOffset>
            </wp:positionH>
            <wp:positionV relativeFrom="page">
              <wp:posOffset>914400</wp:posOffset>
            </wp:positionV>
            <wp:extent cx="5827395" cy="4469130"/>
            <wp:effectExtent l="0" t="0" r="1905" b="7620"/>
            <wp:wrapTight wrapText="bothSides">
              <wp:wrapPolygon edited="0">
                <wp:start x="0" y="0"/>
                <wp:lineTo x="0" y="21545"/>
                <wp:lineTo x="21536" y="21545"/>
                <wp:lineTo x="2153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4469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000000" w:themeColor="text1"/>
          <w:sz w:val="24"/>
          <w:szCs w:val="24"/>
        </w:rPr>
        <w:t xml:space="preserve">Supplementary Figure S6: Raman spectral plot demonstrating extended multiplicative signal correction (EMSC) on non-dysplastic (CP-A) single cell data. Offset spectrum of PDMS (grey), biological CP-A single cells on quartz (red) and raw CP-A single cells (blue) is shown in ascending order, with the corrected spectrum (green). Grey shaded bands </w:t>
      </w:r>
      <w:proofErr w:type="gramStart"/>
      <w:r>
        <w:rPr>
          <w:rFonts w:ascii="Arial" w:hAnsi="Arial" w:cs="Arial"/>
          <w:color w:val="000000" w:themeColor="text1"/>
          <w:sz w:val="24"/>
          <w:szCs w:val="24"/>
        </w:rPr>
        <w:t>are shown</w:t>
      </w:r>
      <w:proofErr w:type="gramEnd"/>
      <w:r>
        <w:rPr>
          <w:rFonts w:ascii="Arial" w:hAnsi="Arial" w:cs="Arial"/>
          <w:color w:val="000000" w:themeColor="text1"/>
          <w:sz w:val="24"/>
          <w:szCs w:val="24"/>
        </w:rPr>
        <w:t xml:space="preserve"> to highlight the removal of the PDMS bands in the final spectrum used for analysis. </w:t>
      </w:r>
    </w:p>
    <w:p w14:paraId="6A02D0FD" w14:textId="77777777" w:rsidR="00457359" w:rsidRDefault="00457359" w:rsidP="00457359">
      <w:pPr>
        <w:spacing w:line="480" w:lineRule="auto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. </w:t>
      </w:r>
    </w:p>
    <w:p w14:paraId="09185D6B" w14:textId="77777777" w:rsidR="00457359" w:rsidRDefault="00457359" w:rsidP="00457359">
      <w:pPr>
        <w:rPr>
          <w:rFonts w:ascii="Arial" w:hAnsi="Arial" w:cs="Arial"/>
          <w:i/>
          <w:sz w:val="24"/>
          <w:szCs w:val="24"/>
        </w:rPr>
      </w:pPr>
    </w:p>
    <w:p w14:paraId="06C48DBE" w14:textId="77777777" w:rsidR="00457359" w:rsidRDefault="00457359" w:rsidP="00457359">
      <w:pPr>
        <w:rPr>
          <w:rFonts w:ascii="Arial" w:hAnsi="Arial" w:cs="Arial"/>
          <w:i/>
          <w:sz w:val="24"/>
          <w:szCs w:val="24"/>
        </w:rPr>
      </w:pPr>
    </w:p>
    <w:p w14:paraId="3D7E6A85" w14:textId="77777777" w:rsidR="00457359" w:rsidRDefault="00457359" w:rsidP="00457359"/>
    <w:p w14:paraId="35C94882" w14:textId="77777777" w:rsidR="00C27635" w:rsidRDefault="00EC1D7A"/>
    <w:sectPr w:rsidR="00C276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359"/>
    <w:rsid w:val="00422CC2"/>
    <w:rsid w:val="00457359"/>
    <w:rsid w:val="004C5DD7"/>
    <w:rsid w:val="005D7609"/>
    <w:rsid w:val="00BA03E5"/>
    <w:rsid w:val="00EC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A1B98"/>
  <w15:chartTrackingRefBased/>
  <w15:docId w15:val="{D56BB503-3DBF-4168-ABB4-AB94B74A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359"/>
    <w:pPr>
      <w:spacing w:line="25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457359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8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36d0d0d-ad9d-46ed-bb4b-fb0a60dc2e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8449F549D2D340A3847BEC0DE21FCE" ma:contentTypeVersion="16" ma:contentTypeDescription="Create a new document." ma:contentTypeScope="" ma:versionID="e4479e4228d28e92d243eec70c030edd">
  <xsd:schema xmlns:xsd="http://www.w3.org/2001/XMLSchema" xmlns:xs="http://www.w3.org/2001/XMLSchema" xmlns:p="http://schemas.microsoft.com/office/2006/metadata/properties" xmlns:ns3="a36d0d0d-ad9d-46ed-bb4b-fb0a60dc2e5e" xmlns:ns4="04a94e72-589d-4553-900f-390d64229104" targetNamespace="http://schemas.microsoft.com/office/2006/metadata/properties" ma:root="true" ma:fieldsID="97b7ad918eb0b1fd453c78c3b0804be7" ns3:_="" ns4:_="">
    <xsd:import namespace="a36d0d0d-ad9d-46ed-bb4b-fb0a60dc2e5e"/>
    <xsd:import namespace="04a94e72-589d-4553-900f-390d6422910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d0d0d-ad9d-46ed-bb4b-fb0a60dc2e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94e72-589d-4553-900f-390d642291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C34F99-FB8B-4558-906D-D6ED7F1013CD}">
  <ds:schemaRefs>
    <ds:schemaRef ds:uri="http://schemas.microsoft.com/office/2006/metadata/properties"/>
    <ds:schemaRef ds:uri="http://schemas.microsoft.com/office/infopath/2007/PartnerControls"/>
    <ds:schemaRef ds:uri="a36d0d0d-ad9d-46ed-bb4b-fb0a60dc2e5e"/>
  </ds:schemaRefs>
</ds:datastoreItem>
</file>

<file path=customXml/itemProps2.xml><?xml version="1.0" encoding="utf-8"?>
<ds:datastoreItem xmlns:ds="http://schemas.openxmlformats.org/officeDocument/2006/customXml" ds:itemID="{DAF0A7BF-DA62-4581-BA0B-BF38EBDE60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1B28D5-06B3-4A8E-A272-2780A86A34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6d0d0d-ad9d-46ed-bb4b-fb0a60dc2e5e"/>
    <ds:schemaRef ds:uri="04a94e72-589d-4553-900f-390d642291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Alisha Farooq</dc:creator>
  <cp:keywords/>
  <dc:description/>
  <cp:lastModifiedBy>Alisha Farooq</cp:lastModifiedBy>
  <cp:revision>2</cp:revision>
  <dcterms:created xsi:type="dcterms:W3CDTF">2023-08-23T10:33:00Z</dcterms:created>
  <dcterms:modified xsi:type="dcterms:W3CDTF">2023-08-23T10:33:00Z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0x0101006A8449F549D2D340A3847BEC0DE21FCE</vt:lpwstr>
  </property>
</Properties>
</file>