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94FEC" w14:textId="3BA02069" w:rsidR="00F61F12" w:rsidRDefault="00CB7C11" w:rsidP="00F61F12">
      <w:pPr>
        <w:autoSpaceDE w:val="0"/>
        <w:autoSpaceDN w:val="0"/>
        <w:adjustRightInd w:val="0"/>
        <w:jc w:val="left"/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435706B7" wp14:editId="61134738">
            <wp:extent cx="5391150" cy="3028950"/>
            <wp:effectExtent l="0" t="0" r="0" b="0"/>
            <wp:docPr id="63973251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1F12" w:rsidRPr="00F61F12"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  <w:t>Supplementary Figure 1. A representative case of a 56-year-old man with temporal</w:t>
      </w:r>
      <w:r w:rsidR="00F61F12" w:rsidRPr="00F61F12"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  <w:t xml:space="preserve">　</w:t>
      </w:r>
      <w:r w:rsidR="00F61F12" w:rsidRPr="00F61F12"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  <w:t>glioblastoma demonstrating brain shift throughout treatment</w:t>
      </w:r>
      <w:r w:rsidR="00F61F12" w:rsidRPr="00F61F12">
        <w:rPr>
          <w:rFonts w:ascii="Times New Roman" w:eastAsia="TimesNewRomanPS-BoldMT" w:hAnsi="Times New Roman" w:cs="Times New Roman"/>
          <w:b/>
          <w:bCs/>
          <w:kern w:val="0"/>
          <w:sz w:val="24"/>
          <w:szCs w:val="24"/>
        </w:rPr>
        <w:t xml:space="preserve">　</w:t>
      </w:r>
    </w:p>
    <w:p w14:paraId="4D71588F" w14:textId="6A2FDC6C" w:rsidR="00323665" w:rsidRDefault="00F61F12" w:rsidP="00F61F12">
      <w:pPr>
        <w:autoSpaceDE w:val="0"/>
        <w:autoSpaceDN w:val="0"/>
        <w:adjustRightInd w:val="0"/>
        <w:jc w:val="left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Gadolinium-enhanced T1-weighted images (Gd-T1WI) taken before </w:t>
      </w:r>
      <w:r w:rsidR="000B2256">
        <w:rPr>
          <w:rFonts w:ascii="Times New Roman" w:eastAsia="TimesNewRomanPSMT" w:hAnsi="Times New Roman" w:cs="Times New Roman"/>
          <w:kern w:val="0"/>
          <w:sz w:val="24"/>
          <w:szCs w:val="24"/>
        </w:rPr>
        <w:t>(</w:t>
      </w:r>
      <w:r w:rsidR="000B2256"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>a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), the day after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tumor resection, at the end of initial treatment with radiotherapy and temozolomide, and</w:t>
      </w:r>
      <w:r>
        <w:rPr>
          <w:rFonts w:ascii="Times New Roman" w:eastAsia="TimesNewRomanPSMT" w:hAnsi="Times New Roman" w:cs="Times New Roman" w:hint="eastAsia"/>
          <w:kern w:val="0"/>
          <w:sz w:val="24"/>
          <w:szCs w:val="24"/>
        </w:rPr>
        <w:t xml:space="preserve">　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after recurrence (</w:t>
      </w:r>
      <w:r w:rsidR="000B2256">
        <w:rPr>
          <w:rFonts w:ascii="Times New Roman" w:eastAsia="TimesNewRomanPSMT" w:hAnsi="Times New Roman" w:cs="Times New Roman"/>
          <w:kern w:val="0"/>
          <w:sz w:val="24"/>
          <w:szCs w:val="24"/>
        </w:rPr>
        <w:t>b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) were fused with iPlan software (BRAINLAB, Munich, Germany). The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red (</w:t>
      </w:r>
      <w:r w:rsidR="000B2256">
        <w:rPr>
          <w:rFonts w:ascii="Times New Roman" w:eastAsia="TimesNewRomanPSMT" w:hAnsi="Times New Roman" w:cs="Times New Roman"/>
          <w:kern w:val="0"/>
          <w:sz w:val="24"/>
          <w:szCs w:val="24"/>
        </w:rPr>
        <w:t>a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and </w:t>
      </w:r>
      <w:r w:rsidR="000B2256">
        <w:rPr>
          <w:rFonts w:ascii="Times New Roman" w:eastAsia="TimesNewRomanPSMT" w:hAnsi="Times New Roman" w:cs="Times New Roman"/>
          <w:kern w:val="0"/>
          <w:sz w:val="24"/>
          <w:szCs w:val="24"/>
        </w:rPr>
        <w:t>b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), yellow (</w:t>
      </w:r>
      <w:r w:rsidR="000B2256">
        <w:rPr>
          <w:rFonts w:ascii="Times New Roman" w:eastAsia="TimesNewRomanPSMT" w:hAnsi="Times New Roman" w:cs="Times New Roman"/>
          <w:kern w:val="0"/>
          <w:sz w:val="24"/>
          <w:szCs w:val="24"/>
        </w:rPr>
        <w:t>b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), and blue (</w:t>
      </w:r>
      <w:r w:rsidR="000B2256">
        <w:rPr>
          <w:rFonts w:ascii="Times New Roman" w:eastAsia="TimesNewRomanPSMT" w:hAnsi="Times New Roman" w:cs="Times New Roman"/>
          <w:kern w:val="0"/>
          <w:sz w:val="24"/>
          <w:szCs w:val="24"/>
        </w:rPr>
        <w:t>b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) lines represent the location of the enhanced lesion,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the resection cavity the day after tumor resection, and the resection cavity after initial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treatment, respectively. Note that the tumor resection cavity drastically changes from a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yellow to a blue line, but the outlines of the resection cavity at the recurrence are consistent</w:t>
      </w:r>
      <w:r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with the blue line (</w:t>
      </w:r>
      <w:r w:rsidR="000B2256">
        <w:rPr>
          <w:rFonts w:ascii="Times New Roman" w:eastAsia="TimesNewRomanPSMT" w:hAnsi="Times New Roman" w:cs="Times New Roman"/>
          <w:kern w:val="0"/>
          <w:sz w:val="24"/>
          <w:szCs w:val="24"/>
        </w:rPr>
        <w:t>b</w:t>
      </w:r>
      <w:r w:rsidRPr="00F61F12">
        <w:rPr>
          <w:rFonts w:ascii="Times New Roman" w:eastAsia="TimesNewRomanPSMT" w:hAnsi="Times New Roman" w:cs="Times New Roman"/>
          <w:kern w:val="0"/>
          <w:sz w:val="24"/>
          <w:szCs w:val="24"/>
        </w:rPr>
        <w:t>).</w:t>
      </w:r>
    </w:p>
    <w:p w14:paraId="61C0C94E" w14:textId="090839A9" w:rsidR="00CB7C11" w:rsidRDefault="00CB7C11">
      <w:pPr>
        <w:widowControl/>
        <w:jc w:val="left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>
        <w:rPr>
          <w:rFonts w:ascii="Times New Roman" w:eastAsia="TimesNewRomanPSMT" w:hAnsi="Times New Roman" w:cs="Times New Roman"/>
          <w:kern w:val="0"/>
          <w:sz w:val="24"/>
          <w:szCs w:val="24"/>
        </w:rPr>
        <w:br w:type="page"/>
      </w:r>
    </w:p>
    <w:p w14:paraId="1B98AFE2" w14:textId="151F1E60" w:rsidR="00F61F12" w:rsidRDefault="00CB7C11" w:rsidP="00F61F12">
      <w:pPr>
        <w:autoSpaceDE w:val="0"/>
        <w:autoSpaceDN w:val="0"/>
        <w:adjustRightInd w:val="0"/>
        <w:jc w:val="left"/>
        <w:rPr>
          <w:rFonts w:ascii="Times New Roman" w:eastAsia="TimesNewRomanPSMT" w:hAnsi="Times New Roman" w:cs="Times New Roman"/>
          <w:kern w:val="0"/>
          <w:sz w:val="24"/>
          <w:szCs w:val="24"/>
        </w:rPr>
      </w:pPr>
      <w:r>
        <w:rPr>
          <w:rFonts w:ascii="Times New Roman" w:eastAsia="TimesNewRomanPSMT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461D580" wp14:editId="326984F9">
            <wp:extent cx="5391150" cy="3028950"/>
            <wp:effectExtent l="0" t="0" r="0" b="0"/>
            <wp:docPr id="166632651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424B4" w14:textId="091B2235" w:rsidR="00F61F12" w:rsidRDefault="00F61F12" w:rsidP="00F61F12">
      <w:pPr>
        <w:autoSpaceDE w:val="0"/>
        <w:autoSpaceDN w:val="0"/>
        <w:adjustRightInd w:val="0"/>
        <w:jc w:val="left"/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</w:pPr>
      <w:r w:rsidRPr="00F61F12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Supplementary Figure 2. Kaplan–Meier analysis of progression-free survival (PFS)</w:t>
      </w:r>
      <w:r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(</w:t>
      </w:r>
      <w:r w:rsidR="000B2256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a</w:t>
      </w:r>
      <w:r w:rsidRPr="00F61F12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), local PFS (</w:t>
      </w:r>
      <w:r w:rsidR="000B2256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b</w:t>
      </w:r>
      <w:r w:rsidRPr="00F61F12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), and overall survival (OS) (</w:t>
      </w:r>
      <w:r w:rsidR="000B2256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c</w:t>
      </w:r>
      <w:r w:rsidRPr="00F61F12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) rates for the T2R (black) and T2V</w:t>
      </w:r>
      <w:r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-BoldMT" w:hAnsi="Times New Roman" w:cs="Times New Roman"/>
          <w:b/>
          <w:bCs/>
          <w:color w:val="000000"/>
          <w:kern w:val="0"/>
          <w:sz w:val="24"/>
          <w:szCs w:val="24"/>
        </w:rPr>
        <w:t>(gray) groups</w:t>
      </w:r>
    </w:p>
    <w:p w14:paraId="272D75A1" w14:textId="3B4D9154" w:rsidR="00F61F12" w:rsidRPr="00F61F12" w:rsidRDefault="00F61F12" w:rsidP="00F61F12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 w:rsidRPr="00F61F1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T2R and T2V represent patients with a residual hyperintense area on T2-weighted MR</w:t>
      </w:r>
      <w:r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 xml:space="preserve">imaging (T2WI) </w:t>
      </w:r>
      <w:r w:rsidRPr="00F61F12">
        <w:rPr>
          <w:rFonts w:ascii="Times New Roman" w:eastAsia="TimesNewRomanPSMT" w:hAnsi="Times New Roman" w:cs="Times New Roman"/>
          <w:color w:val="333333"/>
          <w:kern w:val="0"/>
          <w:sz w:val="24"/>
          <w:szCs w:val="24"/>
        </w:rPr>
        <w:t>but no enhanced lesion on gadolinium-enhanced T1WI (Gd-T1WI) and no</w:t>
      </w:r>
      <w:r>
        <w:rPr>
          <w:rFonts w:ascii="Times New Roman" w:eastAsia="TimesNewRomanPSMT" w:hAnsi="Times New Roman" w:cs="Times New Roman"/>
          <w:color w:val="333333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color w:val="333333"/>
          <w:kern w:val="0"/>
          <w:sz w:val="24"/>
          <w:szCs w:val="24"/>
        </w:rPr>
        <w:t>hyperintensity on T2WI or enhanced lesion on Gd-T1WI at the end of initial treatments</w:t>
      </w:r>
      <w:r>
        <w:rPr>
          <w:rFonts w:ascii="Times New Roman" w:eastAsia="TimesNewRomanPSMT" w:hAnsi="Times New Roman" w:cs="Times New Roman"/>
          <w:color w:val="333333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color w:val="333333"/>
          <w:kern w:val="0"/>
          <w:sz w:val="24"/>
          <w:szCs w:val="24"/>
        </w:rPr>
        <w:t xml:space="preserve">with radiotherapy and temozolomide, respectively. The </w:t>
      </w:r>
      <w:r w:rsidRPr="00F61F1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median PFS, local PFS, and OS</w:t>
      </w:r>
      <w:r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times were 12.6, 13.3, and 37.7 months in the T2R group and 10.0, 16.0, and 28.4 months</w:t>
      </w:r>
      <w:r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in the T2V group, respectively, with no statistically significant differences between the two</w:t>
      </w:r>
      <w:r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 xml:space="preserve"> </w:t>
      </w:r>
      <w:r w:rsidRPr="00F61F1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 xml:space="preserve">groups (log-rank test, </w:t>
      </w:r>
      <w:r w:rsidRPr="00F61F12">
        <w:rPr>
          <w:rFonts w:ascii="Times New Roman" w:eastAsia="TimesNewRomanPS-BoldMT" w:hAnsi="Times New Roman" w:cs="Times New Roman"/>
          <w:i/>
          <w:iCs/>
          <w:color w:val="000000"/>
          <w:kern w:val="0"/>
          <w:sz w:val="24"/>
          <w:szCs w:val="24"/>
        </w:rPr>
        <w:t xml:space="preserve">p </w:t>
      </w:r>
      <w:r w:rsidRPr="00F61F12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</w:rPr>
        <w:t>= 0.93, 0.44, and 0.21, respectively).</w:t>
      </w:r>
    </w:p>
    <w:sectPr w:rsidR="00F61F12" w:rsidRPr="00F61F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1C3ED" w14:textId="77777777" w:rsidR="00784D0A" w:rsidRDefault="00784D0A" w:rsidP="000B2256">
      <w:r>
        <w:separator/>
      </w:r>
    </w:p>
  </w:endnote>
  <w:endnote w:type="continuationSeparator" w:id="0">
    <w:p w14:paraId="7B622B83" w14:textId="77777777" w:rsidR="00784D0A" w:rsidRDefault="00784D0A" w:rsidP="000B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9AA82" w14:textId="77777777" w:rsidR="00784D0A" w:rsidRDefault="00784D0A" w:rsidP="000B2256">
      <w:r>
        <w:separator/>
      </w:r>
    </w:p>
  </w:footnote>
  <w:footnote w:type="continuationSeparator" w:id="0">
    <w:p w14:paraId="7FFFC65A" w14:textId="77777777" w:rsidR="00784D0A" w:rsidRDefault="00784D0A" w:rsidP="000B22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49C"/>
    <w:rsid w:val="000B2256"/>
    <w:rsid w:val="00323665"/>
    <w:rsid w:val="005F349C"/>
    <w:rsid w:val="00784D0A"/>
    <w:rsid w:val="00A13A54"/>
    <w:rsid w:val="00CB7C11"/>
    <w:rsid w:val="00F6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432986"/>
  <w15:chartTrackingRefBased/>
  <w15:docId w15:val="{73BCC6B1-F383-4B3E-AB46-162775443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225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B2256"/>
  </w:style>
  <w:style w:type="paragraph" w:styleId="a5">
    <w:name w:val="footer"/>
    <w:basedOn w:val="a"/>
    <w:link w:val="a6"/>
    <w:uiPriority w:val="99"/>
    <w:unhideWhenUsed/>
    <w:rsid w:val="000B22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B2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金森 政之</dc:creator>
  <cp:keywords/>
  <dc:description/>
  <cp:lastModifiedBy>政之 金森</cp:lastModifiedBy>
  <cp:revision>4</cp:revision>
  <dcterms:created xsi:type="dcterms:W3CDTF">2023-08-20T11:55:00Z</dcterms:created>
  <dcterms:modified xsi:type="dcterms:W3CDTF">2023-08-22T14:02:00Z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42c48684942f3447416c231ba1baddb0a0fe38614f521da834bda6f0f8b1d442</vt:lpwstr>
  </property>
</Properties>
</file>