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 it beneficial for patients with early breast cancer after mastectomy to receive internal mammary node irradiation? A propensity-matched analysis of a retrospective cohort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75DDE" w:rsidRPr="00E34468" w:rsidRDefault="00575DDE" w:rsidP="00575DDE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>Yuxin</w:t>
      </w:r>
      <w:proofErr w:type="spellEnd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 xml:space="preserve"> Xie</w:t>
      </w:r>
      <w:r w:rsidRPr="00E3446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1,2,3, </w:t>
      </w:r>
      <w:r w:rsidRPr="00E34468">
        <w:rPr>
          <w:rFonts w:ascii="Cambria Math" w:eastAsia="宋体" w:hAnsi="Cambria Math" w:cs="Cambria Math"/>
          <w:kern w:val="0"/>
          <w:sz w:val="24"/>
          <w:szCs w:val="24"/>
          <w:vertAlign w:val="superscript"/>
        </w:rPr>
        <w:t>∗</w:t>
      </w:r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>Qiheng</w:t>
      </w:r>
      <w:proofErr w:type="spellEnd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 xml:space="preserve"> Gou</w:t>
      </w:r>
      <w:proofErr w:type="gramStart"/>
      <w:r w:rsidRPr="00E3446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4,</w:t>
      </w:r>
      <w:r w:rsidRPr="00E34468">
        <w:rPr>
          <w:rFonts w:ascii="Cambria Math" w:eastAsia="宋体" w:hAnsi="Cambria Math" w:cs="Cambria Math"/>
          <w:kern w:val="0"/>
          <w:sz w:val="24"/>
          <w:szCs w:val="24"/>
          <w:vertAlign w:val="superscript"/>
        </w:rPr>
        <w:t>∗</w:t>
      </w:r>
      <w:proofErr w:type="gramEnd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>Yingjie</w:t>
      </w:r>
      <w:proofErr w:type="spellEnd"/>
      <w:r w:rsidRPr="00E34468">
        <w:rPr>
          <w:rFonts w:ascii="Times New Roman" w:eastAsia="宋体" w:hAnsi="Times New Roman" w:cs="Times New Roman"/>
          <w:kern w:val="0"/>
          <w:sz w:val="24"/>
          <w:szCs w:val="24"/>
        </w:rPr>
        <w:t xml:space="preserve"> Zhang</w:t>
      </w:r>
      <w:r w:rsidRPr="00E3446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34468">
        <w:rPr>
          <w:rFonts w:ascii="Times New Roman" w:hAnsi="Times New Roman" w:cs="Times New Roman"/>
          <w:b/>
          <w:kern w:val="0"/>
          <w:sz w:val="24"/>
          <w:szCs w:val="24"/>
        </w:rPr>
        <w:t xml:space="preserve">Short title: </w:t>
      </w:r>
      <w:r w:rsidRPr="00E34468">
        <w:rPr>
          <w:rFonts w:ascii="Times New Roman" w:hAnsi="Times New Roman" w:cs="Times New Roman"/>
          <w:kern w:val="0"/>
          <w:sz w:val="24"/>
          <w:szCs w:val="24"/>
        </w:rPr>
        <w:t>Internal mammary node irradiation in breast cancer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Department of Medical Oncology, Cancer Center, West China Hospital, Sichuan University, Chengdu, China;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Breast Center, West China Hospital, Sichuan University, Chengdu, China;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Laboratory of Molecular Diagnosis of Cancer, Clinical Research Center for Breast, West China Hospital, Sichuan University, Chengdu, China;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4 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 of radiation therapy, West China Hospital, Sichuan University, Chengdu, China.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Cambria Math" w:hAnsi="Cambria Math" w:cs="Cambria Math"/>
          <w:sz w:val="24"/>
          <w:szCs w:val="24"/>
          <w:shd w:val="clear" w:color="auto" w:fill="FFFFFF"/>
          <w:vertAlign w:val="superscript"/>
        </w:rPr>
        <w:t>∗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Equal contribution to the work.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Correspondence to: Dr. </w:t>
      </w:r>
      <w:proofErr w:type="spellStart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Yuxin</w:t>
      </w:r>
      <w:proofErr w:type="spellEnd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Xie</w:t>
      </w:r>
      <w:proofErr w:type="spellEnd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Department of Medical Oncology of Cancer Center, West China Hospital, Sichuan University, 37 </w:t>
      </w:r>
      <w:proofErr w:type="spellStart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Guoxue</w:t>
      </w:r>
      <w:proofErr w:type="spellEnd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Xiang, </w:t>
      </w:r>
      <w:proofErr w:type="spellStart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Wuhou</w:t>
      </w:r>
      <w:proofErr w:type="spellEnd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District, Chengdu 610041, China.</w:t>
      </w:r>
    </w:p>
    <w:p w:rsidR="00575DDE" w:rsidRPr="00E34468" w:rsidRDefault="00575DDE" w:rsidP="00575DDE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Tel: +86-28-85422685; Email: </w:t>
      </w:r>
      <w:r w:rsidRPr="00E3446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xieyuxin123@wchscu.cn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(D. </w:t>
      </w:r>
      <w:proofErr w:type="spellStart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Xie</w:t>
      </w:r>
      <w:proofErr w:type="spellEnd"/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575DDE" w:rsidRPr="005574B3" w:rsidRDefault="00575DDE" w:rsidP="00575DDE">
      <w:pPr>
        <w:spacing w:line="360" w:lineRule="auto"/>
        <w:rPr>
          <w:rFonts w:ascii="Times New Roman" w:hAnsi="Times New Roman"/>
          <w:b/>
          <w:sz w:val="24"/>
        </w:rPr>
      </w:pPr>
      <w:r w:rsidRPr="005574B3">
        <w:rPr>
          <w:rFonts w:ascii="Times New Roman" w:hAnsi="Times New Roman"/>
          <w:b/>
          <w:sz w:val="24"/>
        </w:rPr>
        <w:lastRenderedPageBreak/>
        <w:t>Contents:</w:t>
      </w:r>
    </w:p>
    <w:p w:rsidR="00575DDE" w:rsidRPr="005574B3" w:rsidRDefault="00575DDE" w:rsidP="00575DDE">
      <w:pPr>
        <w:spacing w:line="360" w:lineRule="auto"/>
        <w:rPr>
          <w:rFonts w:ascii="Times New Roman" w:hAnsi="Times New Roman"/>
          <w:sz w:val="24"/>
        </w:rPr>
      </w:pPr>
      <w:r w:rsidRPr="005574B3">
        <w:rPr>
          <w:rFonts w:ascii="Times New Roman" w:hAnsi="Times New Roman"/>
          <w:sz w:val="24"/>
        </w:rPr>
        <w:t xml:space="preserve">Page </w:t>
      </w:r>
      <w:r w:rsidRPr="005574B3">
        <w:rPr>
          <w:rFonts w:ascii="Times New Roman" w:hAnsi="Times New Roman" w:hint="eastAsia"/>
          <w:sz w:val="24"/>
        </w:rPr>
        <w:t>3</w:t>
      </w:r>
      <w:r w:rsidRPr="005574B3">
        <w:rPr>
          <w:rFonts w:ascii="Times New Roman" w:hAnsi="Times New Roman"/>
          <w:sz w:val="24"/>
        </w:rPr>
        <w:t>:</w:t>
      </w:r>
      <w:r w:rsidRPr="00D86FD0">
        <w:t xml:space="preserve"> </w:t>
      </w:r>
      <w:r w:rsidRPr="00D86FD0">
        <w:rPr>
          <w:rFonts w:ascii="Times New Roman" w:hAnsi="Times New Roman"/>
          <w:sz w:val="24"/>
        </w:rPr>
        <w:t>Supporting Information</w:t>
      </w:r>
      <w:r w:rsidRPr="005574B3">
        <w:rPr>
          <w:rFonts w:ascii="Times New Roman" w:hAnsi="Times New Roman"/>
          <w:sz w:val="24"/>
        </w:rPr>
        <w:t xml:space="preserve"> Figure </w:t>
      </w:r>
      <w:r>
        <w:rPr>
          <w:rFonts w:ascii="Times New Roman" w:hAnsi="Times New Roman" w:hint="eastAsia"/>
          <w:sz w:val="24"/>
        </w:rPr>
        <w:t>S</w:t>
      </w:r>
      <w:r w:rsidRPr="005574B3">
        <w:rPr>
          <w:rFonts w:ascii="Times New Roman" w:hAnsi="Times New Roman"/>
          <w:sz w:val="24"/>
        </w:rPr>
        <w:t>1</w:t>
      </w:r>
    </w:p>
    <w:p w:rsidR="000427BB" w:rsidRDefault="00575DDE" w:rsidP="000427BB">
      <w:pPr>
        <w:spacing w:line="360" w:lineRule="auto"/>
        <w:rPr>
          <w:rFonts w:ascii="Times New Roman" w:hAnsi="Times New Roman"/>
          <w:sz w:val="24"/>
        </w:rPr>
        <w:sectPr w:rsidR="000427BB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574B3">
        <w:rPr>
          <w:rFonts w:ascii="Times New Roman" w:hAnsi="Times New Roman"/>
          <w:sz w:val="24"/>
        </w:rPr>
        <w:t xml:space="preserve">Page </w:t>
      </w:r>
      <w:r>
        <w:rPr>
          <w:rFonts w:ascii="Times New Roman" w:hAnsi="Times New Roman"/>
          <w:sz w:val="24"/>
        </w:rPr>
        <w:t>4</w:t>
      </w:r>
      <w:r w:rsidRPr="005574B3">
        <w:rPr>
          <w:rFonts w:ascii="Times New Roman" w:hAnsi="Times New Roman" w:hint="eastAsia"/>
          <w:sz w:val="24"/>
        </w:rPr>
        <w:t>-</w:t>
      </w:r>
      <w:r w:rsidR="000427BB">
        <w:rPr>
          <w:rFonts w:ascii="Times New Roman" w:hAnsi="Times New Roman"/>
          <w:sz w:val="24"/>
        </w:rPr>
        <w:t>6</w:t>
      </w:r>
      <w:bookmarkStart w:id="0" w:name="_GoBack"/>
      <w:bookmarkEnd w:id="0"/>
      <w:r w:rsidRPr="005574B3">
        <w:rPr>
          <w:rFonts w:ascii="Times New Roman" w:hAnsi="Times New Roman"/>
          <w:sz w:val="24"/>
        </w:rPr>
        <w:t xml:space="preserve">: </w:t>
      </w:r>
      <w:r w:rsidRPr="00D86FD0">
        <w:rPr>
          <w:rFonts w:ascii="Times New Roman" w:hAnsi="Times New Roman"/>
          <w:sz w:val="24"/>
        </w:rPr>
        <w:t>Supporting Information</w:t>
      </w:r>
      <w:r w:rsidRPr="005574B3">
        <w:rPr>
          <w:rFonts w:ascii="Times New Roman" w:hAnsi="Times New Roman"/>
          <w:sz w:val="24"/>
        </w:rPr>
        <w:t xml:space="preserve"> Table </w:t>
      </w:r>
      <w:r>
        <w:rPr>
          <w:rFonts w:ascii="Times New Roman" w:hAnsi="Times New Roman" w:hint="eastAsia"/>
          <w:sz w:val="24"/>
        </w:rPr>
        <w:t>S</w:t>
      </w:r>
      <w:r w:rsidRPr="005574B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–</w:t>
      </w:r>
      <w:r w:rsidRPr="005574B3">
        <w:rPr>
          <w:rFonts w:ascii="Times New Roman" w:hAnsi="Times New Roman"/>
          <w:sz w:val="24"/>
        </w:rPr>
        <w:t>Table</w:t>
      </w:r>
      <w:r>
        <w:rPr>
          <w:rFonts w:ascii="Times New Roman" w:hAnsi="Times New Roman" w:hint="eastAsia"/>
          <w:sz w:val="24"/>
        </w:rPr>
        <w:t>S2</w:t>
      </w:r>
    </w:p>
    <w:p w:rsidR="000427BB" w:rsidRPr="00E34468" w:rsidRDefault="000427BB" w:rsidP="000427B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4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34468">
        <w:rPr>
          <w:rFonts w:ascii="Times New Roman" w:hAnsi="Times New Roman" w:cs="Times New Roman"/>
          <w:b/>
          <w:sz w:val="24"/>
          <w:szCs w:val="24"/>
        </w:rPr>
        <w:t>1.</w:t>
      </w:r>
      <w:r w:rsidRPr="00E34468">
        <w:rPr>
          <w:rFonts w:ascii="Times New Roman" w:hAnsi="Times New Roman" w:cs="Times New Roman"/>
          <w:sz w:val="24"/>
          <w:szCs w:val="24"/>
        </w:rPr>
        <w:t xml:space="preserve"> </w:t>
      </w:r>
      <w:r w:rsidRPr="00E3446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Kaplan–Meier estimates of 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breast cancer-specific survival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(A) and 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overall survival</w:t>
      </w:r>
      <w:r w:rsidRPr="00E3446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(B) </w:t>
      </w:r>
      <w:r w:rsidRPr="00E34468">
        <w:rPr>
          <w:rFonts w:ascii="Times New Roman" w:hAnsi="Times New Roman" w:cs="Times New Roman"/>
          <w:sz w:val="24"/>
          <w:szCs w:val="24"/>
        </w:rPr>
        <w:t xml:space="preserve">after propensity score matching. IMNI indicates </w:t>
      </w:r>
      <w:r w:rsidRPr="00E34468">
        <w:rPr>
          <w:rFonts w:ascii="Times New Roman" w:hAnsi="Times New Roman" w:cs="Times New Roman"/>
          <w:sz w:val="24"/>
          <w:szCs w:val="24"/>
          <w:shd w:val="clear" w:color="auto" w:fill="FFFFFF"/>
        </w:rPr>
        <w:t>internal mammary node irradiation</w:t>
      </w:r>
      <w:r w:rsidRPr="00E34468">
        <w:rPr>
          <w:rFonts w:ascii="Times New Roman" w:hAnsi="Times New Roman" w:cs="Times New Roman"/>
          <w:sz w:val="24"/>
          <w:szCs w:val="24"/>
        </w:rPr>
        <w:t>.</w:t>
      </w:r>
    </w:p>
    <w:p w:rsidR="000427BB" w:rsidRDefault="000427BB" w:rsidP="000427BB">
      <w:pPr>
        <w:spacing w:line="360" w:lineRule="auto"/>
        <w:rPr>
          <w:rFonts w:ascii="Times New Roman" w:hAnsi="Times New Roman"/>
          <w:sz w:val="24"/>
        </w:rPr>
        <w:sectPr w:rsidR="000427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427BB">
        <w:rPr>
          <w:rFonts w:ascii="Times New Roman" w:hAnsi="Times New Roman"/>
          <w:noProof/>
          <w:sz w:val="24"/>
        </w:rPr>
        <w:drawing>
          <wp:inline distT="0" distB="0" distL="0" distR="0">
            <wp:extent cx="5317067" cy="1977912"/>
            <wp:effectExtent l="0" t="0" r="0" b="3810"/>
            <wp:docPr id="1" name="图片 1" descr="D:\数据\草稿\2023年\内乳淋巴结放疗\分析数据\manuscript\IJC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数据\草稿\2023年\内乳淋巴结放疗\分析数据\manuscript\IJC\Figure 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9" cy="19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BB" w:rsidRPr="00201C2E" w:rsidRDefault="000427BB" w:rsidP="000427BB">
      <w:pPr>
        <w:widowControl/>
        <w:rPr>
          <w:rFonts w:ascii="Times New Roman" w:hAnsi="Times New Roman"/>
          <w:sz w:val="24"/>
          <w:szCs w:val="24"/>
        </w:rPr>
      </w:pPr>
      <w:r w:rsidRPr="00D90395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D90395">
        <w:rPr>
          <w:rFonts w:ascii="Times New Roman" w:hAnsi="Times New Roman"/>
          <w:b/>
          <w:sz w:val="24"/>
          <w:szCs w:val="24"/>
        </w:rPr>
        <w:t xml:space="preserve">1: </w:t>
      </w:r>
      <w:r w:rsidRPr="0022096A">
        <w:rPr>
          <w:rFonts w:ascii="Times New Roman" w:hAnsi="Times New Roman"/>
          <w:b/>
          <w:sz w:val="24"/>
          <w:szCs w:val="24"/>
        </w:rPr>
        <w:t>Demographics and clinical characteristics of</w:t>
      </w:r>
      <w:r w:rsidRPr="00BB4B85">
        <w:rPr>
          <w:rFonts w:ascii="Times New Roman" w:hAnsi="Times New Roman"/>
          <w:b/>
          <w:sz w:val="24"/>
          <w:szCs w:val="24"/>
        </w:rPr>
        <w:t xml:space="preserve"> patients</w:t>
      </w:r>
      <w:r>
        <w:rPr>
          <w:rFonts w:ascii="Times New Roman" w:hAnsi="Times New Roman"/>
          <w:b/>
          <w:sz w:val="24"/>
          <w:szCs w:val="24"/>
        </w:rPr>
        <w:t xml:space="preserve"> b</w:t>
      </w:r>
      <w:r w:rsidRPr="00BD3CCB">
        <w:rPr>
          <w:rFonts w:ascii="Times New Roman" w:hAnsi="Times New Roman"/>
          <w:b/>
          <w:sz w:val="24"/>
          <w:szCs w:val="24"/>
        </w:rPr>
        <w:t xml:space="preserve">efore </w:t>
      </w:r>
      <w:r>
        <w:rPr>
          <w:rFonts w:ascii="Times New Roman" w:hAnsi="Times New Roman"/>
          <w:b/>
          <w:sz w:val="24"/>
          <w:szCs w:val="24"/>
        </w:rPr>
        <w:t>p</w:t>
      </w:r>
      <w:r w:rsidRPr="00BD3CCB">
        <w:rPr>
          <w:rFonts w:ascii="Times New Roman" w:hAnsi="Times New Roman"/>
          <w:b/>
          <w:sz w:val="24"/>
          <w:szCs w:val="24"/>
        </w:rPr>
        <w:t xml:space="preserve">ropensity </w:t>
      </w:r>
      <w:r>
        <w:rPr>
          <w:rFonts w:ascii="Times New Roman" w:hAnsi="Times New Roman"/>
          <w:b/>
          <w:sz w:val="24"/>
          <w:szCs w:val="24"/>
        </w:rPr>
        <w:t>s</w:t>
      </w:r>
      <w:r w:rsidRPr="00BD3CCB">
        <w:rPr>
          <w:rFonts w:ascii="Times New Roman" w:hAnsi="Times New Roman"/>
          <w:b/>
          <w:sz w:val="24"/>
          <w:szCs w:val="24"/>
        </w:rPr>
        <w:t xml:space="preserve">core </w:t>
      </w:r>
      <w:r>
        <w:rPr>
          <w:rFonts w:ascii="Times New Roman" w:hAnsi="Times New Roman"/>
          <w:b/>
          <w:sz w:val="24"/>
          <w:szCs w:val="24"/>
        </w:rPr>
        <w:t>m</w:t>
      </w:r>
      <w:r w:rsidRPr="00BD3CCB">
        <w:rPr>
          <w:rFonts w:ascii="Times New Roman" w:hAnsi="Times New Roman"/>
          <w:b/>
          <w:sz w:val="24"/>
          <w:szCs w:val="24"/>
        </w:rPr>
        <w:t>atching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7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126"/>
        <w:gridCol w:w="1701"/>
        <w:gridCol w:w="1706"/>
        <w:gridCol w:w="1701"/>
        <w:gridCol w:w="1062"/>
      </w:tblGrid>
      <w:tr w:rsidR="000427BB" w:rsidRPr="003D6C1B" w:rsidTr="009347D2">
        <w:trPr>
          <w:trHeight w:val="321"/>
        </w:trPr>
        <w:tc>
          <w:tcPr>
            <w:tcW w:w="1282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Characteristics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All</w:t>
            </w:r>
          </w:p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/>
                <w:sz w:val="24"/>
                <w:szCs w:val="24"/>
              </w:rPr>
              <w:t>1,015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IM</w:t>
            </w:r>
            <w:r>
              <w:rPr>
                <w:rFonts w:ascii="Times New Roman" w:hAnsi="Times New Roman"/>
                <w:sz w:val="24"/>
                <w:szCs w:val="24"/>
              </w:rPr>
              <w:t>NI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(n=1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 IM</w:t>
            </w:r>
            <w:r>
              <w:rPr>
                <w:rFonts w:ascii="Times New Roman" w:hAnsi="Times New Roman"/>
                <w:sz w:val="24"/>
                <w:szCs w:val="24"/>
              </w:rPr>
              <w:t>NI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/>
                <w:sz w:val="24"/>
                <w:szCs w:val="24"/>
              </w:rPr>
              <w:t>826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367"/>
        </w:trPr>
        <w:tc>
          <w:tcPr>
            <w:tcW w:w="1282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No.( %)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No.( %)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No.( %)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0427BB" w:rsidRPr="003D6C1B" w:rsidTr="009347D2">
        <w:trPr>
          <w:trHeight w:val="269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7BB" w:rsidRPr="003D6C1B" w:rsidTr="009347D2">
        <w:trPr>
          <w:trHeight w:val="344"/>
        </w:trPr>
        <w:tc>
          <w:tcPr>
            <w:tcW w:w="1282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Median (IQR), y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[4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-54]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48 [42-54]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[4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323"/>
        </w:trPr>
        <w:tc>
          <w:tcPr>
            <w:tcW w:w="2307" w:type="pct"/>
            <w:gridSpan w:val="2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7A6FEE">
              <w:rPr>
                <w:rFonts w:ascii="Times New Roman" w:hAnsi="Times New Roman"/>
                <w:sz w:val="24"/>
                <w:szCs w:val="24"/>
              </w:rPr>
              <w:t>alendar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ear at diagnosis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145"/>
        </w:trPr>
        <w:tc>
          <w:tcPr>
            <w:tcW w:w="1282" w:type="pct"/>
            <w:hideMark/>
          </w:tcPr>
          <w:tbl>
            <w:tblPr>
              <w:tblW w:w="1607" w:type="dxa"/>
              <w:jc w:val="center"/>
              <w:tblBorders>
                <w:top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7"/>
            </w:tblGrid>
            <w:tr w:rsidR="000427BB" w:rsidRPr="003D6C1B" w:rsidTr="009347D2">
              <w:trPr>
                <w:trHeight w:val="145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427BB" w:rsidRPr="003D6C1B" w:rsidRDefault="000427BB" w:rsidP="009347D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D6C1B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03</w:t>
                  </w:r>
                  <w:r w:rsidRPr="003D6C1B">
                    <w:rPr>
                      <w:rFonts w:ascii="Times New Roman" w:hAnsi="Times New Roman"/>
                      <w:sz w:val="24"/>
                      <w:szCs w:val="24"/>
                    </w:rPr>
                    <w:t>-201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14.98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7.04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82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9.93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34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5" w:type="pct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B00D8">
              <w:rPr>
                <w:rFonts w:ascii="Times New Roman" w:hAnsi="Times New Roman"/>
                <w:sz w:val="24"/>
                <w:szCs w:val="24"/>
              </w:rPr>
              <w:t>85.02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119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>2.96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90.07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86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Residence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186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Rural</w:t>
            </w:r>
          </w:p>
        </w:tc>
        <w:tc>
          <w:tcPr>
            <w:tcW w:w="1025" w:type="pct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9.46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39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0.63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1.48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Urban</w:t>
            </w:r>
          </w:p>
        </w:tc>
        <w:tc>
          <w:tcPr>
            <w:tcW w:w="1025" w:type="pct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70.54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sz w:val="24"/>
                <w:szCs w:val="24"/>
              </w:rPr>
              <w:t>9.37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>8.52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41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Menopausal status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0427BB" w:rsidRPr="003D6C1B" w:rsidTr="009347D2">
        <w:trPr>
          <w:trHeight w:val="141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Premenopausal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sz w:val="24"/>
                <w:szCs w:val="24"/>
              </w:rPr>
              <w:t>7.14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sz w:val="24"/>
                <w:szCs w:val="24"/>
              </w:rPr>
              <w:t>6.08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sz w:val="24"/>
                <w:szCs w:val="24"/>
              </w:rPr>
              <w:t>7.38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59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Postmenopausal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sz w:val="24"/>
                <w:szCs w:val="24"/>
              </w:rPr>
              <w:t>2.86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sz w:val="24"/>
                <w:szCs w:val="24"/>
              </w:rPr>
              <w:t>3.92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sz w:val="24"/>
                <w:szCs w:val="24"/>
              </w:rPr>
              <w:t>2.62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59"/>
        </w:trPr>
        <w:tc>
          <w:tcPr>
            <w:tcW w:w="2307" w:type="pct"/>
            <w:gridSpan w:val="2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Tumor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laterality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0427BB" w:rsidRPr="003D6C1B" w:rsidTr="009347D2">
        <w:trPr>
          <w:trHeight w:val="159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Left side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/>
                <w:sz w:val="24"/>
                <w:szCs w:val="24"/>
              </w:rPr>
              <w:t>0.25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50.79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50.12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59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Right side</w:t>
            </w:r>
          </w:p>
        </w:tc>
        <w:tc>
          <w:tcPr>
            <w:tcW w:w="1025" w:type="pct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/>
                <w:sz w:val="24"/>
                <w:szCs w:val="24"/>
              </w:rPr>
              <w:t>9.75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49.21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sz w:val="24"/>
                <w:szCs w:val="24"/>
              </w:rPr>
              <w:t>9.88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0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HR status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Negative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3.45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10.05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1.94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200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Positive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(9</w:t>
            </w:r>
            <w:r>
              <w:rPr>
                <w:rFonts w:ascii="Times New Roman" w:hAnsi="Times New Roman"/>
                <w:sz w:val="24"/>
                <w:szCs w:val="24"/>
              </w:rPr>
              <w:t>6.55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89.95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(9</w:t>
            </w:r>
            <w:r>
              <w:rPr>
                <w:rFonts w:ascii="Times New Roman" w:hAnsi="Times New Roman"/>
                <w:sz w:val="24"/>
                <w:szCs w:val="24"/>
              </w:rPr>
              <w:t>8.06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HER2 status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Negative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57.83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>9.84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55.08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230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Positive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9.46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41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1.69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31.23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0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Unknown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12.71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(8.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3.68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41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Clinical tumor size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0427BB" w:rsidRPr="003D6C1B" w:rsidTr="009347D2">
        <w:trPr>
          <w:trHeight w:val="141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≤ 5cm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(78.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(78.3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sz w:val="24"/>
                <w:szCs w:val="24"/>
              </w:rPr>
              <w:t>8.09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59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&gt; 5cm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(21.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(21.6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1.91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2307" w:type="pct"/>
            <w:gridSpan w:val="2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Clinical lymph nodal status</w:t>
            </w:r>
          </w:p>
        </w:tc>
        <w:tc>
          <w:tcPr>
            <w:tcW w:w="1028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cN0-N1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50.84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62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2.80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54.96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cN2-N3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49.16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>7.20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45.04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3335" w:type="pct"/>
            <w:gridSpan w:val="3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Nu</w:t>
            </w:r>
            <w:r>
              <w:rPr>
                <w:rFonts w:ascii="Times New Roman" w:hAnsi="Times New Roman"/>
                <w:sz w:val="24"/>
                <w:szCs w:val="24"/>
              </w:rPr>
              <w:t>mber of pathological lymph nodes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 xml:space="preserve">≤ 3 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55.07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71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7.57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59.08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44.93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>2.43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40.92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92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Histological type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427BB" w:rsidRPr="003D6C1B" w:rsidTr="009347D2">
        <w:trPr>
          <w:trHeight w:val="192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Ductal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(96.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(9</w:t>
            </w:r>
            <w:r>
              <w:rPr>
                <w:rFonts w:ascii="Times New Roman" w:hAnsi="Times New Roman"/>
                <w:sz w:val="24"/>
                <w:szCs w:val="24"/>
              </w:rPr>
              <w:t>6.30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(96.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9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3.70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Histological grade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I/II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7.14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29.63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8.86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7)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(41.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(41.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0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Unknown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0.99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8.57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19.25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07"/>
        </w:trPr>
        <w:tc>
          <w:tcPr>
            <w:tcW w:w="2307" w:type="pct"/>
            <w:gridSpan w:val="2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lastRenderedPageBreak/>
              <w:t>Adjuvant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24D6">
              <w:rPr>
                <w:rFonts w:ascii="Times New Roman" w:hAnsi="Times New Roman"/>
                <w:sz w:val="24"/>
                <w:szCs w:val="24"/>
              </w:rPr>
              <w:t>chemotherapy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27BB" w:rsidRPr="003D6C1B" w:rsidTr="009347D2">
        <w:trPr>
          <w:trHeight w:val="10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0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1,015 (100.00)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 (100.00)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826 (100.00)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155"/>
        </w:trPr>
        <w:tc>
          <w:tcPr>
            <w:tcW w:w="2307" w:type="pct"/>
            <w:gridSpan w:val="2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Adjuvant endocrine therapy</w:t>
            </w:r>
          </w:p>
        </w:tc>
        <w:tc>
          <w:tcPr>
            <w:tcW w:w="1028" w:type="pct"/>
            <w:hideMark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0.0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7BB" w:rsidRPr="003D6C1B" w:rsidTr="009347D2">
        <w:trPr>
          <w:trHeight w:val="155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(28.0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4.39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6.63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  <w:hideMark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(71.9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(65</w:t>
            </w:r>
            <w:r>
              <w:rPr>
                <w:rFonts w:ascii="Times New Roman" w:hAnsi="Times New Roman"/>
                <w:sz w:val="24"/>
                <w:szCs w:val="24"/>
              </w:rPr>
              <w:t>.61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5" w:type="pct"/>
            <w:vAlign w:val="bottom"/>
            <w:hideMark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sz w:val="24"/>
                <w:szCs w:val="24"/>
              </w:rPr>
              <w:t>3.37</w:t>
            </w:r>
            <w:r w:rsidRPr="003D6C1B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2307" w:type="pct"/>
            <w:gridSpan w:val="2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 w:rsidRPr="009C341B">
              <w:rPr>
                <w:rFonts w:ascii="Times New Roman" w:hAnsi="Times New Roman"/>
                <w:sz w:val="24"/>
                <w:szCs w:val="24"/>
              </w:rPr>
              <w:t>Adjuvant HER2-targeted therapy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C1B"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 (81.97)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63 (86.24)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669 (80.99)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7BB" w:rsidRPr="003D6C1B" w:rsidTr="009347D2">
        <w:trPr>
          <w:trHeight w:val="87"/>
        </w:trPr>
        <w:tc>
          <w:tcPr>
            <w:tcW w:w="1282" w:type="pct"/>
          </w:tcPr>
          <w:p w:rsidR="000427BB" w:rsidRPr="003D6C1B" w:rsidRDefault="000427BB" w:rsidP="009347D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6C1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 (18.03)</w:t>
            </w:r>
          </w:p>
        </w:tc>
        <w:tc>
          <w:tcPr>
            <w:tcW w:w="1028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 (13.76)</w:t>
            </w:r>
          </w:p>
        </w:tc>
        <w:tc>
          <w:tcPr>
            <w:tcW w:w="1025" w:type="pct"/>
            <w:vAlign w:val="bottom"/>
          </w:tcPr>
          <w:p w:rsidR="000427BB" w:rsidRPr="003D6C1B" w:rsidRDefault="000427BB" w:rsidP="00934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57 (19.01)</w:t>
            </w:r>
          </w:p>
        </w:tc>
        <w:tc>
          <w:tcPr>
            <w:tcW w:w="640" w:type="pct"/>
          </w:tcPr>
          <w:p w:rsidR="000427BB" w:rsidRPr="003D6C1B" w:rsidRDefault="000427BB" w:rsidP="00934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27BB" w:rsidRDefault="000427BB" w:rsidP="000427BB">
      <w:pPr>
        <w:rPr>
          <w:rFonts w:ascii="Times New Roman" w:hAnsi="Times New Roman"/>
          <w:sz w:val="24"/>
          <w:szCs w:val="24"/>
        </w:rPr>
        <w:sectPr w:rsidR="000427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B4B85">
        <w:rPr>
          <w:rFonts w:ascii="Times New Roman" w:hAnsi="Times New Roman"/>
          <w:sz w:val="24"/>
          <w:szCs w:val="24"/>
        </w:rPr>
        <w:t xml:space="preserve">Abbreviations: </w:t>
      </w:r>
      <w:r>
        <w:rPr>
          <w:rFonts w:ascii="Times New Roman" w:hAnsi="Times New Roman"/>
          <w:sz w:val="24"/>
          <w:szCs w:val="24"/>
        </w:rPr>
        <w:t xml:space="preserve">cm, </w:t>
      </w:r>
      <w:r w:rsidRPr="007379ED">
        <w:rPr>
          <w:rFonts w:ascii="Times New Roman" w:hAnsi="Times New Roman"/>
          <w:sz w:val="24"/>
          <w:szCs w:val="24"/>
        </w:rPr>
        <w:t>centimeter</w:t>
      </w:r>
      <w:r>
        <w:rPr>
          <w:rFonts w:ascii="Times New Roman" w:hAnsi="Times New Roman"/>
          <w:sz w:val="24"/>
          <w:szCs w:val="24"/>
        </w:rPr>
        <w:t xml:space="preserve">; HR, </w:t>
      </w:r>
      <w:r w:rsidRPr="007379ED">
        <w:rPr>
          <w:rFonts w:ascii="Times New Roman" w:hAnsi="Times New Roman"/>
          <w:sz w:val="24"/>
          <w:szCs w:val="24"/>
        </w:rPr>
        <w:t>hormone receptor</w:t>
      </w:r>
      <w:r>
        <w:rPr>
          <w:rFonts w:ascii="Times New Roman" w:hAnsi="Times New Roman"/>
          <w:sz w:val="24"/>
          <w:szCs w:val="24"/>
        </w:rPr>
        <w:t>;</w:t>
      </w:r>
      <w:r w:rsidRPr="0089753A">
        <w:rPr>
          <w:rFonts w:ascii="Times New Roman" w:hAnsi="Times New Roman"/>
          <w:sz w:val="24"/>
          <w:szCs w:val="24"/>
        </w:rPr>
        <w:t xml:space="preserve"> </w:t>
      </w:r>
      <w:r w:rsidRPr="00BB4B85">
        <w:rPr>
          <w:rFonts w:ascii="Times New Roman" w:hAnsi="Times New Roman"/>
          <w:sz w:val="24"/>
          <w:szCs w:val="24"/>
        </w:rPr>
        <w:t xml:space="preserve">HER2, </w:t>
      </w:r>
      <w:r w:rsidRPr="00BB4B85">
        <w:rPr>
          <w:rFonts w:ascii="Times New Roman" w:hAnsi="Times New Roman"/>
          <w:sz w:val="24"/>
          <w:szCs w:val="24"/>
          <w:shd w:val="clear" w:color="auto" w:fill="FFFFFF"/>
        </w:rPr>
        <w:t>human epidermal growth factor receptor 2</w:t>
      </w:r>
      <w:r w:rsidRPr="00BB4B85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IMNI, </w:t>
      </w:r>
      <w:r w:rsidRPr="00B172D7">
        <w:rPr>
          <w:rFonts w:ascii="Times New Roman" w:hAnsi="Times New Roman"/>
          <w:sz w:val="24"/>
          <w:szCs w:val="24"/>
        </w:rPr>
        <w:t>Internal mammary node irradiation</w:t>
      </w:r>
      <w:r>
        <w:rPr>
          <w:rFonts w:ascii="Times New Roman" w:hAnsi="Times New Roman"/>
          <w:sz w:val="24"/>
          <w:szCs w:val="24"/>
        </w:rPr>
        <w:t xml:space="preserve">; IQR, </w:t>
      </w:r>
      <w:r w:rsidRPr="00DF1422">
        <w:rPr>
          <w:rFonts w:ascii="Times New Roman" w:hAnsi="Times New Roman"/>
          <w:sz w:val="24"/>
          <w:szCs w:val="24"/>
        </w:rPr>
        <w:t>interquartile range</w:t>
      </w:r>
      <w:r>
        <w:rPr>
          <w:rFonts w:ascii="Times New Roman" w:hAnsi="Times New Roman"/>
          <w:sz w:val="24"/>
          <w:szCs w:val="24"/>
        </w:rPr>
        <w:t>; y, year.</w:t>
      </w:r>
    </w:p>
    <w:p w:rsidR="000427BB" w:rsidRPr="000427BB" w:rsidRDefault="000427BB" w:rsidP="000427BB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0427BB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S2: Associations of IMNI with risks of breast cancer-specific </w:t>
      </w:r>
      <w:r w:rsidRPr="000427B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or </w:t>
      </w:r>
      <w:r w:rsidRPr="000427BB">
        <w:rPr>
          <w:rFonts w:ascii="Times New Roman" w:eastAsia="宋体" w:hAnsi="Times New Roman" w:cs="Times New Roman"/>
          <w:b/>
          <w:sz w:val="24"/>
          <w:szCs w:val="24"/>
        </w:rPr>
        <w:t>overall mortality</w:t>
      </w:r>
      <w:r w:rsidRPr="000427BB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</w:p>
    <w:tbl>
      <w:tblPr>
        <w:tblW w:w="5376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852"/>
        <w:gridCol w:w="707"/>
        <w:gridCol w:w="1563"/>
        <w:gridCol w:w="566"/>
        <w:gridCol w:w="1559"/>
        <w:gridCol w:w="570"/>
        <w:gridCol w:w="1559"/>
        <w:gridCol w:w="422"/>
      </w:tblGrid>
      <w:tr w:rsidR="000427BB" w:rsidRPr="000427BB" w:rsidTr="009347D2">
        <w:trPr>
          <w:trHeight w:val="298"/>
          <w:jc w:val="center"/>
        </w:trPr>
        <w:tc>
          <w:tcPr>
            <w:tcW w:w="6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  <w:t>N of</w:t>
            </w:r>
          </w:p>
          <w:p w:rsidR="000427BB" w:rsidRPr="000427BB" w:rsidRDefault="000427BB" w:rsidP="000427BB">
            <w:pPr>
              <w:tabs>
                <w:tab w:val="center" w:pos="771"/>
              </w:tabs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  <w:t>patients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  <w:t>N of</w:t>
            </w:r>
          </w:p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  <w:shd w:val="clear" w:color="auto" w:fill="FFFFFF"/>
              </w:rPr>
              <w:t>events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Model A</w:t>
            </w:r>
            <w:r w:rsidRPr="000427BB">
              <w:rPr>
                <w:rFonts w:ascii="Times New Roman" w:eastAsia="宋体" w:hAnsi="Times New Roman" w:cs="Times New Roman"/>
                <w:b/>
                <w:szCs w:val="21"/>
                <w:vertAlign w:val="superscript"/>
              </w:rPr>
              <w:t>†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Model B</w:t>
            </w:r>
            <w:r w:rsidRPr="000427BB">
              <w:rPr>
                <w:rFonts w:ascii="Times New Roman" w:eastAsia="宋体" w:hAnsi="Times New Roman" w:cs="Times New Roman" w:hint="eastAsia"/>
                <w:b/>
                <w:szCs w:val="21"/>
                <w:vertAlign w:val="superscript"/>
              </w:rPr>
              <w:t>‡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ind w:firstLineChars="200" w:firstLine="422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Model C</w:t>
            </w:r>
            <w:r w:rsidRPr="000427BB">
              <w:rPr>
                <w:rFonts w:ascii="Times New Roman" w:eastAsia="宋体" w:hAnsi="Times New Roman" w:cs="Times New Roman"/>
                <w:b/>
                <w:szCs w:val="21"/>
                <w:vertAlign w:val="superscript"/>
              </w:rPr>
              <w:t>§</w:t>
            </w:r>
          </w:p>
        </w:tc>
      </w:tr>
      <w:tr w:rsidR="000427BB" w:rsidRPr="000427BB" w:rsidTr="009347D2">
        <w:trPr>
          <w:trHeight w:val="331"/>
          <w:jc w:val="center"/>
        </w:trPr>
        <w:tc>
          <w:tcPr>
            <w:tcW w:w="6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27BB" w:rsidRPr="000427BB" w:rsidRDefault="000427BB" w:rsidP="000427BB">
            <w:pPr>
              <w:widowControl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27BB" w:rsidRPr="000427BB" w:rsidRDefault="000427BB" w:rsidP="000427BB">
            <w:pPr>
              <w:widowControl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27BB" w:rsidRPr="000427BB" w:rsidRDefault="000427BB" w:rsidP="000427BB">
            <w:pPr>
              <w:widowControl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HR (95% CI)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b/>
                <w:szCs w:val="21"/>
              </w:rPr>
              <w:t>P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HR (95% CI)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b/>
                <w:szCs w:val="21"/>
              </w:rPr>
              <w:t>P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HR (95% CI)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b/>
                <w:szCs w:val="21"/>
              </w:rPr>
              <w:t>P</w:t>
            </w:r>
          </w:p>
        </w:tc>
      </w:tr>
      <w:tr w:rsidR="000427BB" w:rsidRPr="000427BB" w:rsidTr="009347D2">
        <w:trPr>
          <w:jc w:val="center"/>
        </w:trPr>
        <w:tc>
          <w:tcPr>
            <w:tcW w:w="238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Breast cancer-specific mortality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427BB" w:rsidRPr="000427BB" w:rsidTr="009347D2">
        <w:trPr>
          <w:jc w:val="center"/>
        </w:trPr>
        <w:tc>
          <w:tcPr>
            <w:tcW w:w="634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 xml:space="preserve">  No IMLN</w:t>
            </w:r>
          </w:p>
        </w:tc>
        <w:tc>
          <w:tcPr>
            <w:tcW w:w="47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180</w:t>
            </w:r>
          </w:p>
        </w:tc>
        <w:tc>
          <w:tcPr>
            <w:tcW w:w="39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317" w:type="pct"/>
            <w:tcBorders>
              <w:lef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427BB" w:rsidRPr="000427BB" w:rsidTr="009347D2">
        <w:trPr>
          <w:trHeight w:val="194"/>
          <w:jc w:val="center"/>
        </w:trPr>
        <w:tc>
          <w:tcPr>
            <w:tcW w:w="634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 xml:space="preserve">  IMLN</w:t>
            </w:r>
          </w:p>
        </w:tc>
        <w:tc>
          <w:tcPr>
            <w:tcW w:w="47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180</w:t>
            </w:r>
          </w:p>
        </w:tc>
        <w:tc>
          <w:tcPr>
            <w:tcW w:w="39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3.41 (0.84-13.77)</w:t>
            </w:r>
          </w:p>
        </w:tc>
        <w:tc>
          <w:tcPr>
            <w:tcW w:w="317" w:type="pct"/>
            <w:tcBorders>
              <w:lef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3.01 (0.66-13.70)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0.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3.84 (0.75-19.73)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0.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</w:tr>
      <w:tr w:rsidR="000427BB" w:rsidRPr="000427BB" w:rsidTr="009347D2">
        <w:trPr>
          <w:trHeight w:val="194"/>
          <w:jc w:val="center"/>
        </w:trPr>
        <w:tc>
          <w:tcPr>
            <w:tcW w:w="1111" w:type="pct"/>
            <w:gridSpan w:val="2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b/>
                <w:szCs w:val="21"/>
              </w:rPr>
              <w:t>Overall mortality</w:t>
            </w:r>
          </w:p>
        </w:tc>
        <w:tc>
          <w:tcPr>
            <w:tcW w:w="39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4" w:type="pct"/>
            <w:tcBorders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7" w:type="pct"/>
            <w:tcBorders>
              <w:lef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427BB" w:rsidRPr="000427BB" w:rsidTr="009347D2">
        <w:trPr>
          <w:trHeight w:val="194"/>
          <w:jc w:val="center"/>
        </w:trPr>
        <w:tc>
          <w:tcPr>
            <w:tcW w:w="634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 xml:space="preserve">  No IMLN</w:t>
            </w:r>
          </w:p>
        </w:tc>
        <w:tc>
          <w:tcPr>
            <w:tcW w:w="47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180</w:t>
            </w:r>
          </w:p>
        </w:tc>
        <w:tc>
          <w:tcPr>
            <w:tcW w:w="396" w:type="pct"/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317" w:type="pct"/>
            <w:tcBorders>
              <w:lef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1.00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427BB" w:rsidRPr="000427BB" w:rsidTr="009347D2">
        <w:trPr>
          <w:trHeight w:val="194"/>
          <w:jc w:val="center"/>
        </w:trPr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 xml:space="preserve">  IMLN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180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 xml:space="preserve">.89 </w:t>
            </w: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0.86-9.70)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.09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.51 (0.71-8.82)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.15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/>
                <w:szCs w:val="21"/>
              </w:rPr>
              <w:t>3.17 (0.79-12.5)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27BB" w:rsidRPr="000427BB" w:rsidRDefault="000427BB" w:rsidP="000427B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427B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0427BB">
              <w:rPr>
                <w:rFonts w:ascii="Times New Roman" w:eastAsia="宋体" w:hAnsi="Times New Roman" w:cs="Times New Roman"/>
                <w:szCs w:val="21"/>
              </w:rPr>
              <w:t>.10</w:t>
            </w:r>
          </w:p>
        </w:tc>
      </w:tr>
    </w:tbl>
    <w:p w:rsidR="000427BB" w:rsidRPr="000427BB" w:rsidRDefault="000427BB" w:rsidP="000427BB">
      <w:pPr>
        <w:rPr>
          <w:rFonts w:ascii="Times New Roman" w:eastAsia="宋体" w:hAnsi="Times New Roman" w:cs="Times New Roman"/>
          <w:sz w:val="24"/>
          <w:szCs w:val="24"/>
        </w:rPr>
      </w:pPr>
      <w:r w:rsidRPr="000427BB">
        <w:rPr>
          <w:rFonts w:ascii="Times New Roman" w:eastAsia="宋体" w:hAnsi="Times New Roman" w:cs="Times New Roman"/>
          <w:sz w:val="24"/>
          <w:szCs w:val="24"/>
        </w:rPr>
        <w:t>Abbreviations: N, number; HR,</w:t>
      </w:r>
      <w:r w:rsidRPr="000427BB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hazard ratio; CI, confidence interval</w:t>
      </w:r>
      <w:r w:rsidRPr="000427BB">
        <w:rPr>
          <w:rFonts w:ascii="Times New Roman" w:eastAsia="宋体" w:hAnsi="Times New Roman" w:cs="Times New Roman"/>
          <w:sz w:val="24"/>
          <w:szCs w:val="24"/>
        </w:rPr>
        <w:t>.</w:t>
      </w:r>
    </w:p>
    <w:p w:rsidR="000427BB" w:rsidRPr="000427BB" w:rsidRDefault="000427BB" w:rsidP="000427BB">
      <w:pPr>
        <w:rPr>
          <w:rFonts w:ascii="Times New Roman" w:eastAsia="宋体" w:hAnsi="Times New Roman" w:cs="Times New Roman"/>
          <w:sz w:val="24"/>
          <w:szCs w:val="24"/>
        </w:rPr>
      </w:pPr>
      <w:r w:rsidRPr="000427B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† </w:t>
      </w:r>
      <w:r w:rsidRPr="000427BB">
        <w:rPr>
          <w:rFonts w:ascii="Times New Roman" w:eastAsia="宋体" w:hAnsi="Times New Roman" w:cs="Times New Roman"/>
          <w:sz w:val="24"/>
          <w:szCs w:val="24"/>
        </w:rPr>
        <w:t>HRs were adjusted for age at diagnosis, calendar year at diagnosis (2003-2010 or 2011-2019), residence (rural or urban), and menopausal status (premenopausal or postmenopausal).</w:t>
      </w:r>
    </w:p>
    <w:p w:rsidR="000427BB" w:rsidRPr="000427BB" w:rsidRDefault="000427BB" w:rsidP="000427BB">
      <w:pPr>
        <w:rPr>
          <w:rFonts w:ascii="Times New Roman" w:eastAsia="宋体" w:hAnsi="Times New Roman" w:cs="Times New Roman"/>
          <w:sz w:val="24"/>
          <w:szCs w:val="24"/>
        </w:rPr>
      </w:pPr>
      <w:r w:rsidRPr="000427BB">
        <w:rPr>
          <w:rFonts w:ascii="Times New Roman" w:eastAsia="宋体" w:hAnsi="Times New Roman" w:cs="Times New Roman" w:hint="eastAsia"/>
          <w:b/>
          <w:sz w:val="24"/>
          <w:szCs w:val="24"/>
          <w:vertAlign w:val="superscript"/>
        </w:rPr>
        <w:t>‡</w:t>
      </w:r>
      <w:r w:rsidRPr="000427B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0427BB">
        <w:rPr>
          <w:rFonts w:ascii="Times New Roman" w:eastAsia="宋体" w:hAnsi="Times New Roman" w:cs="Times New Roman"/>
          <w:sz w:val="24"/>
          <w:szCs w:val="24"/>
        </w:rPr>
        <w:t xml:space="preserve">HRs were additionally adjusted for tumor laterality (left side or right side), hormone receptor status (negative or positive), HER2 status (negative, positive, or unknown), clinical tumor size (≤ 5cm or &gt; 5cm), clinical lymph nodal status (cN0-N1 or cN2-N3), number of pathological lymph nodes (≤ 3 or </w:t>
      </w:r>
      <w:r w:rsidRPr="000427BB">
        <w:rPr>
          <w:rFonts w:ascii="Times New Roman" w:eastAsia="宋体" w:hAnsi="Times New Roman" w:cs="Times New Roman" w:hint="eastAsia"/>
          <w:sz w:val="24"/>
          <w:szCs w:val="24"/>
        </w:rPr>
        <w:t>&gt;</w:t>
      </w:r>
      <w:r w:rsidRPr="000427BB">
        <w:rPr>
          <w:rFonts w:ascii="Times New Roman" w:eastAsia="宋体" w:hAnsi="Times New Roman" w:cs="Times New Roman"/>
          <w:sz w:val="24"/>
          <w:szCs w:val="24"/>
        </w:rPr>
        <w:t xml:space="preserve"> 3) and histological grade (I/II, III, or unknown).</w:t>
      </w:r>
    </w:p>
    <w:p w:rsidR="000427BB" w:rsidRPr="000427BB" w:rsidRDefault="000427BB" w:rsidP="000427BB">
      <w:pPr>
        <w:rPr>
          <w:rFonts w:ascii="Times New Roman" w:eastAsia="宋体" w:hAnsi="Times New Roman" w:cs="Times New Roman"/>
          <w:sz w:val="24"/>
          <w:szCs w:val="24"/>
        </w:rPr>
      </w:pPr>
      <w:r w:rsidRPr="000427B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§ </w:t>
      </w:r>
      <w:r w:rsidRPr="000427BB">
        <w:rPr>
          <w:rFonts w:ascii="Times New Roman" w:eastAsia="宋体" w:hAnsi="Times New Roman" w:cs="Times New Roman"/>
          <w:sz w:val="24"/>
          <w:szCs w:val="24"/>
        </w:rPr>
        <w:t>HRs were additionally adjusted for endocrine therapy (yes or no), and HER2-targeted therapy (yes or no).</w:t>
      </w:r>
    </w:p>
    <w:sectPr w:rsidR="000427BB" w:rsidRPr="00042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852" w:rsidRDefault="00604852" w:rsidP="00575DDE">
      <w:r>
        <w:separator/>
      </w:r>
    </w:p>
  </w:endnote>
  <w:endnote w:type="continuationSeparator" w:id="0">
    <w:p w:rsidR="00604852" w:rsidRDefault="00604852" w:rsidP="0057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748856"/>
      <w:docPartObj>
        <w:docPartGallery w:val="Page Numbers (Bottom of Page)"/>
        <w:docPartUnique/>
      </w:docPartObj>
    </w:sdtPr>
    <w:sdtContent>
      <w:p w:rsidR="00575DDE" w:rsidRDefault="00575D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7BB" w:rsidRPr="000427BB">
          <w:rPr>
            <w:noProof/>
            <w:lang w:val="zh-CN"/>
          </w:rPr>
          <w:t>6</w:t>
        </w:r>
        <w:r>
          <w:fldChar w:fldCharType="end"/>
        </w:r>
      </w:p>
    </w:sdtContent>
  </w:sdt>
  <w:p w:rsidR="00575DDE" w:rsidRDefault="00575D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852" w:rsidRDefault="00604852" w:rsidP="00575DDE">
      <w:r>
        <w:separator/>
      </w:r>
    </w:p>
  </w:footnote>
  <w:footnote w:type="continuationSeparator" w:id="0">
    <w:p w:rsidR="00604852" w:rsidRDefault="00604852" w:rsidP="00575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8E"/>
    <w:rsid w:val="000427BB"/>
    <w:rsid w:val="000C421B"/>
    <w:rsid w:val="002A0A8E"/>
    <w:rsid w:val="00575DDE"/>
    <w:rsid w:val="0060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E9A7"/>
  <w15:chartTrackingRefBased/>
  <w15:docId w15:val="{C53CAD79-4F47-4132-96D5-6832C417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D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DDE"/>
    <w:rPr>
      <w:sz w:val="18"/>
      <w:szCs w:val="18"/>
    </w:rPr>
  </w:style>
  <w:style w:type="table" w:styleId="a7">
    <w:name w:val="Table Grid"/>
    <w:basedOn w:val="a1"/>
    <w:uiPriority w:val="39"/>
    <w:rsid w:val="0004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E3D3-6C95-46E9-A8FF-6C8778C3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2023-07-23T03:56:00Z</dcterms:created>
  <dcterms:modified xsi:type="dcterms:W3CDTF">2023-07-23T04:05:00Z</dcterms:modified>
</cp:coreProperties>
</file>