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C2C530" w14:textId="70F53745" w:rsidR="001D4479" w:rsidRPr="00546AE4" w:rsidRDefault="001D4479" w:rsidP="00546AE4">
      <w:pPr>
        <w:spacing w:line="48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546AE4">
        <w:rPr>
          <w:rFonts w:ascii="Arial" w:hAnsi="Arial" w:cs="Arial"/>
          <w:b/>
          <w:bCs/>
          <w:sz w:val="24"/>
          <w:szCs w:val="24"/>
        </w:rPr>
        <w:t>Supplementary Material</w:t>
      </w:r>
    </w:p>
    <w:p w14:paraId="43956476" w14:textId="50DE7F34" w:rsidR="001D4479" w:rsidRPr="001D4479" w:rsidRDefault="00000000" w:rsidP="00546AE4">
      <w:pPr>
        <w:spacing w:line="480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hyperlink r:id="rId6" w:tgtFrame="_blank" w:history="1">
        <w:r w:rsidR="001D4479" w:rsidRPr="001D4479">
          <w:rPr>
            <w:rFonts w:ascii="Arial" w:hAnsi="Arial" w:cs="Arial"/>
            <w:b/>
            <w:bCs/>
            <w:color w:val="000000" w:themeColor="text1"/>
            <w:sz w:val="24"/>
            <w:szCs w:val="24"/>
          </w:rPr>
          <w:t>Association between</w:t>
        </w:r>
        <w:bookmarkStart w:id="0" w:name="OLE_LINK15"/>
        <w:r w:rsidR="001D4479" w:rsidRPr="001D4479">
          <w:rPr>
            <w:rFonts w:ascii="Arial" w:hAnsi="Arial" w:cs="Arial"/>
            <w:b/>
            <w:bCs/>
            <w:color w:val="000000" w:themeColor="text1"/>
            <w:sz w:val="24"/>
            <w:szCs w:val="24"/>
          </w:rPr>
          <w:t xml:space="preserve"> </w:t>
        </w:r>
        <w:bookmarkStart w:id="1" w:name="OLE_LINK22"/>
        <w:r w:rsidR="001D4479" w:rsidRPr="001D4479">
          <w:rPr>
            <w:rFonts w:ascii="Arial" w:hAnsi="Arial" w:cs="Arial"/>
            <w:b/>
            <w:bCs/>
            <w:color w:val="000000" w:themeColor="text1"/>
            <w:sz w:val="24"/>
            <w:szCs w:val="24"/>
          </w:rPr>
          <w:t>gut microbiota</w:t>
        </w:r>
        <w:bookmarkEnd w:id="0"/>
        <w:r w:rsidR="001D4479" w:rsidRPr="001D4479">
          <w:rPr>
            <w:rFonts w:ascii="Arial" w:hAnsi="Arial" w:cs="Arial"/>
            <w:b/>
            <w:bCs/>
            <w:color w:val="000000" w:themeColor="text1"/>
            <w:sz w:val="24"/>
            <w:szCs w:val="24"/>
          </w:rPr>
          <w:t xml:space="preserve"> and</w:t>
        </w:r>
        <w:bookmarkStart w:id="2" w:name="OLE_LINK19"/>
        <w:r w:rsidR="001D4479" w:rsidRPr="001D4479">
          <w:rPr>
            <w:rFonts w:ascii="Arial" w:hAnsi="Arial" w:cs="Arial"/>
            <w:b/>
            <w:bCs/>
            <w:color w:val="000000" w:themeColor="text1"/>
            <w:sz w:val="24"/>
            <w:szCs w:val="24"/>
          </w:rPr>
          <w:t xml:space="preserve"> </w:t>
        </w:r>
        <w:bookmarkStart w:id="3" w:name="OLE_LINK20"/>
        <w:r w:rsidR="001D4479" w:rsidRPr="001D4479">
          <w:rPr>
            <w:rFonts w:ascii="Arial" w:hAnsi="Arial" w:cs="Arial"/>
            <w:b/>
            <w:bCs/>
            <w:color w:val="000000" w:themeColor="text1"/>
            <w:sz w:val="24"/>
            <w:szCs w:val="24"/>
          </w:rPr>
          <w:t>venous thromboembolism</w:t>
        </w:r>
        <w:bookmarkEnd w:id="1"/>
        <w:bookmarkEnd w:id="2"/>
        <w:bookmarkEnd w:id="3"/>
        <w:r w:rsidR="001D4479" w:rsidRPr="001D4479">
          <w:rPr>
            <w:rFonts w:ascii="Arial" w:hAnsi="Arial" w:cs="Arial"/>
            <w:b/>
            <w:bCs/>
            <w:color w:val="000000" w:themeColor="text1"/>
            <w:sz w:val="24"/>
            <w:szCs w:val="24"/>
          </w:rPr>
          <w:t xml:space="preserve">: a two-sample </w:t>
        </w:r>
        <w:bookmarkStart w:id="4" w:name="OLE_LINK4"/>
        <w:r w:rsidR="001D4479" w:rsidRPr="001D4479">
          <w:rPr>
            <w:rFonts w:ascii="Arial" w:hAnsi="Arial" w:cs="Arial"/>
            <w:b/>
            <w:bCs/>
            <w:color w:val="000000" w:themeColor="text1"/>
            <w:sz w:val="24"/>
            <w:szCs w:val="24"/>
          </w:rPr>
          <w:t>Mendelian randomization</w:t>
        </w:r>
        <w:bookmarkEnd w:id="4"/>
        <w:r w:rsidR="001D4479" w:rsidRPr="001D4479">
          <w:rPr>
            <w:rFonts w:ascii="Arial" w:hAnsi="Arial" w:cs="Arial"/>
            <w:b/>
            <w:bCs/>
            <w:color w:val="000000" w:themeColor="text1"/>
            <w:sz w:val="24"/>
            <w:szCs w:val="24"/>
          </w:rPr>
          <w:t xml:space="preserve"> study</w:t>
        </w:r>
      </w:hyperlink>
    </w:p>
    <w:p w14:paraId="553BCA0C" w14:textId="77777777" w:rsidR="001D4479" w:rsidRPr="001D4479" w:rsidRDefault="001D4479" w:rsidP="00546AE4">
      <w:p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1D4479">
        <w:rPr>
          <w:rFonts w:ascii="Arial" w:hAnsi="Arial" w:cs="Arial"/>
          <w:color w:val="000000" w:themeColor="text1"/>
          <w:sz w:val="24"/>
          <w:szCs w:val="24"/>
        </w:rPr>
        <w:t>Chao Wang</w:t>
      </w:r>
      <w:bookmarkStart w:id="5" w:name="OLE_LINK291"/>
      <w:bookmarkStart w:id="6" w:name="OLE_LINK290"/>
      <w:r w:rsidRPr="001D4479">
        <w:rPr>
          <w:rFonts w:ascii="Arial" w:hAnsi="Arial" w:cs="Arial"/>
          <w:sz w:val="24"/>
          <w:szCs w:val="24"/>
          <w:vertAlign w:val="superscript"/>
        </w:rPr>
        <w:t>†</w:t>
      </w:r>
      <w:bookmarkEnd w:id="5"/>
      <w:bookmarkEnd w:id="6"/>
      <w:r w:rsidRPr="001D4479">
        <w:rPr>
          <w:rFonts w:ascii="Arial" w:hAnsi="Arial" w:cs="Arial"/>
          <w:sz w:val="24"/>
          <w:szCs w:val="24"/>
          <w:vertAlign w:val="superscript"/>
        </w:rPr>
        <w:t>13</w:t>
      </w:r>
      <w:r w:rsidRPr="001D4479">
        <w:rPr>
          <w:rFonts w:ascii="Arial" w:hAnsi="Arial" w:cs="Arial"/>
          <w:color w:val="000000" w:themeColor="text1"/>
          <w:sz w:val="24"/>
          <w:szCs w:val="24"/>
        </w:rPr>
        <w:t>, Jia Wang</w:t>
      </w:r>
      <w:r w:rsidRPr="001D4479">
        <w:rPr>
          <w:rFonts w:ascii="Arial" w:hAnsi="Arial" w:cs="Arial"/>
          <w:sz w:val="24"/>
          <w:szCs w:val="24"/>
          <w:vertAlign w:val="superscript"/>
        </w:rPr>
        <w:t>†23</w:t>
      </w:r>
      <w:r w:rsidRPr="001D4479">
        <w:rPr>
          <w:rFonts w:ascii="Arial" w:hAnsi="Arial" w:cs="Arial"/>
          <w:color w:val="000000" w:themeColor="text1"/>
          <w:sz w:val="24"/>
          <w:szCs w:val="24"/>
        </w:rPr>
        <w:t>, Bojian Fei</w:t>
      </w:r>
      <w:r w:rsidRPr="001D4479">
        <w:rPr>
          <w:rFonts w:ascii="Arial" w:hAnsi="Arial" w:cs="Arial"/>
          <w:kern w:val="0"/>
          <w:sz w:val="24"/>
          <w:szCs w:val="24"/>
        </w:rPr>
        <w:t>*</w:t>
      </w:r>
      <w:r w:rsidRPr="001D4479">
        <w:rPr>
          <w:rFonts w:ascii="Arial" w:hAnsi="Arial" w:cs="Arial"/>
          <w:kern w:val="0"/>
          <w:sz w:val="24"/>
          <w:szCs w:val="24"/>
          <w:vertAlign w:val="superscript"/>
        </w:rPr>
        <w:t>13</w:t>
      </w:r>
    </w:p>
    <w:p w14:paraId="71C31DA0" w14:textId="77777777" w:rsidR="001D4479" w:rsidRPr="001D4479" w:rsidRDefault="001D4479" w:rsidP="006541ED">
      <w:p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bookmarkStart w:id="7" w:name="_Hlk142328999"/>
      <w:r w:rsidRPr="001D4479">
        <w:rPr>
          <w:rFonts w:ascii="Arial" w:hAnsi="Arial" w:cs="Arial"/>
          <w:sz w:val="24"/>
          <w:szCs w:val="24"/>
          <w:vertAlign w:val="superscript"/>
        </w:rPr>
        <w:t>1</w:t>
      </w:r>
      <w:r w:rsidRPr="001D4479">
        <w:rPr>
          <w:rFonts w:ascii="Arial" w:hAnsi="Arial" w:cs="Arial"/>
          <w:color w:val="000000" w:themeColor="text1"/>
          <w:sz w:val="24"/>
          <w:szCs w:val="24"/>
        </w:rPr>
        <w:t xml:space="preserve">Department of Gastrointestinal Surgery, Affiliated Hospital of Jiangnan University, 214122, Wuxi, Jiangsu, China; </w:t>
      </w:r>
      <w:r w:rsidRPr="001D4479">
        <w:rPr>
          <w:rFonts w:ascii="Arial" w:hAnsi="Arial" w:cs="Arial"/>
          <w:sz w:val="24"/>
          <w:szCs w:val="24"/>
          <w:vertAlign w:val="superscript"/>
        </w:rPr>
        <w:t>2</w:t>
      </w:r>
      <w:r w:rsidRPr="001D4479">
        <w:rPr>
          <w:rFonts w:ascii="Arial" w:hAnsi="Arial" w:cs="Arial"/>
          <w:color w:val="000000" w:themeColor="text1"/>
          <w:sz w:val="24"/>
          <w:szCs w:val="24"/>
        </w:rPr>
        <w:t>Department of Pain Management, The Affiliated Hospital of Jiangnan University, Wuxi, Jiangsu, China.</w:t>
      </w:r>
      <w:r w:rsidRPr="001D4479">
        <w:rPr>
          <w:rFonts w:ascii="Arial" w:hAnsi="Arial" w:cs="Arial"/>
          <w:sz w:val="24"/>
          <w:szCs w:val="24"/>
        </w:rPr>
        <w:t xml:space="preserve"> </w:t>
      </w:r>
      <w:r w:rsidRPr="001D4479">
        <w:rPr>
          <w:rFonts w:ascii="Arial" w:hAnsi="Arial" w:cs="Arial"/>
          <w:sz w:val="24"/>
          <w:szCs w:val="24"/>
          <w:vertAlign w:val="superscript"/>
        </w:rPr>
        <w:t>3</w:t>
      </w:r>
      <w:r w:rsidRPr="001D4479">
        <w:rPr>
          <w:rFonts w:ascii="Arial" w:hAnsi="Arial" w:cs="Arial"/>
          <w:color w:val="000000" w:themeColor="text1"/>
          <w:sz w:val="24"/>
          <w:szCs w:val="24"/>
        </w:rPr>
        <w:t>Wuxi School of Medicine, Jiangnan University, 214122, Wuxi, Jiangsu, China.</w:t>
      </w:r>
    </w:p>
    <w:bookmarkEnd w:id="7"/>
    <w:p w14:paraId="65547936" w14:textId="2324D776" w:rsidR="001D4479" w:rsidRPr="001D4479" w:rsidRDefault="001D4479" w:rsidP="006541ED">
      <w:pPr>
        <w:spacing w:line="480" w:lineRule="auto"/>
        <w:rPr>
          <w:rFonts w:ascii="Arial" w:hAnsi="Arial" w:cs="Arial"/>
          <w:sz w:val="24"/>
          <w:szCs w:val="24"/>
        </w:rPr>
      </w:pPr>
      <w:r w:rsidRPr="001D4479">
        <w:rPr>
          <w:rFonts w:ascii="Arial" w:hAnsi="Arial" w:cs="Arial"/>
          <w:sz w:val="24"/>
          <w:szCs w:val="24"/>
          <w:vertAlign w:val="superscript"/>
        </w:rPr>
        <w:t>†</w:t>
      </w:r>
      <w:r w:rsidR="005747AC" w:rsidRPr="005747AC">
        <w:rPr>
          <w:rFonts w:ascii="Arial" w:hAnsi="Arial" w:cs="Arial"/>
          <w:sz w:val="24"/>
          <w:szCs w:val="24"/>
        </w:rPr>
        <w:t>These authors contributed equally to this work and share first authorship</w:t>
      </w:r>
      <w:r w:rsidRPr="001D4479">
        <w:rPr>
          <w:rFonts w:ascii="Arial" w:hAnsi="Arial" w:cs="Arial"/>
          <w:sz w:val="24"/>
          <w:szCs w:val="24"/>
        </w:rPr>
        <w:t>.</w:t>
      </w:r>
    </w:p>
    <w:p w14:paraId="74BAF0A5" w14:textId="77777777" w:rsidR="001D4479" w:rsidRPr="001D4479" w:rsidRDefault="001D4479" w:rsidP="00546AE4">
      <w:pPr>
        <w:spacing w:line="480" w:lineRule="auto"/>
        <w:rPr>
          <w:rFonts w:ascii="Arial" w:hAnsi="Arial" w:cs="Arial"/>
          <w:sz w:val="24"/>
          <w:szCs w:val="24"/>
        </w:rPr>
      </w:pPr>
      <w:r w:rsidRPr="001D4479">
        <w:rPr>
          <w:rFonts w:ascii="Arial" w:hAnsi="Arial" w:cs="Arial"/>
          <w:kern w:val="0"/>
          <w:sz w:val="24"/>
          <w:szCs w:val="24"/>
        </w:rPr>
        <w:t>*Corresponding author:</w:t>
      </w:r>
      <w:r w:rsidRPr="001D4479">
        <w:rPr>
          <w:rFonts w:ascii="Arial" w:hAnsi="Arial" w:cs="Arial"/>
          <w:sz w:val="24"/>
          <w:szCs w:val="24"/>
        </w:rPr>
        <w:t xml:space="preserve"> </w:t>
      </w:r>
      <w:bookmarkStart w:id="8" w:name="OLE_LINK323"/>
      <w:bookmarkStart w:id="9" w:name="OLE_LINK324"/>
    </w:p>
    <w:p w14:paraId="42AED696" w14:textId="77777777" w:rsidR="001D4479" w:rsidRPr="001D4479" w:rsidRDefault="001D4479" w:rsidP="00546AE4">
      <w:p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1D4479">
        <w:rPr>
          <w:rFonts w:ascii="Arial" w:hAnsi="Arial" w:cs="Arial"/>
          <w:kern w:val="0"/>
          <w:sz w:val="24"/>
          <w:szCs w:val="24"/>
        </w:rPr>
        <w:t>Bojian Fei,</w:t>
      </w:r>
      <w:r w:rsidRPr="001D4479">
        <w:rPr>
          <w:rFonts w:ascii="Arial" w:hAnsi="Arial" w:cs="Arial"/>
          <w:sz w:val="24"/>
          <w:szCs w:val="24"/>
        </w:rPr>
        <w:t xml:space="preserve"> </w:t>
      </w:r>
      <w:bookmarkStart w:id="10" w:name="OLE_LINK325"/>
      <w:bookmarkStart w:id="11" w:name="OLE_LINK326"/>
      <w:bookmarkEnd w:id="8"/>
      <w:bookmarkEnd w:id="9"/>
      <w:r w:rsidRPr="001D4479">
        <w:rPr>
          <w:rFonts w:ascii="Arial" w:hAnsi="Arial" w:cs="Arial"/>
          <w:color w:val="000000" w:themeColor="text1"/>
          <w:sz w:val="24"/>
          <w:szCs w:val="24"/>
        </w:rPr>
        <w:t>Department of Gastrointestinal Surgery, Affiliated Hospital of Jiangnan University, 214122, Wuxi, Jiangsu, China</w:t>
      </w:r>
      <w:r w:rsidRPr="001D4479">
        <w:rPr>
          <w:rFonts w:ascii="Arial" w:hAnsi="Arial" w:cs="Arial"/>
          <w:kern w:val="0"/>
          <w:sz w:val="24"/>
          <w:szCs w:val="24"/>
        </w:rPr>
        <w:t xml:space="preserve">; </w:t>
      </w:r>
      <w:r w:rsidRPr="001D4479">
        <w:rPr>
          <w:rFonts w:ascii="Arial" w:hAnsi="Arial" w:cs="Arial"/>
          <w:color w:val="000000" w:themeColor="text1"/>
          <w:sz w:val="24"/>
          <w:szCs w:val="24"/>
        </w:rPr>
        <w:t xml:space="preserve">Wuxi School of Medicine, Jiangnan University, 214122, Wuxi, Jiangsu, China; </w:t>
      </w:r>
      <w:r w:rsidRPr="001D4479">
        <w:rPr>
          <w:rFonts w:ascii="Arial" w:hAnsi="Arial" w:cs="Arial"/>
          <w:sz w:val="24"/>
          <w:szCs w:val="24"/>
        </w:rPr>
        <w:t>E-mail:</w:t>
      </w:r>
      <w:bookmarkEnd w:id="10"/>
      <w:bookmarkEnd w:id="11"/>
      <w:r w:rsidRPr="001D4479">
        <w:rPr>
          <w:rFonts w:ascii="Arial" w:hAnsi="Arial" w:cs="Arial"/>
          <w:sz w:val="24"/>
          <w:szCs w:val="24"/>
        </w:rPr>
        <w:t xml:space="preserve"> jdfyfbj1971@163.com.</w:t>
      </w:r>
    </w:p>
    <w:p w14:paraId="1E6C0821" w14:textId="77777777" w:rsidR="001D4479" w:rsidRPr="00546AE4" w:rsidRDefault="001D4479" w:rsidP="00546AE4">
      <w:pPr>
        <w:spacing w:line="480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546AE4">
        <w:rPr>
          <w:rFonts w:ascii="Arial" w:hAnsi="Arial" w:cs="Arial"/>
          <w:b/>
          <w:bCs/>
          <w:color w:val="000000" w:themeColor="text1"/>
          <w:sz w:val="24"/>
          <w:szCs w:val="24"/>
        </w:rPr>
        <w:t>Figure legend</w:t>
      </w:r>
    </w:p>
    <w:p w14:paraId="0D959B36" w14:textId="77777777" w:rsidR="001D4479" w:rsidRPr="00546AE4" w:rsidRDefault="001D4479" w:rsidP="00546AE4">
      <w:pPr>
        <w:spacing w:line="480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546AE4">
        <w:rPr>
          <w:rFonts w:ascii="Arial" w:hAnsi="Arial" w:cs="Arial"/>
          <w:b/>
          <w:bCs/>
          <w:sz w:val="24"/>
          <w:szCs w:val="24"/>
        </w:rPr>
        <w:t>Fig S1 Funnel plots from 16 gut microbiota taxa on the risk of VTE, DVT, and PE</w:t>
      </w:r>
      <w:r w:rsidRPr="00546AE4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after excluding these pleiotropic SNPs.</w:t>
      </w:r>
    </w:p>
    <w:p w14:paraId="77B596F9" w14:textId="1640A563" w:rsidR="001D4479" w:rsidRPr="00546AE4" w:rsidRDefault="001D4479" w:rsidP="00546AE4">
      <w:pPr>
        <w:spacing w:line="480" w:lineRule="auto"/>
        <w:rPr>
          <w:rFonts w:ascii="Arial" w:hAnsi="Arial" w:cs="Arial"/>
          <w:sz w:val="24"/>
          <w:szCs w:val="24"/>
        </w:rPr>
      </w:pPr>
      <w:r w:rsidRPr="00546AE4">
        <w:rPr>
          <w:rFonts w:ascii="Arial" w:hAnsi="Arial" w:cs="Arial"/>
          <w:sz w:val="24"/>
          <w:szCs w:val="24"/>
        </w:rPr>
        <w:t>Funnel plot showing the overall heterogeneity of MR estimates of gut microbiota on VTE, DVT, and PE.</w:t>
      </w:r>
      <w:r w:rsidRPr="00546AE4">
        <w:rPr>
          <w:rFonts w:ascii="Arial" w:hAnsi="Arial" w:cs="Arial"/>
          <w:color w:val="000000" w:themeColor="text1"/>
          <w:sz w:val="24"/>
          <w:szCs w:val="24"/>
        </w:rPr>
        <w:t xml:space="preserve"> A-B. Gut microbiota-VTE; C-J. Gut microbiota-DVT; K-P. Gut microbiota-PE.</w:t>
      </w:r>
    </w:p>
    <w:p w14:paraId="1ACF5DB6" w14:textId="77777777" w:rsidR="00B13176" w:rsidRPr="00546AE4" w:rsidRDefault="00B13176" w:rsidP="00546AE4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r w:rsidRPr="00546AE4">
        <w:rPr>
          <w:rFonts w:ascii="Arial" w:hAnsi="Arial" w:cs="Arial"/>
          <w:b/>
          <w:bCs/>
          <w:sz w:val="24"/>
          <w:szCs w:val="24"/>
        </w:rPr>
        <w:t>Fig S2. Scatter plots of the MR estimates for the significant causality of 16 gut microbiota taxa and the risk of VTE, DVT, and PE</w:t>
      </w:r>
      <w:r w:rsidRPr="00546AE4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after excluding </w:t>
      </w:r>
      <w:r w:rsidRPr="00546AE4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these pleiotropic SNPs</w:t>
      </w:r>
      <w:r w:rsidRPr="00546AE4">
        <w:rPr>
          <w:rFonts w:ascii="Arial" w:hAnsi="Arial" w:cs="Arial"/>
          <w:b/>
          <w:bCs/>
          <w:sz w:val="24"/>
          <w:szCs w:val="24"/>
        </w:rPr>
        <w:t>.</w:t>
      </w:r>
    </w:p>
    <w:p w14:paraId="25D8C482" w14:textId="77777777" w:rsidR="00B13176" w:rsidRPr="00546AE4" w:rsidRDefault="00B13176" w:rsidP="00546AE4">
      <w:pPr>
        <w:spacing w:line="480" w:lineRule="auto"/>
        <w:rPr>
          <w:rFonts w:ascii="Arial" w:hAnsi="Arial" w:cs="Arial"/>
          <w:sz w:val="24"/>
          <w:szCs w:val="24"/>
        </w:rPr>
      </w:pPr>
      <w:r w:rsidRPr="00546AE4">
        <w:rPr>
          <w:rFonts w:ascii="Arial" w:hAnsi="Arial" w:cs="Arial"/>
          <w:sz w:val="24"/>
          <w:szCs w:val="24"/>
        </w:rPr>
        <w:t xml:space="preserve">A-B. The causal effect of the gut microbiota on VTE; C-J. The causal effect of gut microbiota on DVT; K-P. Potential causal effect of gut microbiota taxa on PE. </w:t>
      </w:r>
    </w:p>
    <w:p w14:paraId="0B7F385D" w14:textId="763FE773" w:rsidR="008D436C" w:rsidRPr="00546AE4" w:rsidRDefault="00B13176" w:rsidP="00546AE4">
      <w:pPr>
        <w:spacing w:line="480" w:lineRule="auto"/>
        <w:rPr>
          <w:rFonts w:ascii="Arial" w:hAnsi="Arial" w:cs="Arial"/>
          <w:sz w:val="24"/>
          <w:szCs w:val="24"/>
        </w:rPr>
      </w:pPr>
      <w:r w:rsidRPr="00546AE4">
        <w:rPr>
          <w:rFonts w:ascii="Arial" w:hAnsi="Arial" w:cs="Arial"/>
          <w:sz w:val="24"/>
          <w:szCs w:val="24"/>
        </w:rPr>
        <w:t>The lines implying positive correlations moved diagonally upward from left to right, indicating a facilitative effect of gut microbiota on outcomes. The horizontal and vertical lines indicated each correlation’s 95% confidence interval. The lines implying negative correlations move diagonally downward from left to right, indicating the inhibitory effect of gut microbiota on</w:t>
      </w:r>
      <w:r w:rsidR="00860667" w:rsidRPr="00546AE4">
        <w:rPr>
          <w:rFonts w:ascii="Arial" w:hAnsi="Arial" w:cs="Arial"/>
          <w:sz w:val="24"/>
          <w:szCs w:val="24"/>
        </w:rPr>
        <w:t xml:space="preserve"> </w:t>
      </w:r>
      <w:r w:rsidRPr="00546AE4">
        <w:rPr>
          <w:rFonts w:ascii="Arial" w:hAnsi="Arial" w:cs="Arial"/>
          <w:sz w:val="24"/>
          <w:szCs w:val="24"/>
        </w:rPr>
        <w:t xml:space="preserve">outcomes. </w:t>
      </w:r>
      <w:r w:rsidR="00860667" w:rsidRPr="00546AE4">
        <w:rPr>
          <w:rFonts w:ascii="Arial" w:eastAsia="MyriadPro-Light" w:hAnsi="Arial" w:cs="Arial"/>
          <w:kern w:val="0"/>
          <w:sz w:val="24"/>
          <w:szCs w:val="24"/>
        </w:rPr>
        <w:t>Abbreviations</w:t>
      </w:r>
      <w:r w:rsidR="00860667" w:rsidRPr="00546AE4">
        <w:rPr>
          <w:rFonts w:ascii="Arial" w:hAnsi="Arial" w:cs="Arial"/>
          <w:sz w:val="24"/>
          <w:szCs w:val="24"/>
        </w:rPr>
        <w:t xml:space="preserve">: </w:t>
      </w:r>
      <w:r w:rsidRPr="00546AE4">
        <w:rPr>
          <w:rFonts w:ascii="Arial" w:hAnsi="Arial" w:cs="Arial"/>
          <w:sz w:val="24"/>
          <w:szCs w:val="24"/>
        </w:rPr>
        <w:t>MR, Mendelian randomization; SNPs, single nucleotide polymorphisms</w:t>
      </w:r>
      <w:r w:rsidR="003732C0" w:rsidRPr="00546AE4">
        <w:rPr>
          <w:rFonts w:ascii="Arial" w:hAnsi="Arial" w:cs="Arial"/>
          <w:sz w:val="24"/>
          <w:szCs w:val="24"/>
        </w:rPr>
        <w:t>.</w:t>
      </w:r>
    </w:p>
    <w:p w14:paraId="4D2CE664" w14:textId="77777777" w:rsidR="003732C0" w:rsidRPr="00546AE4" w:rsidRDefault="003732C0" w:rsidP="00546AE4">
      <w:pPr>
        <w:spacing w:line="480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546AE4">
        <w:rPr>
          <w:rFonts w:ascii="Arial" w:hAnsi="Arial" w:cs="Arial"/>
          <w:b/>
          <w:bCs/>
          <w:sz w:val="24"/>
          <w:szCs w:val="24"/>
        </w:rPr>
        <w:t>Fig S3. Forest plot of the causal effect of16 gut microbiota taxa on VTE, DVT, and PE</w:t>
      </w:r>
      <w:r w:rsidRPr="00546AE4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after excluding these pleiotropic SNPs.</w:t>
      </w:r>
    </w:p>
    <w:p w14:paraId="1B139306" w14:textId="58FC158F" w:rsidR="003732C0" w:rsidRPr="00546AE4" w:rsidRDefault="003732C0" w:rsidP="00546AE4">
      <w:pPr>
        <w:spacing w:line="480" w:lineRule="auto"/>
        <w:rPr>
          <w:rFonts w:ascii="Arial" w:hAnsi="Arial" w:cs="Arial"/>
          <w:sz w:val="24"/>
          <w:szCs w:val="24"/>
        </w:rPr>
      </w:pPr>
      <w:r w:rsidRPr="00546AE4">
        <w:rPr>
          <w:rFonts w:ascii="Arial" w:hAnsi="Arial" w:cs="Arial"/>
          <w:sz w:val="24"/>
          <w:szCs w:val="24"/>
        </w:rPr>
        <w:t>A-B. The causal effect of the gut microbiota on VTE; C-J. The causal effect of gut microbiota on DVT; K-P. Potential causal effect of gut microbiota taxa on PE.</w:t>
      </w:r>
    </w:p>
    <w:p w14:paraId="51725C83" w14:textId="49914EFB" w:rsidR="003732C0" w:rsidRPr="00546AE4" w:rsidRDefault="003732C0" w:rsidP="00546AE4">
      <w:pPr>
        <w:spacing w:line="480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546AE4">
        <w:rPr>
          <w:rFonts w:ascii="Arial" w:eastAsia="MyriadPro-Light" w:hAnsi="Arial" w:cs="Arial"/>
          <w:kern w:val="0"/>
          <w:sz w:val="24"/>
          <w:szCs w:val="24"/>
        </w:rPr>
        <w:t>Abbreviations</w:t>
      </w:r>
      <w:r w:rsidRPr="00546AE4">
        <w:rPr>
          <w:rFonts w:ascii="Arial" w:hAnsi="Arial" w:cs="Arial"/>
          <w:sz w:val="24"/>
          <w:szCs w:val="24"/>
        </w:rPr>
        <w:t xml:space="preserve">: MR, Mendelian randomization; SNPs, single nucleotide polymorphisms; IVW, </w:t>
      </w:r>
      <w:r w:rsidRPr="00546AE4">
        <w:rPr>
          <w:rFonts w:ascii="Arial" w:hAnsi="Arial" w:cs="Arial"/>
          <w:kern w:val="0"/>
          <w:sz w:val="24"/>
          <w:szCs w:val="24"/>
        </w:rPr>
        <w:t>inverse-variance weighted.</w:t>
      </w:r>
    </w:p>
    <w:p w14:paraId="30400E7D" w14:textId="4E8F5C39" w:rsidR="003732C0" w:rsidRPr="00546AE4" w:rsidRDefault="003732C0" w:rsidP="00546AE4">
      <w:pPr>
        <w:spacing w:line="480" w:lineRule="auto"/>
        <w:rPr>
          <w:rFonts w:ascii="Arial" w:hAnsi="Arial" w:cs="Arial"/>
          <w:sz w:val="24"/>
          <w:szCs w:val="24"/>
        </w:rPr>
      </w:pPr>
    </w:p>
    <w:sectPr w:rsidR="003732C0" w:rsidRPr="00546A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0B08FC" w14:textId="77777777" w:rsidR="00C22D83" w:rsidRDefault="00C22D83" w:rsidP="006541ED">
      <w:r>
        <w:separator/>
      </w:r>
    </w:p>
  </w:endnote>
  <w:endnote w:type="continuationSeparator" w:id="0">
    <w:p w14:paraId="17B3B23B" w14:textId="77777777" w:rsidR="00C22D83" w:rsidRDefault="00C22D83" w:rsidP="006541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yriadPro-Light">
    <w:altName w:val="Yu Gothic"/>
    <w:panose1 w:val="00000000000000000000"/>
    <w:charset w:val="80"/>
    <w:family w:val="swiss"/>
    <w:notTrueType/>
    <w:pitch w:val="default"/>
    <w:sig w:usb0="00000001" w:usb1="080F0000" w:usb2="00000010" w:usb3="00000000" w:csb0="0006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B9E068" w14:textId="77777777" w:rsidR="00C22D83" w:rsidRDefault="00C22D83" w:rsidP="006541ED">
      <w:r>
        <w:separator/>
      </w:r>
    </w:p>
  </w:footnote>
  <w:footnote w:type="continuationSeparator" w:id="0">
    <w:p w14:paraId="5BC83DFE" w14:textId="77777777" w:rsidR="00C22D83" w:rsidRDefault="00C22D83" w:rsidP="006541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436C"/>
    <w:rsid w:val="001D4479"/>
    <w:rsid w:val="003732C0"/>
    <w:rsid w:val="00390634"/>
    <w:rsid w:val="00546AE4"/>
    <w:rsid w:val="005747AC"/>
    <w:rsid w:val="006541ED"/>
    <w:rsid w:val="00860667"/>
    <w:rsid w:val="008D436C"/>
    <w:rsid w:val="00B13176"/>
    <w:rsid w:val="00C22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F48238"/>
  <w15:chartTrackingRefBased/>
  <w15:docId w15:val="{B67BF1D8-5539-4F06-9E6B-A11E3CBA97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D4479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1D4479"/>
    <w:rPr>
      <w:color w:val="605E5C"/>
      <w:shd w:val="clear" w:color="auto" w:fill="E1DFDD"/>
    </w:rPr>
  </w:style>
  <w:style w:type="paragraph" w:styleId="a5">
    <w:name w:val="header"/>
    <w:basedOn w:val="a"/>
    <w:link w:val="a6"/>
    <w:uiPriority w:val="99"/>
    <w:unhideWhenUsed/>
    <w:rsid w:val="006541E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541ED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6541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6541E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pubmed.ncbi.nlm.nih.gov/36380372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355</Words>
  <Characters>2024</Characters>
  <Application>Microsoft Office Word</Application>
  <DocSecurity>0</DocSecurity>
  <Lines>16</Lines>
  <Paragraphs>4</Paragraphs>
  <ScaleCrop>false</ScaleCrop>
  <Company/>
  <LinksUpToDate>false</LinksUpToDate>
  <CharactersWithSpaces>2375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超 王</dc:creator>
  <cp:keywords/>
  <dc:description/>
  <cp:lastModifiedBy>超 王</cp:lastModifiedBy>
  <cp:revision>8</cp:revision>
  <dcterms:created xsi:type="dcterms:W3CDTF">2023-08-07T13:23:00Z</dcterms:created>
  <dcterms:modified xsi:type="dcterms:W3CDTF">2023-08-13T03:35:00Z</dcterms:modified>
</cp:coreProperties>
</file>