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477" w:rsidRDefault="00783477" w:rsidP="00783477">
      <w:pPr>
        <w:pStyle w:val="Caption"/>
        <w:keepNext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SEQ Supplementary_Table \* ARABIC </w:instrTex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fldChar w:fldCharType="end"/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results 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chordoma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-specific survival (CSS) and progression-free survival (PFS) with possible risk factors by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univariable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analysis</w:t>
      </w:r>
    </w:p>
    <w:tbl>
      <w:tblPr>
        <w:tblW w:w="12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183"/>
        <w:gridCol w:w="904"/>
        <w:gridCol w:w="2287"/>
        <w:gridCol w:w="1418"/>
        <w:gridCol w:w="1325"/>
        <w:gridCol w:w="2059"/>
        <w:gridCol w:w="1435"/>
      </w:tblGrid>
      <w:tr w:rsidR="00783477" w:rsidTr="00783477">
        <w:trPr>
          <w:trHeight w:val="48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Risk Factors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No.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CSS (months) mean, 95% CI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 w:themeColor="text1"/>
                <w:kern w:val="2"/>
                <w:sz w:val="24"/>
              </w:rPr>
              <w:t>P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No.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PFS (months)</w:t>
            </w: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br/>
              <w:t>mean, 95% CI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 w:themeColor="text1"/>
                <w:kern w:val="2"/>
                <w:sz w:val="24"/>
              </w:rPr>
              <w:t>P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Sex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Male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162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111.4 (96.3, 126.5)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.006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146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45.9 (36.2 - 55.7)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.515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Female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122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92.8 (76.7, 108.9)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99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43.0 (33.1 - 52.9)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Age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≤ 20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34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92.4 (73.1, 111.7)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.681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48.8 (30.5 - 67.1)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.772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20-60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209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103.4 (90.6, 116.2)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177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47.4 (38.2 - 56.6)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≥60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41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88.8 (68.0, 109.6)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36.1 (23.8 -48.4)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lastRenderedPageBreak/>
              <w:t>History of surgery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Yes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91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55.4 (42.4, 68.3)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1.2102E-9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71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22.2 (39.1 - 54.3)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5.0034E-9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No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193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124.4 (111.7, 137.1)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174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56.0 (46.5 - 65.5)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History of radiotherapy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Yes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47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37.1 (26.9, 47.3)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2.0334E-14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18.8 (8.1 - 28.4)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.000002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No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237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120.6 (108.6, 132.6)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50.9 (42.5 - 59.4)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Dural penetration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Yes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138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71.8 (59.8, 83.8)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.0002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115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42.5 (31.5 - 53.5)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.177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No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136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127.7 (112.9, 142.6)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121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50.5 (40.0 - 61.0)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 xml:space="preserve">Not clear </w:t>
            </w: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  <w:vertAlign w:val="superscript"/>
              </w:rPr>
              <w:t>a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10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67.1 (40.8, 93.5)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35.1 (8.8 - 61.4)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Tumor volume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lastRenderedPageBreak/>
              <w:t>≤ 40 cm3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212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111.8 (99.0, 124.5)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.006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182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53.1 (43.7 - 62.4)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.0002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>＞</w:t>
            </w: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 xml:space="preserve"> 40 cm3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72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64.2 (50.9, 77.5)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27.5 (18.2 - 36.9)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Tumor locations (Sagittal view)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  <w:vertAlign w:val="superscript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 xml:space="preserve">Upper2/3 </w:t>
            </w: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  <w:vertAlign w:val="superscript"/>
              </w:rPr>
              <w:t>b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154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120.4 (105.5, 135.3)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134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55.7 (44.3 - 67.1)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.014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Lower2/3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54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62.9 (47.9, 77.9)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30.1 (18.6 - 41.5)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 xml:space="preserve">Total </w:t>
            </w: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clivus</w:t>
            </w:r>
            <w:proofErr w:type="spellEnd"/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67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64.3 (52.2, 76.4)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36.4 (25.3 - 47.5)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Others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9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95.1 (63.8, 126.4)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50.6 (39.1 - 54.3)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Tumor locations (Axial view)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Midline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154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119.2 (103.8, 134.7)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.006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136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53.6 (42.5 - 64.8)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.001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lastRenderedPageBreak/>
              <w:t xml:space="preserve">Midline extend to </w:t>
            </w: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paramedian</w:t>
            </w:r>
            <w:proofErr w:type="spellEnd"/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129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76.6 (64.8, 88.4)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108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32.8 (25.2 - 40.5_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492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Paramedian</w:t>
            </w:r>
            <w:proofErr w:type="spellEnd"/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110 (Alive)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110 (No recurrence)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Approach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Endoscopic midline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268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104.4 (92.6, 116.1)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.487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230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46.6 (38.7 - 54.5)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.937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Microscopic lateral open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16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103.6 (75.7, 131.4)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37.9 (18.1 - 57.7)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Cavernous sinus invasion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Yes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87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65.2 (50.8, 79.5)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.000003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176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48.0 (39.1 - 56.9)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.086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No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197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118.8 (105.3, 132.2)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39.0 (27.8 - 50.2)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Resection Rate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lastRenderedPageBreak/>
              <w:t>GTR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114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140.5 (125.8, 155.2)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1.5057E-10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100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71.9 (58.7 - 85.1)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1.5622E-11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Non-GTR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170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78.6 (64.6, 92.6)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145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27.2 (20.8 - 33.6)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 xml:space="preserve">Post-Surgery Radiotherapy 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258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No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147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82.6 (70.2, 94.9)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.0002</w:t>
            </w:r>
          </w:p>
        </w:tc>
        <w:tc>
          <w:tcPr>
            <w:tcW w:w="1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172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38.8 (29.8 - 47.8)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8.2206E-8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Yes (late RT)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47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96.3 (78.3, 114.2)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Yes (pre-recurrence RT)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64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145.8 (127.9, 163.8)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78.2 (64.0 - 92.5)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Pathology subtype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Conventional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216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101.5 (89.0, 114.0)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2.6938E-11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183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43.2 (35.2 - 51.3)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.003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Chondroid</w:t>
            </w:r>
            <w:proofErr w:type="spellEnd"/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63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108.6 (92.7, 124.5)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57.7 (41.1 - 74.2)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wordWrap w:val="0"/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  <w:vertAlign w:val="superscript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 xml:space="preserve">Dedifferentiated </w:t>
            </w: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  <w:vertAlign w:val="superscript"/>
              </w:rPr>
              <w:t>C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11.4 (2.36, 20.4)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6.67 (4.31 - 9.02)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Metastasis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 xml:space="preserve">　</w:t>
            </w: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lastRenderedPageBreak/>
              <w:t>Yes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9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51.3 (25.6, 77.1)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.022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after="0"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after="0"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No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242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114.7 (103.0, 126.4)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after="0"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  <w:t>NA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33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81.2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>（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  <w:t>59.4, 103.0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2"/>
                <w:sz w:val="24"/>
              </w:rPr>
              <w:t>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83477" w:rsidRDefault="00783477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color w:val="000000" w:themeColor="text1"/>
                <w:kern w:val="2"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"/>
                <w:sz w:val="24"/>
              </w:rPr>
            </w:pPr>
          </w:p>
        </w:tc>
      </w:tr>
    </w:tbl>
    <w:p w:rsidR="00783477" w:rsidRDefault="00783477" w:rsidP="00783477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a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Not clear, difficult to judge by radiologic evaluation and surgical records. 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b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Included the tumors that located simply in middle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clivus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; 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C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Included four dedifferentiated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chordomas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and one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sarcomatoid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chordoma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; NA, not available; RT, radiation therapy</w:t>
      </w:r>
    </w:p>
    <w:p w:rsidR="00783477" w:rsidRDefault="00783477" w:rsidP="0078347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</w:rPr>
        <w:sectPr w:rsidR="00783477">
          <w:pgSz w:w="16840" w:h="11900" w:orient="landscape"/>
          <w:pgMar w:top="1797" w:right="1440" w:bottom="1797" w:left="1440" w:header="851" w:footer="992" w:gutter="0"/>
          <w:cols w:space="720"/>
          <w:docGrid w:type="lines" w:linePitch="312"/>
        </w:sectPr>
      </w:pPr>
    </w:p>
    <w:p w:rsidR="00783477" w:rsidRDefault="00783477" w:rsidP="00783477">
      <w:pPr>
        <w:pStyle w:val="Caption"/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Supplementary_Table \* ARABIC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2</w:t>
      </w:r>
      <w:r>
        <w:rPr>
          <w:rFonts w:ascii="Times New Roman" w:hAnsi="Times New Roman" w:cs="Times New Roman"/>
          <w:noProof/>
          <w:sz w:val="24"/>
          <w:szCs w:val="24"/>
        </w:rPr>
        <w:fldChar w:fldCharType="end"/>
      </w:r>
      <w:r>
        <w:rPr>
          <w:rFonts w:ascii="Times New Roman" w:hAnsi="Times New Roman" w:cs="Times New Roman"/>
          <w:noProof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Risk factors for failure of gross-total resection that analyzed with univariate logistic regression analyses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549"/>
        <w:gridCol w:w="807"/>
        <w:gridCol w:w="1316"/>
        <w:gridCol w:w="1316"/>
        <w:gridCol w:w="1376"/>
        <w:gridCol w:w="1065"/>
      </w:tblGrid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Parameter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No. of Patients (%)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Statistic Value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P</w:t>
            </w: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MS Gothic" w:eastAsia="MS Gothic" w:hAnsi="MS Gothic" w:cs="MS Gothic" w:hint="eastAsia"/>
                <w:sz w:val="24"/>
              </w:rPr>
              <w:t xml:space="preserve">　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Total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GTR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Non-GTR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48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No. of total patients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114 (40.1%)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170 (59.9%)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57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Sex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71 (43.8%)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 (56.2%)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Chi-Square 2.13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.18</w:t>
            </w: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 (35.2%)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 (64.8%)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Age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</w:rPr>
              <w:t>≤ 20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7 </w:t>
            </w:r>
            <w:r>
              <w:rPr>
                <w:rFonts w:ascii="MS Gothic" w:eastAsia="MS Gothic" w:hAnsi="MS Gothic" w:cs="MS Gothic" w:hint="eastAsia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20.6%</w:t>
            </w:r>
            <w:r>
              <w:rPr>
                <w:rFonts w:ascii="MS Gothic" w:eastAsia="MS Gothic" w:hAnsi="MS Gothic" w:cs="MS Gothic" w:hint="eastAsia"/>
                <w:sz w:val="24"/>
              </w:rPr>
              <w:t>）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27 </w:t>
            </w:r>
            <w:r>
              <w:rPr>
                <w:rFonts w:ascii="MS Gothic" w:eastAsia="MS Gothic" w:hAnsi="MS Gothic" w:cs="MS Gothic" w:hint="eastAsia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79.4%</w:t>
            </w:r>
            <w:r>
              <w:rPr>
                <w:rFonts w:ascii="MS Gothic" w:eastAsia="MS Gothic" w:hAnsi="MS Gothic" w:cs="MS Gothic" w:hint="eastAsia"/>
                <w:sz w:val="24"/>
              </w:rPr>
              <w:t>）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Chi-Square 6.85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.03</w:t>
            </w:r>
          </w:p>
        </w:tc>
      </w:tr>
      <w:tr w:rsidR="00783477" w:rsidTr="00783477">
        <w:trPr>
          <w:trHeight w:val="57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20-60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209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87 </w:t>
            </w:r>
            <w:r>
              <w:rPr>
                <w:rFonts w:ascii="MS Gothic" w:eastAsia="MS Gothic" w:hAnsi="MS Gothic" w:cs="MS Gothic" w:hint="eastAsia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41.6%</w:t>
            </w:r>
            <w:r>
              <w:rPr>
                <w:rFonts w:ascii="MS Gothic" w:eastAsia="MS Gothic" w:hAnsi="MS Gothic" w:cs="MS Gothic" w:hint="eastAsia"/>
                <w:sz w:val="24"/>
              </w:rPr>
              <w:t>）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122 </w:t>
            </w:r>
            <w:r>
              <w:rPr>
                <w:rFonts w:ascii="MS Gothic" w:eastAsia="MS Gothic" w:hAnsi="MS Gothic" w:cs="MS Gothic" w:hint="eastAsia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58.4%</w:t>
            </w:r>
            <w:r>
              <w:rPr>
                <w:rFonts w:ascii="MS Gothic" w:eastAsia="MS Gothic" w:hAnsi="MS Gothic" w:cs="MS Gothic" w:hint="eastAsia"/>
                <w:sz w:val="24"/>
              </w:rPr>
              <w:t>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≥60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 </w:t>
            </w:r>
            <w:r>
              <w:rPr>
                <w:rFonts w:ascii="MS Gothic" w:eastAsia="MS Gothic" w:hAnsi="MS Gothic" w:cs="MS Gothic" w:hint="eastAsia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48.8%</w:t>
            </w:r>
            <w:r>
              <w:rPr>
                <w:rFonts w:ascii="MS Gothic" w:eastAsia="MS Gothic" w:hAnsi="MS Gothic" w:cs="MS Gothic" w:hint="eastAsia"/>
                <w:sz w:val="24"/>
              </w:rPr>
              <w:t>）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21 </w:t>
            </w:r>
            <w:r>
              <w:rPr>
                <w:rFonts w:ascii="MS Gothic" w:eastAsia="MS Gothic" w:hAnsi="MS Gothic" w:cs="MS Gothic" w:hint="eastAsia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51.2%</w:t>
            </w:r>
            <w:r>
              <w:rPr>
                <w:rFonts w:ascii="MS Gothic" w:eastAsia="MS Gothic" w:hAnsi="MS Gothic" w:cs="MS Gothic" w:hint="eastAsia"/>
                <w:sz w:val="24"/>
              </w:rPr>
              <w:t>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History of surgery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 (22.0%)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71 (78.0%)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Chi-Square 18.39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MS Gothic" w:eastAsia="MS Gothic" w:hAnsi="MS Gothic" w:cs="MS Gothic" w:hint="eastAsia"/>
                <w:b/>
                <w:bCs/>
                <w:sz w:val="24"/>
              </w:rPr>
              <w:t>＜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.001</w:t>
            </w: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94 (48.7%</w:t>
            </w:r>
            <w:r>
              <w:rPr>
                <w:rFonts w:ascii="MS Gothic" w:eastAsia="MS Gothic" w:hAnsi="MS Gothic" w:cs="MS Gothic" w:hint="eastAsia"/>
                <w:sz w:val="24"/>
              </w:rPr>
              <w:t>）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99 (51.3%)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History of radiotherapy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(21.3%)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 (78.7%)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Chi-Square 8.34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.005</w:t>
            </w: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104 (43.9%)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133 (56.1%)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Dural penetration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138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 (25.4%)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103 (74.6%)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Chi-Square 25.29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MS Gothic" w:eastAsia="MS Gothic" w:hAnsi="MS Gothic" w:cs="MS Gothic" w:hint="eastAsia"/>
                <w:b/>
                <w:bCs/>
                <w:sz w:val="24"/>
              </w:rPr>
              <w:t>＜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.001</w:t>
            </w: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 (55.1%)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 (44.9%)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Not clear 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a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(40.0%)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 (60.0%)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Tumor volume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</w:rPr>
              <w:t>≤ 40 cm3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 (50.0%)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 (50.0%)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Chi-Square 33.83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MS Gothic" w:eastAsia="MS Gothic" w:hAnsi="MS Gothic" w:cs="MS Gothic" w:hint="eastAsia"/>
                <w:b/>
                <w:bCs/>
                <w:sz w:val="24"/>
              </w:rPr>
              <w:t>＜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.001</w:t>
            </w: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MS Gothic" w:eastAsia="MS Gothic" w:hAnsi="MS Gothic" w:cs="MS Gothic" w:hint="eastAsia"/>
                <w:sz w:val="24"/>
              </w:rPr>
              <w:t>＞</w:t>
            </w:r>
            <w:r>
              <w:rPr>
                <w:rFonts w:ascii="Times New Roman" w:hAnsi="Times New Roman" w:cs="Times New Roman"/>
                <w:sz w:val="24"/>
              </w:rPr>
              <w:t xml:space="preserve"> 40 cm3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 (11.1%)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 (88.9%)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Tumor locations (Sagittal view)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2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Upper 2/3 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b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90 (58.4%)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 (41.6%)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Chi-Square 50.62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MS Gothic" w:eastAsia="MS Gothic" w:hAnsi="MS Gothic" w:cs="MS Gothic" w:hint="eastAsia"/>
                <w:b/>
                <w:bCs/>
                <w:sz w:val="24"/>
              </w:rPr>
              <w:t>＜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.001</w:t>
            </w: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Lower 2/3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 (11.1%)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 (88.9%)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Total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clivus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 (20.9%)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 (79.1%)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(44.4%)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(55.6%)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Tumor locations (Axial view)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</w:rPr>
              <w:t>Midline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 (59.1%)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 (40.9%)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Chi-Square 50.23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MS Gothic" w:eastAsia="MS Gothic" w:hAnsi="MS Gothic" w:cs="MS Gothic" w:hint="eastAsia"/>
                <w:b/>
                <w:bCs/>
                <w:sz w:val="24"/>
              </w:rPr>
              <w:t>＜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.001</w:t>
            </w: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Midline extend to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paramedian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129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(17.8%)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 (82.2%)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Paramedian</w:t>
            </w:r>
            <w:proofErr w:type="spellEnd"/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(0.0%)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(100%)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Approach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</w:rPr>
              <w:t>Endoscopic midline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268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 (40.3%)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160 (59.7%)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Chi-Square 0.05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.82</w:t>
            </w: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Microscopic lateral open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 (37.5%)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(62.5%)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Cavernous sinus invasion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 (23.0%)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 (77.0%)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Chi-Square 15.36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MS Gothic" w:eastAsia="MS Gothic" w:hAnsi="MS Gothic" w:cs="MS Gothic" w:hint="eastAsia"/>
                <w:b/>
                <w:bCs/>
                <w:sz w:val="24"/>
              </w:rPr>
              <w:t>＜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.001</w:t>
            </w:r>
          </w:p>
        </w:tc>
      </w:tr>
      <w:tr w:rsidR="00783477" w:rsidTr="00783477">
        <w:trPr>
          <w:trHeight w:val="240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94 (47.7%)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103 (52.3%)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477" w:rsidRDefault="0078347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</w:pPr>
          </w:p>
        </w:tc>
      </w:tr>
    </w:tbl>
    <w:p w:rsidR="00783477" w:rsidRDefault="00783477" w:rsidP="0078347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 Not clear, difficult to judge by radiologic evaluation and surgical records; </w:t>
      </w:r>
      <w:r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 xml:space="preserve"> Included the tumors that located simply in middle </w:t>
      </w:r>
      <w:proofErr w:type="spellStart"/>
      <w:r>
        <w:rPr>
          <w:rFonts w:ascii="Times New Roman" w:hAnsi="Times New Roman" w:cs="Times New Roman"/>
        </w:rPr>
        <w:t>clivus</w:t>
      </w:r>
      <w:proofErr w:type="spellEnd"/>
      <w:r>
        <w:rPr>
          <w:rFonts w:ascii="Times New Roman" w:hAnsi="Times New Roman" w:cs="Times New Roman"/>
        </w:rPr>
        <w:t>.</w:t>
      </w:r>
    </w:p>
    <w:p w:rsidR="00783477" w:rsidRDefault="00783477" w:rsidP="007834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83477" w:rsidRDefault="00783477" w:rsidP="00783477">
      <w:pPr>
        <w:pStyle w:val="Caption"/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3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comparation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long-term outcomes between charged particle radiotherapy (CPRT) and other modalities with Kaplan-Meier analysis.</w:t>
      </w:r>
    </w:p>
    <w:tbl>
      <w:tblPr>
        <w:tblW w:w="8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1843"/>
        <w:gridCol w:w="2119"/>
        <w:gridCol w:w="1043"/>
        <w:gridCol w:w="1271"/>
      </w:tblGrid>
      <w:tr w:rsidR="00783477" w:rsidTr="00783477">
        <w:trPr>
          <w:trHeight w:val="24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  <w:t>CPRT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  <w:t>Other modalities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  <w:t>Statistic Value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2"/>
                <w:sz w:val="24"/>
              </w:rPr>
              <w:t>P</w:t>
            </w:r>
          </w:p>
        </w:tc>
      </w:tr>
      <w:tr w:rsidR="00783477" w:rsidTr="00783477">
        <w:trPr>
          <w:trHeight w:val="24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  <w:t>No.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10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35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after="0" w:line="240" w:lineRule="auto"/>
              <w:rPr>
                <w:sz w:val="20"/>
                <w:szCs w:val="20"/>
                <w:lang w:eastAsia="en-US"/>
              </w:rPr>
            </w:pPr>
          </w:p>
        </w:tc>
      </w:tr>
      <w:tr w:rsidR="00783477" w:rsidTr="00783477">
        <w:trPr>
          <w:trHeight w:val="24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  <w:t>Follow-up (months) median, (range)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29.5 (9.0–42.0)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51.0 (8.0-171.0)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79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.008</w:t>
            </w:r>
          </w:p>
        </w:tc>
      </w:tr>
      <w:tr w:rsidR="00783477" w:rsidTr="00783477">
        <w:trPr>
          <w:trHeight w:val="24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  <w:t>Chordoma</w:t>
            </w:r>
            <w:proofErr w:type="spellEnd"/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  <w:t xml:space="preserve"> Specific Survival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No death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157.3 (142.6-172.1)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.75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.388</w:t>
            </w:r>
          </w:p>
        </w:tc>
      </w:tr>
      <w:tr w:rsidR="00783477" w:rsidTr="00783477">
        <w:trPr>
          <w:trHeight w:val="48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  <w:t>PFS (months)</w:t>
            </w:r>
          </w:p>
          <w:p w:rsidR="00783477" w:rsidRDefault="00783477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FFFFFF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24"/>
              </w:rPr>
              <w:t>mean, (95%CI)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 xml:space="preserve">29 </w:t>
            </w: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  <w:vertAlign w:val="superscript"/>
              </w:rPr>
              <w:t>a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83.5 (66.0-101.0)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.48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3477" w:rsidRDefault="00783477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2"/>
                <w:sz w:val="24"/>
              </w:rPr>
              <w:t>.488</w:t>
            </w:r>
          </w:p>
        </w:tc>
      </w:tr>
    </w:tbl>
    <w:p w:rsidR="00783477" w:rsidRDefault="00783477" w:rsidP="00783477">
      <w:pPr>
        <w:spacing w:line="480" w:lineRule="auto"/>
        <w:rPr>
          <w:rFonts w:ascii="Times New Roman" w:hAnsi="Times New Roman" w:cs="Times New Roman"/>
          <w:sz w:val="24"/>
        </w:rPr>
      </w:pPr>
    </w:p>
    <w:p w:rsidR="00783477" w:rsidRDefault="00783477" w:rsidP="0078347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 xml:space="preserve">a </w:t>
      </w:r>
      <w:r>
        <w:rPr>
          <w:rFonts w:ascii="Times New Roman" w:hAnsi="Times New Roman" w:cs="Times New Roman"/>
          <w:sz w:val="24"/>
        </w:rPr>
        <w:t>n=1</w:t>
      </w:r>
    </w:p>
    <w:p w:rsidR="00783477" w:rsidRDefault="00783477" w:rsidP="00783477">
      <w:pPr>
        <w:spacing w:line="480" w:lineRule="auto"/>
        <w:rPr>
          <w:rFonts w:ascii="Times New Roman" w:hAnsi="Times New Roman" w:cs="Times New Roman"/>
        </w:r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477"/>
    <w:rsid w:val="00783477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915F49-6938-47BF-8420-D93525F05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477"/>
    <w:pPr>
      <w:spacing w:line="25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783477"/>
    <w:pPr>
      <w:widowControl w:val="0"/>
      <w:spacing w:after="0" w:line="240" w:lineRule="auto"/>
      <w:jc w:val="both"/>
    </w:pPr>
    <w:rPr>
      <w:rFonts w:asciiTheme="majorHAnsi" w:eastAsia="SimHei" w:hAnsiTheme="majorHAnsi" w:cstheme="majorBidi"/>
      <w:kern w:val="2"/>
      <w:sz w:val="20"/>
      <w:szCs w:val="20"/>
    </w:rPr>
  </w:style>
  <w:style w:type="table" w:styleId="TableGrid">
    <w:name w:val="Table Grid"/>
    <w:basedOn w:val="TableNormal"/>
    <w:uiPriority w:val="39"/>
    <w:rsid w:val="00783477"/>
    <w:pPr>
      <w:spacing w:after="0" w:line="240" w:lineRule="auto"/>
    </w:pPr>
    <w:rPr>
      <w:rFonts w:eastAsiaTheme="minorEastAsia"/>
      <w:kern w:val="2"/>
      <w:sz w:val="21"/>
      <w:szCs w:val="24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96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791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2021-03-19T08:15:00Z</dcterms:created>
  <dcterms:modified xsi:type="dcterms:W3CDTF">2021-03-19T08:15:00Z</dcterms:modified>
</cp:coreProperties>
</file>