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58AB9" w14:textId="77777777" w:rsidR="00B418FF" w:rsidRPr="00071514" w:rsidRDefault="00B418FF" w:rsidP="00B418FF">
      <w:pP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071514">
        <w:rPr>
          <w:rFonts w:ascii="Times New Roman" w:hAnsi="Times New Roman" w:cs="Times New Roman" w:hint="eastAsia"/>
          <w:b/>
          <w:bCs/>
          <w:color w:val="000000"/>
          <w:spacing w:val="-2"/>
          <w:sz w:val="24"/>
          <w:szCs w:val="24"/>
        </w:rPr>
        <w:t>A</w:t>
      </w:r>
      <w:r w:rsidRPr="0007151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dditional file:</w:t>
      </w:r>
    </w:p>
    <w:p w14:paraId="5237AF93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bCs/>
          <w:color w:val="000000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S1: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QQ plot for pleiotropy analysis.</w:t>
      </w:r>
    </w:p>
    <w:p w14:paraId="3D578879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S2: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Summary of basic information for each genome risk locus.</w:t>
      </w:r>
    </w:p>
    <w:p w14:paraId="621B5D47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S3: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Functional impact of pleiotropic SNPs on genes.</w:t>
      </w:r>
    </w:p>
    <w:p w14:paraId="4ED64608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S4: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Regional plot for locus (5:1307910:A:G).</w:t>
      </w:r>
    </w:p>
    <w:p w14:paraId="0D498790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S5: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Regional plot for locus (6:28290328:G:T).</w:t>
      </w:r>
    </w:p>
    <w:p w14:paraId="58E24CF1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S6: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Regional plot for locus (12:1002857:C:T).</w:t>
      </w:r>
    </w:p>
    <w:p w14:paraId="7CAEAB24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S7: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Manhattan plot for MAGMA gene analysis.</w:t>
      </w:r>
    </w:p>
    <w:p w14:paraId="53E86C01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S8: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QQ plot for MAGMA gene analysis.</w:t>
      </w:r>
    </w:p>
    <w:p w14:paraId="168439CF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S9: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Expression profile of pleiotropic MAGMA genes in different tissues.</w:t>
      </w:r>
    </w:p>
    <w:p w14:paraId="69AA6CB3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S10: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Pathway enrichment of pleiotropic MAGMA genes (GO:BP).</w:t>
      </w:r>
    </w:p>
    <w:p w14:paraId="4A18F933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S11: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Pathway enrichment of pleiotropic MAGMA genes (GO:CC).</w:t>
      </w:r>
    </w:p>
    <w:p w14:paraId="3B1D0221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S12: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Pathway enrichment of pleiotropic MAGMA genes (GO:MF).</w:t>
      </w:r>
    </w:p>
    <w:p w14:paraId="62E77557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S13: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Pathway enrichment of pleiotropic MAGMA genes (immune-related pathways).</w:t>
      </w:r>
    </w:p>
    <w:p w14:paraId="648D8423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S14: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Expression profile of pleiotropic eQTL genes in different tissues.</w:t>
      </w:r>
    </w:p>
    <w:p w14:paraId="24132462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S15: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Tissue-specific enrichment analysis based on pleiotropic eQTL genes.</w:t>
      </w:r>
    </w:p>
    <w:p w14:paraId="0D678C23" w14:textId="77777777" w:rsidR="00B418FF" w:rsidRPr="00071514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S16: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Pathway enrichment of pleiotropic eQTL genes.</w:t>
      </w:r>
    </w:p>
    <w:p w14:paraId="5877C799" w14:textId="77777777" w:rsidR="00B418FF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. </w:t>
      </w:r>
      <w:r w:rsidRPr="00BC20EB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S17: </w:t>
      </w:r>
      <w:r w:rsidRPr="00071514">
        <w:rPr>
          <w:rFonts w:ascii="Times New Roman" w:hAnsi="Times New Roman" w:cs="Times New Roman"/>
          <w:color w:val="000000"/>
          <w:spacing w:val="-2"/>
          <w:sz w:val="24"/>
          <w:szCs w:val="24"/>
        </w:rPr>
        <w:t>Protein-protein interaction (PPI) network analysis of pleiotropic eQTL genes.</w:t>
      </w:r>
    </w:p>
    <w:p w14:paraId="06310ADB" w14:textId="77777777" w:rsidR="00B418FF" w:rsidRDefault="00B418FF" w:rsidP="00B418FF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56E32">
        <w:rPr>
          <w:rFonts w:ascii="Times New Roman" w:hAnsi="Times New Roman" w:cs="Times New Roman" w:hint="eastAsia"/>
          <w:b/>
          <w:bCs/>
          <w:color w:val="000000"/>
          <w:spacing w:val="-2"/>
          <w:sz w:val="24"/>
          <w:szCs w:val="24"/>
        </w:rPr>
        <w:t>F</w:t>
      </w:r>
      <w:r w:rsidRPr="00856E32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ig. S18: </w:t>
      </w:r>
      <w:bookmarkStart w:id="0" w:name="_Hlk142236364"/>
      <w:r w:rsidRPr="00991534">
        <w:rPr>
          <w:rFonts w:ascii="Times New Roman" w:hAnsi="Times New Roman" w:cs="Times New Roman"/>
          <w:color w:val="000000"/>
          <w:spacing w:val="-2"/>
          <w:sz w:val="24"/>
          <w:szCs w:val="24"/>
        </w:rPr>
        <w:t>Genetic Loci on Chromosomes.</w:t>
      </w:r>
      <w:bookmarkEnd w:id="0"/>
    </w:p>
    <w:p w14:paraId="227A37F8" w14:textId="77777777" w:rsidR="00B418FF" w:rsidRDefault="00B418FF" w:rsidP="00B418FF">
      <w:pP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991534">
        <w:rPr>
          <w:rFonts w:ascii="Times New Roman" w:hAnsi="Times New Roman" w:cs="Times New Roman" w:hint="eastAsia"/>
          <w:b/>
          <w:bCs/>
          <w:color w:val="000000"/>
          <w:spacing w:val="-2"/>
          <w:sz w:val="24"/>
          <w:szCs w:val="24"/>
        </w:rPr>
        <w:t>F</w:t>
      </w:r>
      <w:r w:rsidRPr="0099153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ig. S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19</w:t>
      </w:r>
      <w:r w:rsidRPr="0099153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pacing w:val="-2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GSEA on each KEGG pathway.</w:t>
      </w:r>
    </w:p>
    <w:p w14:paraId="45C1F8B7" w14:textId="77777777" w:rsidR="00B418FF" w:rsidRPr="00BC20EB" w:rsidRDefault="00B418FF" w:rsidP="00B418FF">
      <w:pP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able S1-S7</w:t>
      </w:r>
    </w:p>
    <w:p w14:paraId="3238B225" w14:textId="77777777" w:rsidR="00E1715D" w:rsidRDefault="00B418FF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FF"/>
    <w:rsid w:val="001942F0"/>
    <w:rsid w:val="002C0857"/>
    <w:rsid w:val="003F01F8"/>
    <w:rsid w:val="00884728"/>
    <w:rsid w:val="008E2845"/>
    <w:rsid w:val="00B418FF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F5011"/>
  <w15:chartTrackingRefBased/>
  <w15:docId w15:val="{9849EBA9-180C-4CA3-B693-B4E26D83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8F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Springer Nature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2023-09-25T18:03:00Z</dcterms:created>
  <dcterms:modified xsi:type="dcterms:W3CDTF">2023-09-25T18:03:00Z</dcterms:modified>
</cp:coreProperties>
</file>